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spacing w:val="22"/>
          <w:sz w:val="44"/>
          <w:szCs w:val="44"/>
          <w:lang w:eastAsia="zh-CN"/>
        </w:rPr>
      </w:pPr>
      <w:bookmarkStart w:id="0" w:name="_Toc249856871"/>
      <w:r>
        <w:rPr>
          <w:rFonts w:hint="eastAsia" w:ascii="宋体" w:hAnsi="宋体" w:eastAsia="宋体" w:cs="宋体"/>
          <w:b/>
          <w:spacing w:val="22"/>
          <w:sz w:val="44"/>
          <w:szCs w:val="44"/>
          <w:lang w:eastAsia="zh-CN"/>
        </w:rPr>
        <w:t>六安凯旭服饰有限公司</w:t>
      </w:r>
    </w:p>
    <w:p>
      <w:pPr>
        <w:jc w:val="center"/>
        <w:rPr>
          <w:rFonts w:hint="eastAsia" w:ascii="宋体" w:hAnsi="宋体" w:eastAsia="宋体" w:cs="宋体"/>
          <w:b/>
          <w:spacing w:val="22"/>
          <w:sz w:val="44"/>
          <w:szCs w:val="44"/>
        </w:rPr>
      </w:pPr>
      <w:r>
        <w:rPr>
          <w:rFonts w:hint="eastAsia" w:ascii="宋体" w:hAnsi="宋体" w:eastAsia="宋体" w:cs="宋体"/>
          <w:b/>
          <w:spacing w:val="22"/>
          <w:sz w:val="44"/>
          <w:szCs w:val="44"/>
        </w:rPr>
        <w:t>年产150万件</w:t>
      </w:r>
      <w:r>
        <w:rPr>
          <w:rFonts w:hint="eastAsia" w:ascii="宋体" w:hAnsi="宋体" w:cs="宋体"/>
          <w:b/>
          <w:spacing w:val="22"/>
          <w:sz w:val="44"/>
          <w:szCs w:val="44"/>
          <w:lang w:eastAsia="zh-CN"/>
        </w:rPr>
        <w:t>自动</w:t>
      </w:r>
      <w:r>
        <w:rPr>
          <w:rFonts w:hint="eastAsia" w:ascii="宋体" w:hAnsi="宋体" w:eastAsia="宋体" w:cs="宋体"/>
          <w:b/>
          <w:spacing w:val="22"/>
          <w:sz w:val="44"/>
          <w:szCs w:val="44"/>
        </w:rPr>
        <w:t>编制生产线项目</w:t>
      </w:r>
    </w:p>
    <w:p>
      <w:pPr>
        <w:jc w:val="center"/>
        <w:rPr>
          <w:rFonts w:hint="eastAsia" w:ascii="宋体" w:hAnsi="宋体" w:eastAsia="宋体" w:cs="宋体"/>
          <w:b/>
          <w:spacing w:val="22"/>
          <w:sz w:val="56"/>
          <w:szCs w:val="56"/>
        </w:rPr>
      </w:pPr>
      <w:r>
        <w:rPr>
          <w:rFonts w:hint="eastAsia" w:ascii="宋体" w:hAnsi="宋体" w:eastAsia="宋体" w:cs="宋体"/>
          <w:b/>
          <w:spacing w:val="22"/>
          <w:sz w:val="56"/>
          <w:szCs w:val="56"/>
        </w:rPr>
        <w:t>环境影响报告书</w:t>
      </w:r>
      <w:bookmarkEnd w:id="0"/>
    </w:p>
    <w:p>
      <w:pPr>
        <w:jc w:val="center"/>
        <w:rPr>
          <w:rFonts w:hint="eastAsia" w:ascii="宋体" w:hAnsi="宋体" w:eastAsia="宋体" w:cs="宋体"/>
          <w:b/>
          <w:spacing w:val="22"/>
          <w:sz w:val="48"/>
          <w:szCs w:val="48"/>
          <w:lang w:eastAsia="zh-CN"/>
        </w:rPr>
      </w:pPr>
      <w:r>
        <w:rPr>
          <w:rFonts w:hint="eastAsia" w:ascii="宋体" w:hAnsi="宋体" w:eastAsia="宋体" w:cs="宋体"/>
          <w:b/>
          <w:spacing w:val="22"/>
          <w:sz w:val="32"/>
          <w:szCs w:val="32"/>
          <w:lang w:eastAsia="zh-CN"/>
        </w:rPr>
        <w:t>（征求意见稿）</w:t>
      </w:r>
    </w:p>
    <w:p>
      <w:pPr>
        <w:rPr>
          <w:rFonts w:hint="eastAsia" w:ascii="宋体" w:hAnsi="宋体" w:eastAsia="宋体" w:cs="宋体"/>
          <w:b/>
          <w:spacing w:val="22"/>
          <w:sz w:val="44"/>
          <w:szCs w:val="44"/>
        </w:rPr>
      </w:pPr>
    </w:p>
    <w:p>
      <w:pPr>
        <w:rPr>
          <w:rFonts w:hint="eastAsia" w:ascii="宋体" w:hAnsi="宋体" w:eastAsia="宋体" w:cs="宋体"/>
          <w:b/>
          <w:spacing w:val="22"/>
          <w:sz w:val="44"/>
          <w:szCs w:val="44"/>
        </w:rPr>
      </w:pPr>
      <w:bookmarkStart w:id="322" w:name="_GoBack"/>
      <w:bookmarkEnd w:id="322"/>
    </w:p>
    <w:p>
      <w:pPr>
        <w:rPr>
          <w:rFonts w:hint="eastAsia" w:ascii="宋体" w:hAnsi="宋体" w:eastAsia="宋体" w:cs="宋体"/>
          <w:b/>
          <w:spacing w:val="22"/>
          <w:sz w:val="44"/>
          <w:szCs w:val="44"/>
        </w:rPr>
      </w:pPr>
    </w:p>
    <w:p>
      <w:pPr>
        <w:rPr>
          <w:rFonts w:hint="eastAsia" w:ascii="宋体" w:hAnsi="宋体" w:eastAsia="宋体" w:cs="宋体"/>
          <w:b/>
          <w:spacing w:val="22"/>
          <w:sz w:val="44"/>
          <w:szCs w:val="44"/>
        </w:rPr>
      </w:pPr>
    </w:p>
    <w:p>
      <w:pPr>
        <w:rPr>
          <w:rFonts w:hint="eastAsia" w:ascii="宋体" w:hAnsi="宋体" w:eastAsia="宋体" w:cs="宋体"/>
          <w:b/>
          <w:spacing w:val="22"/>
          <w:sz w:val="44"/>
          <w:szCs w:val="44"/>
        </w:rPr>
      </w:pPr>
    </w:p>
    <w:p>
      <w:pPr>
        <w:rPr>
          <w:rFonts w:hint="eastAsia" w:ascii="宋体" w:hAnsi="宋体" w:eastAsia="宋体" w:cs="宋体"/>
          <w:b/>
          <w:spacing w:val="22"/>
          <w:sz w:val="44"/>
          <w:szCs w:val="44"/>
        </w:rPr>
      </w:pPr>
    </w:p>
    <w:p>
      <w:pPr>
        <w:rPr>
          <w:rFonts w:hint="eastAsia" w:ascii="宋体" w:hAnsi="宋体" w:eastAsia="宋体" w:cs="宋体"/>
          <w:b/>
          <w:spacing w:val="22"/>
          <w:sz w:val="44"/>
          <w:szCs w:val="44"/>
        </w:rPr>
      </w:pPr>
    </w:p>
    <w:p>
      <w:pPr>
        <w:rPr>
          <w:rFonts w:hint="eastAsia" w:ascii="宋体" w:hAnsi="宋体" w:eastAsia="宋体" w:cs="宋体"/>
          <w:b/>
          <w:spacing w:val="22"/>
          <w:sz w:val="44"/>
          <w:szCs w:val="44"/>
        </w:rPr>
      </w:pPr>
    </w:p>
    <w:p>
      <w:pPr>
        <w:rPr>
          <w:rFonts w:hint="eastAsia" w:ascii="宋体" w:hAnsi="宋体" w:eastAsia="宋体" w:cs="宋体"/>
          <w:b/>
          <w:spacing w:val="22"/>
          <w:sz w:val="44"/>
          <w:szCs w:val="44"/>
        </w:rPr>
      </w:pPr>
    </w:p>
    <w:p>
      <w:pPr>
        <w:jc w:val="center"/>
        <w:rPr>
          <w:rFonts w:hint="eastAsia" w:ascii="宋体" w:hAnsi="宋体" w:eastAsia="宋体" w:cs="宋体"/>
          <w:b/>
          <w:bCs w:val="0"/>
          <w:spacing w:val="22"/>
          <w:sz w:val="32"/>
          <w:szCs w:val="32"/>
          <w:lang w:val="en-US" w:eastAsia="zh-CN"/>
        </w:rPr>
      </w:pPr>
      <w:r>
        <w:rPr>
          <w:rFonts w:hint="eastAsia" w:ascii="宋体" w:hAnsi="宋体" w:eastAsia="宋体" w:cs="宋体"/>
          <w:b/>
          <w:bCs w:val="0"/>
          <w:spacing w:val="22"/>
          <w:sz w:val="32"/>
          <w:szCs w:val="32"/>
          <w:lang w:val="en-US" w:eastAsia="zh-CN"/>
        </w:rPr>
        <w:t>建设单位：六安凯旭服饰有限公司</w:t>
      </w:r>
    </w:p>
    <w:p>
      <w:pPr>
        <w:jc w:val="center"/>
        <w:rPr>
          <w:rFonts w:hint="eastAsia" w:ascii="宋体" w:hAnsi="宋体" w:eastAsia="宋体" w:cs="宋体"/>
          <w:b/>
          <w:bCs w:val="0"/>
          <w:spacing w:val="22"/>
          <w:sz w:val="32"/>
          <w:szCs w:val="32"/>
          <w:lang w:eastAsia="zh-CN"/>
        </w:rPr>
      </w:pPr>
      <w:r>
        <w:rPr>
          <w:rFonts w:hint="eastAsia" w:ascii="宋体" w:hAnsi="宋体" w:eastAsia="宋体" w:cs="宋体"/>
          <w:b/>
          <w:bCs w:val="0"/>
          <w:spacing w:val="22"/>
          <w:sz w:val="32"/>
          <w:szCs w:val="32"/>
          <w:lang w:val="en-US" w:eastAsia="zh-CN"/>
        </w:rPr>
        <w:t>编制单位：</w:t>
      </w:r>
      <w:r>
        <w:rPr>
          <w:rFonts w:hint="eastAsia" w:ascii="宋体" w:hAnsi="宋体" w:eastAsia="宋体" w:cs="宋体"/>
          <w:b/>
          <w:bCs w:val="0"/>
          <w:spacing w:val="22"/>
          <w:sz w:val="32"/>
          <w:szCs w:val="32"/>
          <w:lang w:eastAsia="zh-CN"/>
        </w:rPr>
        <w:t>六安四瑞迪环境工程有限公司</w:t>
      </w:r>
    </w:p>
    <w:p>
      <w:pPr>
        <w:jc w:val="center"/>
        <w:rPr>
          <w:rFonts w:hint="eastAsia" w:ascii="宋体" w:hAnsi="宋体" w:eastAsia="宋体" w:cs="宋体"/>
          <w:b/>
          <w:bCs w:val="0"/>
          <w:spacing w:val="22"/>
          <w:sz w:val="32"/>
          <w:szCs w:val="32"/>
        </w:rPr>
      </w:pPr>
    </w:p>
    <w:p>
      <w:pPr>
        <w:jc w:val="center"/>
        <w:rPr>
          <w:rFonts w:hint="eastAsia" w:ascii="宋体" w:hAnsi="宋体" w:eastAsia="宋体" w:cs="宋体"/>
          <w:b/>
          <w:bCs w:val="0"/>
          <w:spacing w:val="22"/>
          <w:sz w:val="32"/>
          <w:szCs w:val="32"/>
        </w:rPr>
      </w:pPr>
      <w:r>
        <w:rPr>
          <w:rFonts w:hint="eastAsia" w:ascii="宋体" w:hAnsi="宋体" w:eastAsia="宋体" w:cs="宋体"/>
          <w:b/>
          <w:bCs w:val="0"/>
          <w:spacing w:val="22"/>
          <w:sz w:val="32"/>
          <w:szCs w:val="32"/>
        </w:rPr>
        <w:t>二〇一</w:t>
      </w:r>
      <w:r>
        <w:rPr>
          <w:rFonts w:hint="eastAsia" w:ascii="宋体" w:hAnsi="宋体" w:eastAsia="宋体" w:cs="宋体"/>
          <w:b/>
          <w:bCs w:val="0"/>
          <w:spacing w:val="22"/>
          <w:sz w:val="32"/>
          <w:szCs w:val="32"/>
          <w:lang w:eastAsia="zh-CN"/>
        </w:rPr>
        <w:t>九</w:t>
      </w:r>
      <w:r>
        <w:rPr>
          <w:rFonts w:hint="eastAsia" w:ascii="宋体" w:hAnsi="宋体" w:eastAsia="宋体" w:cs="宋体"/>
          <w:b/>
          <w:bCs w:val="0"/>
          <w:spacing w:val="22"/>
          <w:sz w:val="32"/>
          <w:szCs w:val="32"/>
        </w:rPr>
        <w:t>年</w:t>
      </w:r>
      <w:r>
        <w:rPr>
          <w:rFonts w:hint="eastAsia" w:ascii="宋体" w:hAnsi="宋体" w:eastAsia="宋体" w:cs="宋体"/>
          <w:b/>
          <w:bCs w:val="0"/>
          <w:spacing w:val="22"/>
          <w:sz w:val="32"/>
          <w:szCs w:val="32"/>
          <w:lang w:eastAsia="zh-CN"/>
        </w:rPr>
        <w:t>十</w:t>
      </w:r>
      <w:r>
        <w:rPr>
          <w:rFonts w:hint="eastAsia" w:ascii="宋体" w:hAnsi="宋体" w:eastAsia="宋体" w:cs="宋体"/>
          <w:b/>
          <w:bCs w:val="0"/>
          <w:spacing w:val="22"/>
          <w:sz w:val="32"/>
          <w:szCs w:val="32"/>
        </w:rPr>
        <w:t>月</w:t>
      </w:r>
    </w:p>
    <w:p/>
    <w:p>
      <w:pPr>
        <w:pStyle w:val="5"/>
        <w:jc w:val="center"/>
        <w:rPr>
          <w:rFonts w:eastAsia="黑体"/>
          <w:sz w:val="36"/>
          <w:szCs w:val="36"/>
        </w:rPr>
      </w:pPr>
      <w:r>
        <w:rPr>
          <w:rFonts w:eastAsia="黑体"/>
          <w:sz w:val="36"/>
          <w:szCs w:val="36"/>
        </w:rPr>
        <w:t>概  述</w:t>
      </w:r>
    </w:p>
    <w:p>
      <w:pPr>
        <w:pStyle w:val="7"/>
        <w:rPr>
          <w:szCs w:val="24"/>
        </w:rPr>
      </w:pPr>
      <w:bookmarkStart w:id="1" w:name="_Toc11761_WPSOffice_Level1"/>
      <w:bookmarkStart w:id="2" w:name="_Toc15611_WPSOffice_Level1"/>
      <w:bookmarkStart w:id="3" w:name="_Toc9923_WPSOffice_Level1"/>
      <w:bookmarkStart w:id="4" w:name="_Toc31447_WPSOffice_Level1"/>
      <w:bookmarkStart w:id="5" w:name="_Toc29144_WPSOffice_Level1"/>
      <w:r>
        <w:rPr>
          <w:szCs w:val="24"/>
        </w:rPr>
        <w:t>一、建设项目由来</w:t>
      </w:r>
      <w:bookmarkEnd w:id="1"/>
      <w:bookmarkEnd w:id="2"/>
      <w:bookmarkEnd w:id="3"/>
      <w:bookmarkEnd w:id="4"/>
      <w:bookmarkEnd w:id="5"/>
    </w:p>
    <w:p>
      <w:pPr>
        <w:widowControl/>
        <w:ind w:firstLine="480" w:firstLineChars="200"/>
        <w:rPr>
          <w:rFonts w:hint="eastAsia" w:hAnsi="宋体"/>
          <w:color w:val="auto"/>
          <w:sz w:val="24"/>
          <w:szCs w:val="24"/>
        </w:rPr>
      </w:pPr>
      <w:r>
        <w:rPr>
          <w:rFonts w:hint="eastAsia" w:hAnsi="宋体"/>
          <w:color w:val="auto"/>
          <w:sz w:val="24"/>
          <w:szCs w:val="24"/>
        </w:rPr>
        <w:t>随着人们生活水平的提高和纺织工业的发展，对布料的品质要求越来越高，特别是我国加入WTO以后，单功能的织物已不能满足市场需要</w:t>
      </w:r>
      <w:r>
        <w:rPr>
          <w:rFonts w:hint="eastAsia" w:hAnsi="宋体"/>
          <w:color w:val="auto"/>
          <w:sz w:val="24"/>
          <w:szCs w:val="24"/>
          <w:lang w:eastAsia="zh-CN"/>
        </w:rPr>
        <w:t>，</w:t>
      </w:r>
      <w:r>
        <w:rPr>
          <w:rFonts w:hint="eastAsia" w:hAnsi="宋体"/>
          <w:color w:val="auto"/>
          <w:sz w:val="24"/>
          <w:szCs w:val="24"/>
        </w:rPr>
        <w:t>多功能织物及多功能后整理技术应运而生</w:t>
      </w:r>
      <w:r>
        <w:rPr>
          <w:rFonts w:hint="eastAsia" w:hAnsi="宋体"/>
          <w:color w:val="auto"/>
          <w:sz w:val="24"/>
          <w:szCs w:val="24"/>
          <w:lang w:eastAsia="zh-CN"/>
        </w:rPr>
        <w:t>，</w:t>
      </w:r>
      <w:r>
        <w:rPr>
          <w:rFonts w:hint="eastAsia" w:hAnsi="宋体"/>
          <w:color w:val="auto"/>
          <w:sz w:val="24"/>
          <w:szCs w:val="24"/>
        </w:rPr>
        <w:t>并向着深层次和高档次方向发展</w:t>
      </w:r>
      <w:r>
        <w:rPr>
          <w:rFonts w:hint="eastAsia" w:hAnsi="宋体"/>
          <w:color w:val="auto"/>
          <w:sz w:val="24"/>
          <w:szCs w:val="24"/>
          <w:lang w:eastAsia="zh-CN"/>
        </w:rPr>
        <w:t>，</w:t>
      </w:r>
      <w:r>
        <w:rPr>
          <w:rFonts w:hint="eastAsia" w:hAnsi="宋体"/>
          <w:color w:val="auto"/>
          <w:sz w:val="24"/>
          <w:szCs w:val="24"/>
        </w:rPr>
        <w:t>可以赋予纺织品多功能性，洗水织物在国际市场上倍受青睐，需求量也逐年增加。</w:t>
      </w:r>
    </w:p>
    <w:p>
      <w:pPr>
        <w:widowControl/>
        <w:ind w:firstLine="480" w:firstLineChars="200"/>
        <w:rPr>
          <w:rFonts w:hint="eastAsia" w:eastAsia="宋体"/>
          <w:color w:val="FF0000"/>
          <w:sz w:val="24"/>
          <w:szCs w:val="24"/>
          <w:lang w:eastAsia="zh-CN"/>
        </w:rPr>
      </w:pPr>
      <w:r>
        <w:rPr>
          <w:rFonts w:hint="eastAsia" w:hAnsi="宋体"/>
          <w:color w:val="auto"/>
          <w:sz w:val="24"/>
          <w:szCs w:val="24"/>
          <w:lang w:eastAsia="zh-CN"/>
        </w:rPr>
        <w:t>在此背景下</w:t>
      </w:r>
      <w:r>
        <w:rPr>
          <w:rFonts w:hint="eastAsia" w:hAnsi="宋体"/>
          <w:color w:val="auto"/>
          <w:sz w:val="24"/>
          <w:szCs w:val="24"/>
        </w:rPr>
        <w:t>，</w:t>
      </w:r>
      <w:r>
        <w:rPr>
          <w:rFonts w:hint="eastAsia"/>
          <w:color w:val="auto"/>
          <w:sz w:val="24"/>
          <w:szCs w:val="24"/>
          <w:lang w:eastAsia="zh-CN"/>
        </w:rPr>
        <w:t>六安凯旭服饰有限公司在六安市经济开发区新建“年产</w:t>
      </w:r>
      <w:r>
        <w:rPr>
          <w:rFonts w:hint="eastAsia"/>
          <w:color w:val="auto"/>
          <w:sz w:val="24"/>
          <w:szCs w:val="24"/>
          <w:lang w:val="en-US" w:eastAsia="zh-CN"/>
        </w:rPr>
        <w:t>150万件职工编制生产线项目</w:t>
      </w:r>
      <w:r>
        <w:rPr>
          <w:rFonts w:hint="eastAsia"/>
          <w:color w:val="auto"/>
          <w:sz w:val="24"/>
          <w:szCs w:val="24"/>
          <w:lang w:eastAsia="zh-CN"/>
        </w:rPr>
        <w:t>”，</w:t>
      </w:r>
      <w:r>
        <w:rPr>
          <w:rFonts w:hint="eastAsia"/>
          <w:color w:val="auto"/>
          <w:sz w:val="24"/>
          <w:szCs w:val="24"/>
        </w:rPr>
        <w:t>该</w:t>
      </w:r>
      <w:r>
        <w:rPr>
          <w:rFonts w:hint="eastAsia"/>
          <w:color w:val="auto"/>
          <w:sz w:val="24"/>
          <w:szCs w:val="24"/>
          <w:lang w:eastAsia="zh-CN"/>
        </w:rPr>
        <w:t>项目已于</w:t>
      </w:r>
      <w:r>
        <w:rPr>
          <w:rFonts w:hint="eastAsia"/>
          <w:color w:val="auto"/>
          <w:sz w:val="24"/>
          <w:szCs w:val="24"/>
        </w:rPr>
        <w:t>20</w:t>
      </w:r>
      <w:r>
        <w:rPr>
          <w:rFonts w:hint="eastAsia"/>
          <w:color w:val="auto"/>
          <w:sz w:val="24"/>
          <w:szCs w:val="24"/>
          <w:lang w:val="en-US" w:eastAsia="zh-CN"/>
        </w:rPr>
        <w:t>19</w:t>
      </w:r>
      <w:r>
        <w:rPr>
          <w:rFonts w:hint="eastAsia"/>
          <w:color w:val="auto"/>
          <w:sz w:val="24"/>
          <w:szCs w:val="24"/>
        </w:rPr>
        <w:t>年</w:t>
      </w:r>
      <w:r>
        <w:rPr>
          <w:rFonts w:hint="eastAsia"/>
          <w:color w:val="auto"/>
          <w:sz w:val="24"/>
          <w:szCs w:val="24"/>
          <w:lang w:val="en-US" w:eastAsia="zh-CN"/>
        </w:rPr>
        <w:t>5</w:t>
      </w:r>
      <w:r>
        <w:rPr>
          <w:rFonts w:hint="eastAsia"/>
          <w:color w:val="auto"/>
          <w:sz w:val="24"/>
          <w:szCs w:val="24"/>
        </w:rPr>
        <w:t>月</w:t>
      </w:r>
      <w:r>
        <w:rPr>
          <w:rFonts w:hint="eastAsia"/>
          <w:color w:val="auto"/>
          <w:sz w:val="24"/>
          <w:szCs w:val="24"/>
          <w:lang w:val="en-US" w:eastAsia="zh-CN"/>
        </w:rPr>
        <w:t>24</w:t>
      </w:r>
      <w:r>
        <w:rPr>
          <w:rFonts w:hint="eastAsia"/>
          <w:color w:val="auto"/>
          <w:sz w:val="24"/>
          <w:szCs w:val="24"/>
          <w:lang w:eastAsia="zh-CN"/>
        </w:rPr>
        <w:t>取得了</w:t>
      </w:r>
      <w:r>
        <w:rPr>
          <w:rFonts w:hint="eastAsia"/>
          <w:kern w:val="0"/>
          <w:sz w:val="24"/>
          <w:szCs w:val="24"/>
          <w:lang w:eastAsia="zh-CN"/>
        </w:rPr>
        <w:t>六安市经开区发展规划局</w:t>
      </w:r>
      <w:r>
        <w:rPr>
          <w:rFonts w:hint="eastAsia"/>
          <w:sz w:val="24"/>
        </w:rPr>
        <w:t>项目备案表</w:t>
      </w:r>
      <w:r>
        <w:rPr>
          <w:sz w:val="24"/>
          <w:szCs w:val="24"/>
        </w:rPr>
        <w:t>，项目代码：</w:t>
      </w:r>
      <w:r>
        <w:rPr>
          <w:rFonts w:hint="eastAsia"/>
          <w:sz w:val="24"/>
          <w:szCs w:val="24"/>
          <w:lang w:val="en-US" w:eastAsia="zh-CN"/>
        </w:rPr>
        <w:t>2019-341562-18-03-012099</w:t>
      </w:r>
      <w:r>
        <w:rPr>
          <w:rFonts w:hint="eastAsia"/>
          <w:sz w:val="24"/>
          <w:szCs w:val="24"/>
          <w:lang w:eastAsia="zh-CN"/>
        </w:rPr>
        <w:t>。</w:t>
      </w:r>
    </w:p>
    <w:p>
      <w:pPr>
        <w:ind w:firstLine="480" w:firstLineChars="200"/>
        <w:rPr>
          <w:color w:val="FF0000"/>
          <w:sz w:val="24"/>
          <w:szCs w:val="24"/>
        </w:rPr>
      </w:pPr>
      <w:r>
        <w:rPr>
          <w:rFonts w:hint="eastAsia"/>
          <w:color w:val="auto"/>
          <w:sz w:val="24"/>
          <w:szCs w:val="24"/>
          <w:lang w:eastAsia="zh-CN"/>
        </w:rPr>
        <w:t>六安凯旭服饰有限公司年产150万件职工编制生产线项目</w:t>
      </w:r>
      <w:r>
        <w:rPr>
          <w:color w:val="auto"/>
          <w:sz w:val="24"/>
          <w:szCs w:val="24"/>
        </w:rPr>
        <w:t>主要从事</w:t>
      </w:r>
      <w:r>
        <w:rPr>
          <w:rFonts w:hint="eastAsia"/>
          <w:color w:val="auto"/>
          <w:sz w:val="24"/>
          <w:szCs w:val="24"/>
          <w:lang w:eastAsia="zh-CN"/>
        </w:rPr>
        <w:t>服装加工水洗等</w:t>
      </w:r>
      <w:r>
        <w:rPr>
          <w:color w:val="auto"/>
          <w:sz w:val="24"/>
          <w:szCs w:val="24"/>
        </w:rPr>
        <w:t>生产活动，总占地面积</w:t>
      </w:r>
      <w:r>
        <w:rPr>
          <w:rFonts w:hint="eastAsia"/>
          <w:color w:val="auto"/>
          <w:sz w:val="24"/>
          <w:szCs w:val="24"/>
          <w:lang w:val="en-US" w:eastAsia="zh-CN"/>
        </w:rPr>
        <w:t>9983</w:t>
      </w:r>
      <w:r>
        <w:rPr>
          <w:color w:val="auto"/>
          <w:sz w:val="24"/>
          <w:szCs w:val="24"/>
        </w:rPr>
        <w:t>m</w:t>
      </w:r>
      <w:r>
        <w:rPr>
          <w:color w:val="auto"/>
          <w:sz w:val="24"/>
          <w:szCs w:val="24"/>
          <w:vertAlign w:val="superscript"/>
        </w:rPr>
        <w:t>2</w:t>
      </w:r>
      <w:r>
        <w:rPr>
          <w:color w:val="auto"/>
          <w:sz w:val="24"/>
          <w:szCs w:val="24"/>
        </w:rPr>
        <w:t>，规划总建筑面积为</w:t>
      </w:r>
      <w:r>
        <w:rPr>
          <w:rFonts w:hint="eastAsia"/>
          <w:color w:val="auto"/>
          <w:sz w:val="24"/>
          <w:szCs w:val="24"/>
          <w:lang w:val="en-US" w:eastAsia="zh-CN"/>
        </w:rPr>
        <w:t>12147</w:t>
      </w:r>
      <w:r>
        <w:rPr>
          <w:color w:val="auto"/>
          <w:sz w:val="24"/>
          <w:szCs w:val="24"/>
        </w:rPr>
        <w:t>m</w:t>
      </w:r>
      <w:r>
        <w:rPr>
          <w:color w:val="auto"/>
          <w:sz w:val="24"/>
          <w:szCs w:val="24"/>
          <w:vertAlign w:val="superscript"/>
        </w:rPr>
        <w:t>2</w:t>
      </w:r>
      <w:r>
        <w:rPr>
          <w:color w:val="auto"/>
          <w:sz w:val="24"/>
          <w:szCs w:val="24"/>
        </w:rPr>
        <w:t>，总投资</w:t>
      </w:r>
      <w:r>
        <w:rPr>
          <w:rFonts w:hint="eastAsia"/>
          <w:color w:val="auto"/>
          <w:sz w:val="24"/>
          <w:szCs w:val="24"/>
          <w:lang w:val="en-US" w:eastAsia="zh-CN"/>
        </w:rPr>
        <w:t>1000</w:t>
      </w:r>
      <w:r>
        <w:rPr>
          <w:color w:val="auto"/>
          <w:sz w:val="24"/>
          <w:szCs w:val="24"/>
        </w:rPr>
        <w:t>万元，其中环保投资</w:t>
      </w:r>
      <w:r>
        <w:rPr>
          <w:rFonts w:hint="eastAsia"/>
          <w:color w:val="auto"/>
          <w:sz w:val="24"/>
          <w:szCs w:val="24"/>
          <w:lang w:val="en-US" w:eastAsia="zh-CN"/>
        </w:rPr>
        <w:t>35</w:t>
      </w:r>
      <w:r>
        <w:rPr>
          <w:color w:val="auto"/>
          <w:sz w:val="24"/>
          <w:szCs w:val="24"/>
        </w:rPr>
        <w:t>万元，占总投资的</w:t>
      </w:r>
      <w:r>
        <w:rPr>
          <w:rFonts w:hint="eastAsia"/>
          <w:color w:val="auto"/>
          <w:sz w:val="24"/>
          <w:szCs w:val="24"/>
          <w:lang w:val="en-US" w:eastAsia="zh-CN"/>
        </w:rPr>
        <w:t>3.5</w:t>
      </w:r>
      <w:r>
        <w:rPr>
          <w:color w:val="auto"/>
          <w:sz w:val="24"/>
          <w:szCs w:val="24"/>
        </w:rPr>
        <w:t>%。</w:t>
      </w:r>
      <w:r>
        <w:rPr>
          <w:rFonts w:hint="eastAsia"/>
          <w:color w:val="auto"/>
          <w:sz w:val="24"/>
          <w:szCs w:val="24"/>
        </w:rPr>
        <w:t>项目主要由</w:t>
      </w:r>
      <w:r>
        <w:rPr>
          <w:rFonts w:hint="eastAsia"/>
          <w:color w:val="auto"/>
          <w:sz w:val="24"/>
          <w:szCs w:val="24"/>
          <w:lang w:eastAsia="zh-CN"/>
        </w:rPr>
        <w:t>服装加工生产线</w:t>
      </w:r>
      <w:r>
        <w:rPr>
          <w:rFonts w:hint="eastAsia"/>
          <w:color w:val="auto"/>
          <w:sz w:val="24"/>
          <w:szCs w:val="24"/>
        </w:rPr>
        <w:t>、检验区、</w:t>
      </w:r>
      <w:r>
        <w:rPr>
          <w:rFonts w:hint="eastAsia"/>
          <w:color w:val="auto"/>
          <w:sz w:val="24"/>
          <w:szCs w:val="24"/>
          <w:lang w:eastAsia="zh-CN"/>
        </w:rPr>
        <w:t>成品</w:t>
      </w:r>
      <w:r>
        <w:rPr>
          <w:rFonts w:hint="eastAsia"/>
          <w:color w:val="auto"/>
          <w:sz w:val="24"/>
          <w:szCs w:val="24"/>
        </w:rPr>
        <w:t>仓库、</w:t>
      </w:r>
      <w:r>
        <w:rPr>
          <w:rFonts w:hint="eastAsia"/>
          <w:color w:val="auto"/>
          <w:sz w:val="24"/>
          <w:szCs w:val="24"/>
          <w:lang w:eastAsia="zh-CN"/>
        </w:rPr>
        <w:t>原料仓库</w:t>
      </w:r>
      <w:r>
        <w:rPr>
          <w:rFonts w:hint="eastAsia"/>
          <w:color w:val="auto"/>
          <w:sz w:val="24"/>
          <w:szCs w:val="24"/>
        </w:rPr>
        <w:t>及相关环保工程组成，其中</w:t>
      </w:r>
      <w:r>
        <w:rPr>
          <w:rFonts w:hint="eastAsia"/>
          <w:color w:val="auto"/>
          <w:sz w:val="24"/>
          <w:szCs w:val="24"/>
          <w:lang w:eastAsia="zh-CN"/>
        </w:rPr>
        <w:t>服装加工生产线</w:t>
      </w:r>
      <w:r>
        <w:rPr>
          <w:rFonts w:hint="eastAsia"/>
          <w:color w:val="auto"/>
          <w:sz w:val="24"/>
          <w:szCs w:val="24"/>
        </w:rPr>
        <w:t>布设</w:t>
      </w:r>
      <w:r>
        <w:rPr>
          <w:rFonts w:hint="eastAsia"/>
          <w:color w:val="auto"/>
          <w:sz w:val="24"/>
          <w:szCs w:val="24"/>
          <w:lang w:eastAsia="zh-CN"/>
        </w:rPr>
        <w:t>电脑横机、平车机、套口机、工业水洗机、脱水机等</w:t>
      </w:r>
      <w:r>
        <w:rPr>
          <w:rFonts w:hint="eastAsia"/>
          <w:color w:val="auto"/>
          <w:sz w:val="24"/>
          <w:szCs w:val="24"/>
        </w:rPr>
        <w:t>设备进行</w:t>
      </w:r>
      <w:r>
        <w:rPr>
          <w:rFonts w:hint="eastAsia"/>
          <w:color w:val="auto"/>
          <w:sz w:val="24"/>
          <w:szCs w:val="24"/>
          <w:lang w:eastAsia="zh-CN"/>
        </w:rPr>
        <w:t>服装加工水洗</w:t>
      </w:r>
      <w:r>
        <w:rPr>
          <w:rFonts w:hint="eastAsia"/>
          <w:color w:val="auto"/>
          <w:sz w:val="24"/>
          <w:szCs w:val="24"/>
        </w:rPr>
        <w:t>，</w:t>
      </w:r>
      <w:r>
        <w:rPr>
          <w:color w:val="auto"/>
          <w:sz w:val="24"/>
          <w:szCs w:val="24"/>
        </w:rPr>
        <w:t>运行后能够达到</w:t>
      </w:r>
      <w:r>
        <w:rPr>
          <w:rFonts w:hint="eastAsia"/>
          <w:color w:val="auto"/>
          <w:sz w:val="24"/>
          <w:szCs w:val="24"/>
          <w:lang w:eastAsia="zh-CN"/>
        </w:rPr>
        <w:t>年产</w:t>
      </w:r>
      <w:r>
        <w:rPr>
          <w:rFonts w:hint="eastAsia"/>
          <w:color w:val="auto"/>
          <w:sz w:val="24"/>
          <w:szCs w:val="24"/>
          <w:lang w:val="en-US" w:eastAsia="zh-CN"/>
        </w:rPr>
        <w:t>150万件服装</w:t>
      </w:r>
      <w:r>
        <w:rPr>
          <w:rFonts w:hint="eastAsia"/>
          <w:color w:val="auto"/>
          <w:sz w:val="24"/>
          <w:szCs w:val="24"/>
        </w:rPr>
        <w:t>生产能力</w:t>
      </w:r>
      <w:r>
        <w:rPr>
          <w:color w:val="auto"/>
          <w:sz w:val="24"/>
          <w:szCs w:val="24"/>
        </w:rPr>
        <w:t>。</w:t>
      </w:r>
    </w:p>
    <w:p>
      <w:pPr>
        <w:ind w:firstLine="480" w:firstLineChars="200"/>
        <w:rPr>
          <w:b/>
          <w:position w:val="6"/>
          <w:sz w:val="24"/>
          <w:szCs w:val="24"/>
        </w:rPr>
      </w:pPr>
      <w:r>
        <w:rPr>
          <w:position w:val="6"/>
          <w:sz w:val="24"/>
          <w:szCs w:val="24"/>
        </w:rPr>
        <w:t>根据《中华人民共和国环境保护法》、《中华人民共和国环境影响评价法》及《建设项目环境保护管理条例》等法律法规，本项目需开展环境影响评价工作，本项目属于《</w:t>
      </w:r>
      <w:bookmarkStart w:id="6" w:name="OLE_LINK2"/>
      <w:r>
        <w:rPr>
          <w:position w:val="6"/>
          <w:sz w:val="24"/>
          <w:szCs w:val="24"/>
        </w:rPr>
        <w:t>国民经济行业分类</w:t>
      </w:r>
      <w:bookmarkEnd w:id="6"/>
      <w:r>
        <w:rPr>
          <w:position w:val="6"/>
          <w:sz w:val="24"/>
          <w:szCs w:val="24"/>
        </w:rPr>
        <w:t>》（GB/T 4754-2017）中的“</w:t>
      </w:r>
      <w:r>
        <w:rPr>
          <w:rFonts w:hint="eastAsia"/>
          <w:position w:val="6"/>
          <w:sz w:val="24"/>
          <w:szCs w:val="24"/>
          <w:lang w:val="en-US" w:eastAsia="zh-CN"/>
        </w:rPr>
        <w:t>1830</w:t>
      </w:r>
      <w:r>
        <w:rPr>
          <w:position w:val="6"/>
          <w:sz w:val="24"/>
          <w:szCs w:val="24"/>
        </w:rPr>
        <w:t xml:space="preserve"> </w:t>
      </w:r>
      <w:r>
        <w:rPr>
          <w:rFonts w:hint="eastAsia" w:hAnsi="宋体"/>
          <w:position w:val="6"/>
          <w:sz w:val="24"/>
          <w:szCs w:val="24"/>
          <w:lang w:eastAsia="zh-CN"/>
        </w:rPr>
        <w:t>服饰制造</w:t>
      </w:r>
      <w:r>
        <w:rPr>
          <w:position w:val="6"/>
          <w:sz w:val="24"/>
          <w:szCs w:val="24"/>
        </w:rPr>
        <w:t>”，对照《建设项目环境影响评价分类管理名录》（环境保护部令第44号）及其修改单（生态环境部令第1号），本项目环境影响评价类别判定情况见下表：</w:t>
      </w:r>
    </w:p>
    <w:p>
      <w:pPr>
        <w:spacing w:line="240" w:lineRule="auto"/>
        <w:ind w:firstLine="2891" w:firstLineChars="1200"/>
        <w:rPr>
          <w:b/>
          <w:position w:val="6"/>
          <w:sz w:val="24"/>
          <w:szCs w:val="24"/>
        </w:rPr>
      </w:pPr>
      <w:r>
        <w:rPr>
          <w:b/>
          <w:position w:val="6"/>
          <w:sz w:val="24"/>
          <w:szCs w:val="24"/>
        </w:rPr>
        <w:t>表1  项目环评类别判定情况表</w:t>
      </w:r>
    </w:p>
    <w:tbl>
      <w:tblPr>
        <w:tblStyle w:val="22"/>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9"/>
        <w:gridCol w:w="2684"/>
        <w:gridCol w:w="848"/>
        <w:gridCol w:w="846"/>
        <w:gridCol w:w="1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2539" w:type="dxa"/>
            <w:vMerge w:val="restart"/>
            <w:tcBorders>
              <w:top w:val="single" w:color="auto" w:sz="12" w:space="0"/>
              <w:left w:val="nil"/>
              <w:tl2br w:val="single" w:color="auto" w:sz="4" w:space="0"/>
            </w:tcBorders>
            <w:vAlign w:val="center"/>
          </w:tcPr>
          <w:p>
            <w:pPr>
              <w:spacing w:line="240" w:lineRule="auto"/>
              <w:jc w:val="center"/>
              <w:rPr>
                <w:position w:val="6"/>
              </w:rPr>
            </w:pPr>
            <w:r>
              <w:rPr>
                <w:position w:val="6"/>
              </w:rPr>
              <w:t xml:space="preserve">        环评类别</w:t>
            </w:r>
          </w:p>
          <w:p>
            <w:pPr>
              <w:spacing w:line="240" w:lineRule="auto"/>
              <w:rPr>
                <w:position w:val="6"/>
              </w:rPr>
            </w:pPr>
            <w:r>
              <w:rPr>
                <w:position w:val="6"/>
              </w:rPr>
              <w:t>项目类别</w:t>
            </w:r>
          </w:p>
        </w:tc>
        <w:tc>
          <w:tcPr>
            <w:tcW w:w="4378" w:type="dxa"/>
            <w:gridSpan w:val="3"/>
            <w:tcBorders>
              <w:top w:val="single" w:color="auto" w:sz="12" w:space="0"/>
            </w:tcBorders>
            <w:vAlign w:val="center"/>
          </w:tcPr>
          <w:p>
            <w:pPr>
              <w:spacing w:line="240" w:lineRule="auto"/>
              <w:jc w:val="center"/>
              <w:rPr>
                <w:position w:val="6"/>
              </w:rPr>
            </w:pPr>
            <w:r>
              <w:rPr>
                <w:position w:val="6"/>
              </w:rPr>
              <w:t>环境影响评价类别</w:t>
            </w:r>
          </w:p>
        </w:tc>
        <w:tc>
          <w:tcPr>
            <w:tcW w:w="1917" w:type="dxa"/>
            <w:vMerge w:val="restart"/>
            <w:tcBorders>
              <w:top w:val="single" w:color="auto" w:sz="12" w:space="0"/>
              <w:right w:val="nil"/>
            </w:tcBorders>
            <w:vAlign w:val="center"/>
          </w:tcPr>
          <w:p>
            <w:pPr>
              <w:spacing w:line="240" w:lineRule="auto"/>
              <w:jc w:val="center"/>
              <w:rPr>
                <w:position w:val="6"/>
              </w:rPr>
            </w:pPr>
            <w:r>
              <w:rPr>
                <w:position w:val="6"/>
              </w:rPr>
              <w:t>项目环评类别判定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2539" w:type="dxa"/>
            <w:vMerge w:val="continue"/>
            <w:tcBorders>
              <w:left w:val="nil"/>
              <w:tl2br w:val="single" w:color="auto" w:sz="4" w:space="0"/>
            </w:tcBorders>
            <w:vAlign w:val="center"/>
          </w:tcPr>
          <w:p>
            <w:pPr>
              <w:spacing w:line="240" w:lineRule="auto"/>
              <w:jc w:val="center"/>
              <w:rPr>
                <w:position w:val="6"/>
              </w:rPr>
            </w:pPr>
          </w:p>
        </w:tc>
        <w:tc>
          <w:tcPr>
            <w:tcW w:w="2684" w:type="dxa"/>
            <w:vAlign w:val="center"/>
          </w:tcPr>
          <w:p>
            <w:pPr>
              <w:spacing w:line="240" w:lineRule="auto"/>
              <w:jc w:val="center"/>
              <w:rPr>
                <w:position w:val="6"/>
              </w:rPr>
            </w:pPr>
            <w:r>
              <w:rPr>
                <w:position w:val="6"/>
              </w:rPr>
              <w:t>报告书</w:t>
            </w:r>
          </w:p>
        </w:tc>
        <w:tc>
          <w:tcPr>
            <w:tcW w:w="848" w:type="dxa"/>
            <w:vAlign w:val="center"/>
          </w:tcPr>
          <w:p>
            <w:pPr>
              <w:spacing w:line="240" w:lineRule="auto"/>
              <w:jc w:val="center"/>
              <w:rPr>
                <w:position w:val="6"/>
              </w:rPr>
            </w:pPr>
            <w:r>
              <w:rPr>
                <w:position w:val="6"/>
              </w:rPr>
              <w:t>报告表</w:t>
            </w:r>
          </w:p>
        </w:tc>
        <w:tc>
          <w:tcPr>
            <w:tcW w:w="846" w:type="dxa"/>
            <w:vAlign w:val="center"/>
          </w:tcPr>
          <w:p>
            <w:pPr>
              <w:spacing w:line="240" w:lineRule="auto"/>
              <w:jc w:val="center"/>
              <w:rPr>
                <w:position w:val="6"/>
              </w:rPr>
            </w:pPr>
            <w:r>
              <w:rPr>
                <w:position w:val="6"/>
              </w:rPr>
              <w:t>登记表</w:t>
            </w:r>
          </w:p>
        </w:tc>
        <w:tc>
          <w:tcPr>
            <w:tcW w:w="1917" w:type="dxa"/>
            <w:vMerge w:val="continue"/>
            <w:tcBorders>
              <w:right w:val="nil"/>
            </w:tcBorders>
            <w:vAlign w:val="center"/>
          </w:tcPr>
          <w:p>
            <w:pPr>
              <w:spacing w:line="240" w:lineRule="auto"/>
              <w:jc w:val="center"/>
              <w:rPr>
                <w:position w:val="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539" w:type="dxa"/>
            <w:tcBorders>
              <w:left w:val="nil"/>
            </w:tcBorders>
            <w:vAlign w:val="center"/>
          </w:tcPr>
          <w:p>
            <w:pPr>
              <w:spacing w:line="240" w:lineRule="auto"/>
              <w:jc w:val="center"/>
              <w:rPr>
                <w:rFonts w:hint="default" w:eastAsia="宋体"/>
                <w:position w:val="6"/>
                <w:lang w:val="en-US" w:eastAsia="zh-CN"/>
              </w:rPr>
            </w:pPr>
            <w:r>
              <w:rPr>
                <w:rFonts w:hint="eastAsia"/>
                <w:position w:val="6"/>
                <w:lang w:val="en-US" w:eastAsia="zh-CN"/>
              </w:rPr>
              <w:t>21 服装制造</w:t>
            </w:r>
          </w:p>
        </w:tc>
        <w:tc>
          <w:tcPr>
            <w:tcW w:w="2684" w:type="dxa"/>
            <w:shd w:val="clear" w:color="auto" w:fill="auto"/>
            <w:vAlign w:val="center"/>
          </w:tcPr>
          <w:p>
            <w:pPr>
              <w:spacing w:line="240" w:lineRule="auto"/>
              <w:jc w:val="center"/>
              <w:rPr>
                <w:rFonts w:hint="eastAsia" w:eastAsia="宋体"/>
                <w:position w:val="6"/>
                <w:lang w:eastAsia="zh-CN"/>
              </w:rPr>
            </w:pPr>
            <w:r>
              <w:rPr>
                <w:rFonts w:hint="eastAsia"/>
                <w:position w:val="6"/>
                <w:lang w:eastAsia="zh-CN"/>
              </w:rPr>
              <w:t>有湿法印花、染色、水洗工艺的</w:t>
            </w:r>
          </w:p>
        </w:tc>
        <w:tc>
          <w:tcPr>
            <w:tcW w:w="848" w:type="dxa"/>
            <w:vAlign w:val="center"/>
          </w:tcPr>
          <w:p>
            <w:pPr>
              <w:spacing w:line="240" w:lineRule="auto"/>
              <w:jc w:val="center"/>
              <w:rPr>
                <w:position w:val="6"/>
              </w:rPr>
            </w:pPr>
            <w:r>
              <w:rPr>
                <w:position w:val="6"/>
              </w:rPr>
              <w:t>其他</w:t>
            </w:r>
          </w:p>
        </w:tc>
        <w:tc>
          <w:tcPr>
            <w:tcW w:w="846" w:type="dxa"/>
            <w:vAlign w:val="center"/>
          </w:tcPr>
          <w:p>
            <w:pPr>
              <w:spacing w:line="240" w:lineRule="auto"/>
              <w:jc w:val="center"/>
              <w:rPr>
                <w:position w:val="6"/>
              </w:rPr>
            </w:pPr>
            <w:r>
              <w:rPr>
                <w:position w:val="6"/>
              </w:rPr>
              <w:t>/</w:t>
            </w:r>
          </w:p>
        </w:tc>
        <w:tc>
          <w:tcPr>
            <w:tcW w:w="1917" w:type="dxa"/>
            <w:tcBorders>
              <w:right w:val="nil"/>
            </w:tcBorders>
            <w:vAlign w:val="center"/>
          </w:tcPr>
          <w:p>
            <w:pPr>
              <w:spacing w:line="240" w:lineRule="auto"/>
              <w:jc w:val="center"/>
              <w:rPr>
                <w:position w:val="6"/>
              </w:rPr>
            </w:pPr>
            <w:r>
              <w:rPr>
                <w:position w:val="6"/>
              </w:rPr>
              <w:t>本项目</w:t>
            </w:r>
            <w:r>
              <w:rPr>
                <w:rFonts w:hint="eastAsia"/>
                <w:position w:val="6"/>
                <w:lang w:eastAsia="zh-CN"/>
              </w:rPr>
              <w:t>有水洗工艺</w:t>
            </w:r>
            <w:r>
              <w:rPr>
                <w:position w:val="6"/>
              </w:rPr>
              <w:t>，故应编制报告书</w:t>
            </w:r>
          </w:p>
        </w:tc>
      </w:tr>
    </w:tbl>
    <w:p>
      <w:pPr>
        <w:ind w:firstLine="480" w:firstLineChars="200"/>
        <w:rPr>
          <w:sz w:val="24"/>
          <w:szCs w:val="24"/>
        </w:rPr>
      </w:pPr>
      <w:r>
        <w:rPr>
          <w:rFonts w:hint="eastAsia"/>
          <w:sz w:val="24"/>
          <w:szCs w:val="24"/>
          <w:lang w:eastAsia="zh-CN"/>
        </w:rPr>
        <w:t>六安凯旭服饰有限公司</w:t>
      </w:r>
      <w:r>
        <w:rPr>
          <w:sz w:val="24"/>
          <w:szCs w:val="24"/>
        </w:rPr>
        <w:t>于2019年</w:t>
      </w:r>
      <w:r>
        <w:rPr>
          <w:rFonts w:hint="eastAsia"/>
          <w:sz w:val="24"/>
          <w:szCs w:val="24"/>
          <w:lang w:val="en-US" w:eastAsia="zh-CN"/>
        </w:rPr>
        <w:t>9</w:t>
      </w:r>
      <w:r>
        <w:rPr>
          <w:sz w:val="24"/>
          <w:szCs w:val="24"/>
        </w:rPr>
        <w:t>月</w:t>
      </w:r>
      <w:r>
        <w:rPr>
          <w:rFonts w:hint="eastAsia"/>
          <w:sz w:val="24"/>
          <w:szCs w:val="24"/>
          <w:lang w:val="en-US" w:eastAsia="zh-CN"/>
        </w:rPr>
        <w:t>23</w:t>
      </w:r>
      <w:r>
        <w:rPr>
          <w:sz w:val="24"/>
          <w:szCs w:val="24"/>
        </w:rPr>
        <w:t>日委托我司开展该项目的环境影响评价工作，接受委托后，我司即组织相关专业技术人员进行了实地踏勘，查阅了相关文件并广泛收集有关资料。在收集与该项目有关的技术资料、实地考察、现状监测、影响预测的基础上，按照屠宰国家相关环保法律、法规及有关技术导则规范，编制完成了《</w:t>
      </w:r>
      <w:r>
        <w:rPr>
          <w:rFonts w:hint="eastAsia"/>
          <w:color w:val="000000" w:themeColor="text1"/>
          <w:sz w:val="24"/>
          <w:szCs w:val="24"/>
          <w:lang w:eastAsia="zh-CN"/>
          <w14:textFill>
            <w14:solidFill>
              <w14:schemeClr w14:val="tx1"/>
            </w14:solidFill>
          </w14:textFill>
        </w:rPr>
        <w:t>六安凯旭服饰有限公司年产150万件职工编制生产线项目</w:t>
      </w:r>
      <w:r>
        <w:rPr>
          <w:color w:val="000000" w:themeColor="text1"/>
          <w:sz w:val="24"/>
          <w:szCs w:val="24"/>
          <w14:textFill>
            <w14:solidFill>
              <w14:schemeClr w14:val="tx1"/>
            </w14:solidFill>
          </w14:textFill>
        </w:rPr>
        <w:t>环境</w:t>
      </w:r>
      <w:r>
        <w:rPr>
          <w:sz w:val="24"/>
          <w:szCs w:val="24"/>
        </w:rPr>
        <w:t>影响报告书》，呈报环境保护主管部门审批。</w:t>
      </w:r>
    </w:p>
    <w:p>
      <w:pPr>
        <w:pStyle w:val="7"/>
        <w:rPr>
          <w:color w:val="000000" w:themeColor="text1"/>
          <w:szCs w:val="24"/>
          <w14:textFill>
            <w14:solidFill>
              <w14:schemeClr w14:val="tx1"/>
            </w14:solidFill>
          </w14:textFill>
        </w:rPr>
      </w:pPr>
      <w:bookmarkStart w:id="7" w:name="_Toc26454_WPSOffice_Level1"/>
      <w:bookmarkStart w:id="8" w:name="_Toc23102_WPSOffice_Level1"/>
      <w:bookmarkStart w:id="9" w:name="_Toc9992_WPSOffice_Level1"/>
      <w:bookmarkStart w:id="10" w:name="_Toc22509_WPSOffice_Level1"/>
      <w:bookmarkStart w:id="11" w:name="_Toc14483_WPSOffice_Level1"/>
      <w:r>
        <w:rPr>
          <w:szCs w:val="24"/>
        </w:rPr>
        <w:t>二、环境影响评价过</w:t>
      </w:r>
      <w:r>
        <w:rPr>
          <w:color w:val="000000" w:themeColor="text1"/>
          <w:szCs w:val="24"/>
          <w14:textFill>
            <w14:solidFill>
              <w14:schemeClr w14:val="tx1"/>
            </w14:solidFill>
          </w14:textFill>
        </w:rPr>
        <w:t>程</w:t>
      </w:r>
      <w:bookmarkEnd w:id="7"/>
      <w:bookmarkEnd w:id="8"/>
      <w:bookmarkEnd w:id="9"/>
      <w:bookmarkEnd w:id="10"/>
      <w:bookmarkEnd w:id="11"/>
    </w:p>
    <w:p>
      <w:pPr>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（1）2019年</w:t>
      </w:r>
      <w:r>
        <w:rPr>
          <w:rFonts w:hint="eastAsia"/>
          <w:color w:val="000000" w:themeColor="text1"/>
          <w:sz w:val="24"/>
          <w:szCs w:val="24"/>
          <w:lang w:val="en-US" w:eastAsia="zh-CN"/>
          <w14:textFill>
            <w14:solidFill>
              <w14:schemeClr w14:val="tx1"/>
            </w14:solidFill>
          </w14:textFill>
        </w:rPr>
        <w:t>9</w:t>
      </w:r>
      <w:r>
        <w:rPr>
          <w:color w:val="000000" w:themeColor="text1"/>
          <w:sz w:val="24"/>
          <w:szCs w:val="24"/>
          <w14:textFill>
            <w14:solidFill>
              <w14:schemeClr w14:val="tx1"/>
            </w14:solidFill>
          </w14:textFill>
        </w:rPr>
        <w:t>月</w:t>
      </w:r>
      <w:r>
        <w:rPr>
          <w:rFonts w:hint="eastAsia"/>
          <w:color w:val="000000" w:themeColor="text1"/>
          <w:sz w:val="24"/>
          <w:szCs w:val="24"/>
          <w:lang w:val="en-US" w:eastAsia="zh-CN"/>
          <w14:textFill>
            <w14:solidFill>
              <w14:schemeClr w14:val="tx1"/>
            </w14:solidFill>
          </w14:textFill>
        </w:rPr>
        <w:t>23</w:t>
      </w:r>
      <w:r>
        <w:rPr>
          <w:color w:val="000000" w:themeColor="text1"/>
          <w:sz w:val="24"/>
          <w:szCs w:val="24"/>
          <w14:textFill>
            <w14:solidFill>
              <w14:schemeClr w14:val="tx1"/>
            </w14:solidFill>
          </w14:textFill>
        </w:rPr>
        <w:t>日，六安四瑞迪环境工程有限公司受</w:t>
      </w:r>
      <w:r>
        <w:rPr>
          <w:rFonts w:hint="eastAsia"/>
          <w:color w:val="000000" w:themeColor="text1"/>
          <w:sz w:val="24"/>
          <w:szCs w:val="24"/>
          <w:lang w:eastAsia="zh-CN"/>
          <w14:textFill>
            <w14:solidFill>
              <w14:schemeClr w14:val="tx1"/>
            </w14:solidFill>
          </w14:textFill>
        </w:rPr>
        <w:t>六安凯旭服饰有限公司</w:t>
      </w:r>
      <w:r>
        <w:rPr>
          <w:color w:val="000000" w:themeColor="text1"/>
          <w:sz w:val="24"/>
          <w:szCs w:val="24"/>
          <w14:textFill>
            <w14:solidFill>
              <w14:schemeClr w14:val="tx1"/>
            </w14:solidFill>
          </w14:textFill>
        </w:rPr>
        <w:t>委托，承担《</w:t>
      </w:r>
      <w:r>
        <w:rPr>
          <w:rFonts w:hint="eastAsia"/>
          <w:color w:val="000000" w:themeColor="text1"/>
          <w:sz w:val="24"/>
          <w:szCs w:val="24"/>
          <w:lang w:eastAsia="zh-CN"/>
          <w14:textFill>
            <w14:solidFill>
              <w14:schemeClr w14:val="tx1"/>
            </w14:solidFill>
          </w14:textFill>
        </w:rPr>
        <w:t>六安凯旭服饰有限公司年产150万件职工编制生产线项目</w:t>
      </w:r>
      <w:r>
        <w:rPr>
          <w:color w:val="000000" w:themeColor="text1"/>
          <w:sz w:val="24"/>
          <w:szCs w:val="24"/>
          <w14:textFill>
            <w14:solidFill>
              <w14:schemeClr w14:val="tx1"/>
            </w14:solidFill>
          </w14:textFill>
        </w:rPr>
        <w:t>环境影响报告书》的编制工作；</w:t>
      </w:r>
    </w:p>
    <w:p>
      <w:pPr>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（2）2019年</w:t>
      </w:r>
      <w:r>
        <w:rPr>
          <w:rFonts w:hint="eastAsia"/>
          <w:color w:val="000000" w:themeColor="text1"/>
          <w:sz w:val="24"/>
          <w:szCs w:val="24"/>
          <w:lang w:val="en-US" w:eastAsia="zh-CN"/>
          <w14:textFill>
            <w14:solidFill>
              <w14:schemeClr w14:val="tx1"/>
            </w14:solidFill>
          </w14:textFill>
        </w:rPr>
        <w:t>9</w:t>
      </w:r>
      <w:r>
        <w:rPr>
          <w:color w:val="000000" w:themeColor="text1"/>
          <w:sz w:val="24"/>
          <w:szCs w:val="24"/>
          <w:highlight w:val="none"/>
          <w14:textFill>
            <w14:solidFill>
              <w14:schemeClr w14:val="tx1"/>
            </w14:solidFill>
          </w14:textFill>
        </w:rPr>
        <w:t>月</w:t>
      </w:r>
      <w:r>
        <w:rPr>
          <w:rFonts w:hint="eastAsia"/>
          <w:color w:val="000000" w:themeColor="text1"/>
          <w:sz w:val="24"/>
          <w:szCs w:val="24"/>
          <w:highlight w:val="none"/>
          <w:lang w:val="en-US" w:eastAsia="zh-CN"/>
          <w14:textFill>
            <w14:solidFill>
              <w14:schemeClr w14:val="tx1"/>
            </w14:solidFill>
          </w14:textFill>
        </w:rPr>
        <w:t>27</w:t>
      </w:r>
      <w:r>
        <w:rPr>
          <w:color w:val="000000" w:themeColor="text1"/>
          <w:sz w:val="24"/>
          <w:szCs w:val="24"/>
          <w:highlight w:val="none"/>
          <w14:textFill>
            <w14:solidFill>
              <w14:schemeClr w14:val="tx1"/>
            </w14:solidFill>
          </w14:textFill>
        </w:rPr>
        <w:t>日</w:t>
      </w:r>
      <w:r>
        <w:rPr>
          <w:color w:val="000000" w:themeColor="text1"/>
          <w:sz w:val="24"/>
          <w:szCs w:val="24"/>
          <w14:textFill>
            <w14:solidFill>
              <w14:schemeClr w14:val="tx1"/>
            </w14:solidFill>
          </w14:textFill>
        </w:rPr>
        <w:t>，在</w:t>
      </w:r>
      <w:r>
        <w:rPr>
          <w:rFonts w:hint="eastAsia"/>
          <w:color w:val="000000" w:themeColor="text1"/>
          <w:sz w:val="24"/>
          <w:szCs w:val="24"/>
          <w:lang w:eastAsia="zh-CN"/>
          <w14:textFill>
            <w14:solidFill>
              <w14:schemeClr w14:val="tx1"/>
            </w14:solidFill>
          </w14:textFill>
        </w:rPr>
        <w:t>六安市开发区管理委员会</w:t>
      </w:r>
      <w:r>
        <w:rPr>
          <w:color w:val="000000" w:themeColor="text1"/>
          <w:sz w:val="24"/>
          <w:szCs w:val="24"/>
          <w14:textFill>
            <w14:solidFill>
              <w14:schemeClr w14:val="tx1"/>
            </w14:solidFill>
          </w14:textFill>
        </w:rPr>
        <w:t>网站进行</w:t>
      </w:r>
      <w:r>
        <w:rPr>
          <w:rFonts w:hint="eastAsia"/>
          <w:color w:val="000000" w:themeColor="text1"/>
          <w:sz w:val="24"/>
          <w:szCs w:val="24"/>
          <w:lang w:eastAsia="zh-CN"/>
          <w14:textFill>
            <w14:solidFill>
              <w14:schemeClr w14:val="tx1"/>
            </w14:solidFill>
          </w14:textFill>
        </w:rPr>
        <w:t>六安凯旭服饰有限公司年产150万件职工编制生产线项目</w:t>
      </w:r>
      <w:r>
        <w:rPr>
          <w:rFonts w:hint="eastAsia"/>
          <w:color w:val="000000" w:themeColor="text1"/>
          <w:sz w:val="24"/>
          <w:szCs w:val="24"/>
          <w14:textFill>
            <w14:solidFill>
              <w14:schemeClr w14:val="tx1"/>
            </w14:solidFill>
          </w14:textFill>
        </w:rPr>
        <w:t>首次</w:t>
      </w:r>
      <w:r>
        <w:rPr>
          <w:color w:val="000000" w:themeColor="text1"/>
          <w:sz w:val="24"/>
          <w:szCs w:val="24"/>
          <w14:textFill>
            <w14:solidFill>
              <w14:schemeClr w14:val="tx1"/>
            </w14:solidFill>
          </w14:textFill>
        </w:rPr>
        <w:t>环境影响评价</w:t>
      </w:r>
      <w:r>
        <w:rPr>
          <w:rFonts w:hint="eastAsia"/>
          <w:color w:val="000000" w:themeColor="text1"/>
          <w:sz w:val="24"/>
          <w:szCs w:val="24"/>
          <w:lang w:eastAsia="zh-CN"/>
          <w14:textFill>
            <w14:solidFill>
              <w14:schemeClr w14:val="tx1"/>
            </w14:solidFill>
          </w14:textFill>
        </w:rPr>
        <w:t>信息</w:t>
      </w:r>
      <w:r>
        <w:rPr>
          <w:color w:val="000000" w:themeColor="text1"/>
          <w:sz w:val="24"/>
          <w:szCs w:val="24"/>
          <w14:textFill>
            <w14:solidFill>
              <w14:schemeClr w14:val="tx1"/>
            </w14:solidFill>
          </w14:textFill>
        </w:rPr>
        <w:t>公</w:t>
      </w:r>
      <w:r>
        <w:rPr>
          <w:rFonts w:hint="eastAsia"/>
          <w:color w:val="000000" w:themeColor="text1"/>
          <w:sz w:val="24"/>
          <w:szCs w:val="24"/>
          <w14:textFill>
            <w14:solidFill>
              <w14:schemeClr w14:val="tx1"/>
            </w14:solidFill>
          </w14:textFill>
        </w:rPr>
        <w:t>开；</w:t>
      </w:r>
    </w:p>
    <w:p>
      <w:pPr>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（3）2019年</w:t>
      </w:r>
      <w:r>
        <w:rPr>
          <w:rFonts w:hint="eastAsia"/>
          <w:color w:val="000000" w:themeColor="text1"/>
          <w:sz w:val="24"/>
          <w:szCs w:val="24"/>
          <w:lang w:val="en-US" w:eastAsia="zh-CN"/>
          <w14:textFill>
            <w14:solidFill>
              <w14:schemeClr w14:val="tx1"/>
            </w14:solidFill>
          </w14:textFill>
        </w:rPr>
        <w:t>9</w:t>
      </w:r>
      <w:r>
        <w:rPr>
          <w:color w:val="000000" w:themeColor="text1"/>
          <w:sz w:val="24"/>
          <w:szCs w:val="24"/>
          <w14:textFill>
            <w14:solidFill>
              <w14:schemeClr w14:val="tx1"/>
            </w14:solidFill>
          </w14:textFill>
        </w:rPr>
        <w:t>月</w:t>
      </w:r>
      <w:r>
        <w:rPr>
          <w:rFonts w:hint="eastAsia"/>
          <w:color w:val="000000" w:themeColor="text1"/>
          <w:sz w:val="24"/>
          <w:szCs w:val="24"/>
          <w:lang w:val="en-US" w:eastAsia="zh-CN"/>
          <w14:textFill>
            <w14:solidFill>
              <w14:schemeClr w14:val="tx1"/>
            </w14:solidFill>
          </w14:textFill>
        </w:rPr>
        <w:t>30</w:t>
      </w:r>
      <w:r>
        <w:rPr>
          <w:color w:val="000000" w:themeColor="text1"/>
          <w:sz w:val="24"/>
          <w:szCs w:val="24"/>
          <w14:textFill>
            <w14:solidFill>
              <w14:schemeClr w14:val="tx1"/>
            </w14:solidFill>
          </w14:textFill>
        </w:rPr>
        <w:t>日，根据项目单位提供的技术资料进行工程分析，确定评价思路、评价重点及各环境要素评价等级；</w:t>
      </w:r>
    </w:p>
    <w:p>
      <w:pPr>
        <w:ind w:firstLine="480" w:firstLineChars="200"/>
        <w:rPr>
          <w:sz w:val="24"/>
          <w:szCs w:val="24"/>
        </w:rPr>
      </w:pPr>
      <w:r>
        <w:rPr>
          <w:sz w:val="24"/>
          <w:szCs w:val="24"/>
        </w:rPr>
        <w:t>（4）2019年</w:t>
      </w:r>
      <w:r>
        <w:rPr>
          <w:rFonts w:hint="eastAsia"/>
          <w:sz w:val="24"/>
          <w:szCs w:val="24"/>
          <w:lang w:val="en-US" w:eastAsia="zh-CN"/>
        </w:rPr>
        <w:t>10</w:t>
      </w:r>
      <w:r>
        <w:rPr>
          <w:sz w:val="24"/>
          <w:szCs w:val="24"/>
        </w:rPr>
        <w:t>月</w:t>
      </w:r>
      <w:r>
        <w:rPr>
          <w:rFonts w:hint="eastAsia"/>
          <w:sz w:val="24"/>
          <w:szCs w:val="24"/>
          <w:lang w:val="en-US" w:eastAsia="zh-CN"/>
        </w:rPr>
        <w:t>1</w:t>
      </w:r>
      <w:r>
        <w:rPr>
          <w:sz w:val="24"/>
          <w:szCs w:val="24"/>
        </w:rPr>
        <w:t>日，在收集区域现有环境质量现状资料的基础上，委托安徽</w:t>
      </w:r>
      <w:r>
        <w:rPr>
          <w:rFonts w:hint="eastAsia"/>
          <w:sz w:val="24"/>
          <w:szCs w:val="24"/>
          <w:lang w:eastAsia="zh-CN"/>
        </w:rPr>
        <w:t>川达检测科技有限公司</w:t>
      </w:r>
      <w:r>
        <w:rPr>
          <w:sz w:val="24"/>
          <w:szCs w:val="24"/>
        </w:rPr>
        <w:t>对项目所在区域环境空气</w:t>
      </w:r>
      <w:r>
        <w:rPr>
          <w:rFonts w:hint="eastAsia"/>
          <w:sz w:val="24"/>
          <w:szCs w:val="24"/>
        </w:rPr>
        <w:t>、地表水环境以及</w:t>
      </w:r>
      <w:r>
        <w:rPr>
          <w:sz w:val="24"/>
          <w:szCs w:val="24"/>
        </w:rPr>
        <w:t>声环境质量现状进行</w:t>
      </w:r>
      <w:r>
        <w:rPr>
          <w:rFonts w:hint="eastAsia"/>
          <w:sz w:val="24"/>
          <w:szCs w:val="24"/>
        </w:rPr>
        <w:t>现状</w:t>
      </w:r>
      <w:r>
        <w:rPr>
          <w:sz w:val="24"/>
          <w:szCs w:val="24"/>
        </w:rPr>
        <w:t>监测；</w:t>
      </w:r>
    </w:p>
    <w:p>
      <w:pPr>
        <w:ind w:firstLine="480" w:firstLineChars="200"/>
        <w:rPr>
          <w:sz w:val="24"/>
          <w:szCs w:val="24"/>
        </w:rPr>
      </w:pPr>
      <w:r>
        <w:rPr>
          <w:sz w:val="24"/>
          <w:szCs w:val="24"/>
        </w:rPr>
        <w:t>（5）2019年</w:t>
      </w:r>
      <w:r>
        <w:rPr>
          <w:rFonts w:hint="eastAsia"/>
          <w:sz w:val="24"/>
          <w:szCs w:val="24"/>
          <w:lang w:val="en-US" w:eastAsia="zh-CN"/>
        </w:rPr>
        <w:t>10</w:t>
      </w:r>
      <w:r>
        <w:rPr>
          <w:sz w:val="24"/>
          <w:szCs w:val="24"/>
        </w:rPr>
        <w:t>月</w:t>
      </w:r>
      <w:r>
        <w:rPr>
          <w:rFonts w:hint="eastAsia"/>
          <w:sz w:val="24"/>
          <w:szCs w:val="24"/>
          <w:lang w:val="en-US" w:eastAsia="zh-CN"/>
        </w:rPr>
        <w:t>10</w:t>
      </w:r>
      <w:r>
        <w:rPr>
          <w:sz w:val="24"/>
          <w:szCs w:val="24"/>
        </w:rPr>
        <w:t>日，项目课题组根据分工进行各专题编写、汇总，提出污染防治对策并论证其可行性，得出项目建设环境可行性结论；</w:t>
      </w:r>
    </w:p>
    <w:p>
      <w:pPr>
        <w:pStyle w:val="7"/>
        <w:rPr>
          <w:szCs w:val="24"/>
        </w:rPr>
      </w:pPr>
      <w:bookmarkStart w:id="12" w:name="_Toc20808_WPSOffice_Level1"/>
      <w:bookmarkStart w:id="13" w:name="_Toc310_WPSOffice_Level1"/>
      <w:bookmarkStart w:id="14" w:name="_Toc4203_WPSOffice_Level1"/>
      <w:bookmarkStart w:id="15" w:name="_Toc31526_WPSOffice_Level1"/>
      <w:bookmarkStart w:id="16" w:name="_Toc30611_WPSOffice_Level1"/>
      <w:r>
        <w:rPr>
          <w:szCs w:val="24"/>
        </w:rPr>
        <w:t>三、关注的主要</w:t>
      </w:r>
      <w:r>
        <w:rPr>
          <w:rFonts w:hint="eastAsia"/>
          <w:szCs w:val="24"/>
        </w:rPr>
        <w:t>环境</w:t>
      </w:r>
      <w:r>
        <w:rPr>
          <w:szCs w:val="24"/>
        </w:rPr>
        <w:t>问题</w:t>
      </w:r>
      <w:bookmarkEnd w:id="12"/>
      <w:bookmarkEnd w:id="13"/>
      <w:bookmarkEnd w:id="14"/>
      <w:bookmarkEnd w:id="15"/>
      <w:bookmarkEnd w:id="16"/>
    </w:p>
    <w:p>
      <w:pPr>
        <w:ind w:firstLine="600" w:firstLineChars="250"/>
        <w:rPr>
          <w:sz w:val="24"/>
          <w:szCs w:val="24"/>
          <w:lang w:val="zh-CN"/>
        </w:rPr>
      </w:pPr>
      <w:r>
        <w:rPr>
          <w:sz w:val="24"/>
          <w:szCs w:val="24"/>
          <w:lang w:val="zh-CN"/>
        </w:rPr>
        <w:t>①项目区域环境质量现状是否满足环境功能区划；</w:t>
      </w:r>
    </w:p>
    <w:p>
      <w:pPr>
        <w:ind w:firstLine="600" w:firstLineChars="250"/>
        <w:rPr>
          <w:sz w:val="24"/>
          <w:szCs w:val="24"/>
          <w:lang w:val="zh-CN"/>
        </w:rPr>
      </w:pPr>
      <w:r>
        <w:rPr>
          <w:sz w:val="24"/>
          <w:szCs w:val="24"/>
          <w:lang w:val="zh-CN"/>
        </w:rPr>
        <w:t>②项目污染防治措施的可行性分析；</w:t>
      </w:r>
    </w:p>
    <w:p>
      <w:pPr>
        <w:ind w:firstLine="600" w:firstLineChars="250"/>
        <w:rPr>
          <w:sz w:val="24"/>
          <w:szCs w:val="24"/>
          <w:lang w:val="zh-CN"/>
        </w:rPr>
      </w:pPr>
      <w:r>
        <w:rPr>
          <w:sz w:val="24"/>
          <w:szCs w:val="24"/>
          <w:lang w:val="zh-CN"/>
        </w:rPr>
        <w:t>③各类污染物排放是否达标及对区域环境、环境敏感点的影响程度</w:t>
      </w:r>
      <w:r>
        <w:rPr>
          <w:rFonts w:hint="eastAsia"/>
          <w:sz w:val="24"/>
          <w:szCs w:val="24"/>
          <w:lang w:val="zh-CN"/>
        </w:rPr>
        <w:t>。</w:t>
      </w:r>
    </w:p>
    <w:p>
      <w:pPr>
        <w:pStyle w:val="7"/>
        <w:rPr>
          <w:szCs w:val="24"/>
        </w:rPr>
      </w:pPr>
      <w:bookmarkStart w:id="17" w:name="_Toc8926_WPSOffice_Level1"/>
      <w:bookmarkStart w:id="18" w:name="_Toc22891_WPSOffice_Level1"/>
      <w:bookmarkStart w:id="19" w:name="_Toc16671_WPSOffice_Level1"/>
      <w:bookmarkStart w:id="20" w:name="_Toc17363_WPSOffice_Level1"/>
      <w:bookmarkStart w:id="21" w:name="_Toc26060_WPSOffice_Level1"/>
      <w:r>
        <w:rPr>
          <w:szCs w:val="24"/>
        </w:rPr>
        <w:t>四、环境影响报告书的主要结论</w:t>
      </w:r>
      <w:bookmarkEnd w:id="17"/>
      <w:bookmarkEnd w:id="18"/>
      <w:bookmarkEnd w:id="19"/>
      <w:bookmarkEnd w:id="20"/>
      <w:bookmarkEnd w:id="21"/>
    </w:p>
    <w:p>
      <w:pPr>
        <w:ind w:firstLine="480" w:firstLineChars="200"/>
        <w:rPr>
          <w:sz w:val="24"/>
          <w:szCs w:val="24"/>
          <w:lang w:val="zh-CN"/>
        </w:rPr>
      </w:pPr>
      <w:r>
        <w:rPr>
          <w:sz w:val="24"/>
          <w:szCs w:val="24"/>
          <w:lang w:val="zh-CN"/>
        </w:rPr>
        <w:t>本报告对建设项目场址及其周围地区进行了环境质量现状监测、调查与评价；通过对现状污染源的监测，对项目的排污负荷进行了估算，分析评价其对周围环境产生的影响，提出了相应的污染防治措施整改建议。对本项目的风险影响进行了定性分析，提出了风险事故防范与应急措施。</w:t>
      </w:r>
    </w:p>
    <w:p>
      <w:pPr>
        <w:ind w:firstLine="480" w:firstLineChars="200"/>
        <w:rPr>
          <w:sz w:val="24"/>
          <w:szCs w:val="24"/>
          <w:lang w:val="zh-CN"/>
        </w:rPr>
      </w:pPr>
      <w:r>
        <w:rPr>
          <w:sz w:val="24"/>
          <w:szCs w:val="24"/>
          <w:highlight w:val="none"/>
          <w:lang w:val="zh-CN"/>
        </w:rPr>
        <w:t>项目运</w:t>
      </w:r>
      <w:r>
        <w:rPr>
          <w:color w:val="auto"/>
          <w:sz w:val="24"/>
          <w:szCs w:val="24"/>
          <w:highlight w:val="none"/>
          <w:lang w:val="zh-CN"/>
        </w:rPr>
        <w:t>营期产生的</w:t>
      </w:r>
      <w:r>
        <w:rPr>
          <w:rFonts w:hint="eastAsia"/>
          <w:color w:val="auto"/>
          <w:sz w:val="24"/>
          <w:szCs w:val="24"/>
          <w:highlight w:val="none"/>
          <w:lang w:val="zh-CN"/>
        </w:rPr>
        <w:t>生产废水</w:t>
      </w:r>
      <w:r>
        <w:rPr>
          <w:color w:val="auto"/>
          <w:sz w:val="24"/>
          <w:szCs w:val="24"/>
          <w:highlight w:val="none"/>
          <w:lang w:val="zh-CN"/>
        </w:rPr>
        <w:t>经自建污水站处理达标后</w:t>
      </w:r>
      <w:r>
        <w:rPr>
          <w:rFonts w:hint="eastAsia"/>
          <w:color w:val="auto"/>
          <w:sz w:val="24"/>
          <w:szCs w:val="24"/>
          <w:highlight w:val="none"/>
          <w:lang w:val="zh-CN"/>
        </w:rPr>
        <w:t>汇同经隔油池和化粪池预处理后的生活污水经市政污水管网排入城北污水处理厂；污水处理站</w:t>
      </w:r>
      <w:r>
        <w:rPr>
          <w:color w:val="auto"/>
          <w:sz w:val="24"/>
          <w:szCs w:val="24"/>
          <w:highlight w:val="none"/>
          <w:lang w:val="zh-CN"/>
        </w:rPr>
        <w:t>恶臭污染物经相应的污染防治措施治理后均可达标排放，</w:t>
      </w:r>
      <w:r>
        <w:rPr>
          <w:rFonts w:hint="eastAsia"/>
          <w:color w:val="auto"/>
          <w:sz w:val="24"/>
          <w:szCs w:val="24"/>
          <w:highlight w:val="none"/>
          <w:lang w:val="zh-CN"/>
        </w:rPr>
        <w:t>食堂油烟经油烟净化器处理后于楼顶排放，</w:t>
      </w:r>
      <w:r>
        <w:rPr>
          <w:color w:val="auto"/>
          <w:sz w:val="24"/>
          <w:szCs w:val="24"/>
          <w:highlight w:val="none"/>
          <w:lang w:val="zh-CN"/>
        </w:rPr>
        <w:t>对周边环境影响是可接受的；各类固体废物分类收集，资源利用，均实现无害化处置。只要建设单位严格遵守“三同时”的管理规定，落实本评价报告中所提出的环保措施和建议，确保环保处理设施正常使用和运行，加强恶臭的治理工作、</w:t>
      </w:r>
      <w:r>
        <w:rPr>
          <w:rFonts w:hint="eastAsia"/>
          <w:color w:val="auto"/>
          <w:sz w:val="24"/>
          <w:szCs w:val="24"/>
          <w:highlight w:val="none"/>
          <w:lang w:val="zh-CN"/>
        </w:rPr>
        <w:t>固废分类</w:t>
      </w:r>
      <w:r>
        <w:rPr>
          <w:color w:val="auto"/>
          <w:sz w:val="24"/>
          <w:szCs w:val="24"/>
          <w:highlight w:val="none"/>
          <w:lang w:val="zh-CN"/>
        </w:rPr>
        <w:t>处置工作，</w:t>
      </w:r>
      <w:r>
        <w:rPr>
          <w:sz w:val="24"/>
          <w:szCs w:val="24"/>
          <w:lang w:val="zh-CN"/>
        </w:rPr>
        <w:t>环境保护治理设施必须经过有关环保管理部门的认可和验收，生产方可正常营运。在完成以上工作程序和落实各项环保措施的基础上，各种不利影响均可得到预防和较大程度减免。从环境保护的角度而言，本项目的建设是可行的。</w:t>
      </w:r>
    </w:p>
    <w:p>
      <w:pPr>
        <w:pStyle w:val="2"/>
        <w:rPr>
          <w:sz w:val="24"/>
          <w:szCs w:val="24"/>
          <w:lang w:val="zh-CN"/>
        </w:rPr>
      </w:pPr>
    </w:p>
    <w:p>
      <w:pPr>
        <w:rPr>
          <w:sz w:val="24"/>
          <w:szCs w:val="24"/>
          <w:lang w:val="zh-CN"/>
        </w:rPr>
      </w:pPr>
    </w:p>
    <w:p>
      <w:pPr>
        <w:pStyle w:val="2"/>
        <w:rPr>
          <w:sz w:val="24"/>
          <w:szCs w:val="24"/>
          <w:lang w:val="zh-CN"/>
        </w:rPr>
      </w:pPr>
    </w:p>
    <w:p>
      <w:pPr>
        <w:rPr>
          <w:sz w:val="24"/>
          <w:szCs w:val="24"/>
          <w:lang w:val="zh-CN"/>
        </w:rPr>
      </w:pPr>
    </w:p>
    <w:p>
      <w:pPr>
        <w:pStyle w:val="2"/>
        <w:rPr>
          <w:sz w:val="24"/>
          <w:szCs w:val="24"/>
          <w:lang w:val="zh-CN"/>
        </w:rPr>
      </w:pPr>
    </w:p>
    <w:p>
      <w:pPr>
        <w:rPr>
          <w:sz w:val="24"/>
          <w:szCs w:val="24"/>
          <w:lang w:val="zh-CN"/>
        </w:rPr>
      </w:pPr>
    </w:p>
    <w:p>
      <w:pPr>
        <w:pStyle w:val="2"/>
        <w:rPr>
          <w:sz w:val="24"/>
          <w:szCs w:val="24"/>
          <w:lang w:val="zh-CN"/>
        </w:rPr>
      </w:pPr>
    </w:p>
    <w:p>
      <w:pPr>
        <w:rPr>
          <w:sz w:val="24"/>
          <w:szCs w:val="24"/>
          <w:lang w:val="zh-CN"/>
        </w:rPr>
      </w:pPr>
    </w:p>
    <w:p>
      <w:pPr>
        <w:pStyle w:val="2"/>
        <w:rPr>
          <w:sz w:val="24"/>
          <w:szCs w:val="24"/>
          <w:lang w:val="zh-CN"/>
        </w:rPr>
      </w:pPr>
    </w:p>
    <w:p>
      <w:pPr>
        <w:rPr>
          <w:sz w:val="24"/>
          <w:szCs w:val="24"/>
          <w:lang w:val="zh-CN"/>
        </w:rPr>
      </w:pPr>
    </w:p>
    <w:p>
      <w:pPr>
        <w:pStyle w:val="2"/>
        <w:rPr>
          <w:sz w:val="24"/>
          <w:szCs w:val="24"/>
          <w:lang w:val="zh-CN"/>
        </w:rPr>
      </w:pPr>
    </w:p>
    <w:p>
      <w:pPr>
        <w:rPr>
          <w:sz w:val="24"/>
          <w:szCs w:val="24"/>
          <w:lang w:val="zh-CN"/>
        </w:rPr>
      </w:pPr>
    </w:p>
    <w:p>
      <w:pPr>
        <w:pStyle w:val="2"/>
        <w:rPr>
          <w:sz w:val="24"/>
          <w:szCs w:val="24"/>
          <w:lang w:val="zh-CN"/>
        </w:rPr>
      </w:pPr>
    </w:p>
    <w:p>
      <w:pPr>
        <w:rPr>
          <w:sz w:val="24"/>
          <w:szCs w:val="24"/>
          <w:lang w:val="zh-CN"/>
        </w:rPr>
      </w:pPr>
    </w:p>
    <w:p>
      <w:pPr>
        <w:pStyle w:val="2"/>
        <w:rPr>
          <w:sz w:val="24"/>
          <w:szCs w:val="24"/>
          <w:lang w:val="zh-CN"/>
        </w:rPr>
      </w:pPr>
    </w:p>
    <w:p>
      <w:pPr>
        <w:rPr>
          <w:sz w:val="24"/>
          <w:szCs w:val="24"/>
          <w:lang w:val="zh-CN"/>
        </w:rPr>
      </w:pPr>
    </w:p>
    <w:p>
      <w:pPr>
        <w:pStyle w:val="2"/>
        <w:rPr>
          <w:sz w:val="24"/>
          <w:szCs w:val="24"/>
          <w:lang w:val="zh-CN"/>
        </w:rPr>
      </w:pPr>
    </w:p>
    <w:p>
      <w:pPr>
        <w:rPr>
          <w:sz w:val="24"/>
          <w:szCs w:val="24"/>
          <w:lang w:val="zh-CN"/>
        </w:rPr>
      </w:pPr>
    </w:p>
    <w:p>
      <w:pPr>
        <w:pStyle w:val="2"/>
        <w:rPr>
          <w:sz w:val="24"/>
          <w:szCs w:val="24"/>
          <w:lang w:val="zh-CN"/>
        </w:rPr>
      </w:pPr>
    </w:p>
    <w:p>
      <w:pPr>
        <w:rPr>
          <w:sz w:val="24"/>
          <w:szCs w:val="24"/>
          <w:lang w:val="zh-CN"/>
        </w:rPr>
      </w:pPr>
    </w:p>
    <w:p>
      <w:pPr>
        <w:pStyle w:val="2"/>
        <w:rPr>
          <w:sz w:val="24"/>
          <w:szCs w:val="24"/>
          <w:lang w:val="zh-CN"/>
        </w:rPr>
      </w:pPr>
    </w:p>
    <w:p>
      <w:pPr>
        <w:rPr>
          <w:sz w:val="24"/>
          <w:szCs w:val="24"/>
          <w:lang w:val="zh-CN"/>
        </w:rPr>
      </w:pPr>
    </w:p>
    <w:p>
      <w:pPr>
        <w:pStyle w:val="2"/>
        <w:rPr>
          <w:sz w:val="24"/>
          <w:szCs w:val="24"/>
          <w:lang w:val="zh-CN"/>
        </w:rPr>
      </w:pPr>
    </w:p>
    <w:p>
      <w:pPr>
        <w:rPr>
          <w:sz w:val="24"/>
          <w:szCs w:val="24"/>
          <w:lang w:val="zh-CN"/>
        </w:rPr>
      </w:pPr>
    </w:p>
    <w:p>
      <w:pPr>
        <w:pStyle w:val="2"/>
        <w:rPr>
          <w:lang w:val="zh-CN"/>
        </w:rPr>
      </w:pPr>
    </w:p>
    <w:p>
      <w:pPr>
        <w:rPr>
          <w:lang w:val="zh-CN"/>
        </w:rPr>
      </w:pPr>
    </w:p>
    <w:p>
      <w:pPr>
        <w:pStyle w:val="36"/>
        <w:rPr>
          <w:lang w:val="zh-CN"/>
        </w:rPr>
      </w:pPr>
    </w:p>
    <w:p>
      <w:pPr>
        <w:pStyle w:val="36"/>
        <w:rPr>
          <w:lang w:val="zh-CN"/>
        </w:rPr>
      </w:pPr>
    </w:p>
    <w:p>
      <w:pPr>
        <w:pStyle w:val="2"/>
        <w:rPr>
          <w:lang w:val="zh-CN"/>
        </w:rPr>
      </w:pPr>
    </w:p>
    <w:sdt>
      <w:sdtPr>
        <w:rPr>
          <w:rFonts w:ascii="宋体" w:hAnsi="宋体" w:eastAsia="宋体" w:cs="Times New Roman"/>
          <w:b/>
          <w:bCs/>
          <w:kern w:val="2"/>
          <w:sz w:val="28"/>
          <w:szCs w:val="28"/>
          <w:lang w:val="en-US" w:eastAsia="zh-CN" w:bidi="ar-SA"/>
        </w:rPr>
        <w:id w:val="147455916"/>
        <w15:color w:val="DBDBDB"/>
        <w:docPartObj>
          <w:docPartGallery w:val="Table of Contents"/>
          <w:docPartUnique/>
        </w:docPartObj>
      </w:sdtPr>
      <w:sdtEndPr>
        <w:rPr>
          <w:rFonts w:hint="default" w:ascii="Times New Roman" w:hAnsi="Times New Roman" w:eastAsia="宋体" w:cs="Times New Roman"/>
          <w:b/>
          <w:bCs/>
          <w:kern w:val="2"/>
          <w:sz w:val="22"/>
          <w:szCs w:val="22"/>
          <w:lang w:val="en-US" w:eastAsia="zh-CN" w:bidi="ar-SA"/>
        </w:rPr>
      </w:sdtEndPr>
      <w:sdtContent>
        <w:p>
          <w:pPr>
            <w:spacing w:before="0" w:beforeLines="0" w:after="0" w:afterLines="0" w:line="240" w:lineRule="auto"/>
            <w:ind w:left="0" w:leftChars="0" w:right="0" w:rightChars="0" w:firstLine="0" w:firstLineChars="0"/>
            <w:jc w:val="center"/>
            <w:rPr>
              <w:b/>
              <w:bCs/>
              <w:sz w:val="28"/>
              <w:szCs w:val="28"/>
            </w:rPr>
          </w:pPr>
          <w:bookmarkStart w:id="22" w:name="_Toc23080_WPSOffice_Type2"/>
          <w:r>
            <w:rPr>
              <w:rFonts w:ascii="宋体" w:hAnsi="宋体" w:eastAsia="宋体"/>
              <w:b/>
              <w:bCs/>
              <w:sz w:val="28"/>
              <w:szCs w:val="28"/>
            </w:rPr>
            <w:t>目</w:t>
          </w:r>
          <w:r>
            <w:rPr>
              <w:rFonts w:hint="eastAsia" w:ascii="宋体" w:hAnsi="宋体" w:eastAsia="宋体"/>
              <w:b/>
              <w:bCs/>
              <w:sz w:val="28"/>
              <w:szCs w:val="28"/>
              <w:lang w:val="en-US" w:eastAsia="zh-CN"/>
            </w:rPr>
            <w:t xml:space="preserve">  </w:t>
          </w:r>
          <w:r>
            <w:rPr>
              <w:rFonts w:ascii="宋体" w:hAnsi="宋体" w:eastAsia="宋体"/>
              <w:b/>
              <w:bCs/>
              <w:sz w:val="28"/>
              <w:szCs w:val="28"/>
            </w:rPr>
            <w:t>录</w:t>
          </w:r>
        </w:p>
        <w:p>
          <w:pPr>
            <w:pStyle w:val="55"/>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sz w:val="24"/>
              <w:szCs w:val="24"/>
            </w:rPr>
            <w:instrText xml:space="preserve"> HYPERLINK \l _Toc6105_WPSOffice_Level1 </w:instrText>
          </w:r>
          <w:r>
            <w:rPr>
              <w:rFonts w:hint="default" w:ascii="Times New Roman" w:hAnsi="Times New Roman" w:eastAsia="宋体" w:cs="Times New Roman"/>
              <w:b/>
              <w:bCs/>
              <w:sz w:val="24"/>
              <w:szCs w:val="24"/>
            </w:rPr>
            <w:fldChar w:fldCharType="separate"/>
          </w:r>
          <w:sdt>
            <w:sdtPr>
              <w:rPr>
                <w:rFonts w:hint="default" w:ascii="Times New Roman" w:hAnsi="Times New Roman" w:eastAsia="宋体" w:cs="Times New Roman"/>
                <w:b/>
                <w:bCs/>
                <w:kern w:val="2"/>
                <w:sz w:val="28"/>
                <w:szCs w:val="28"/>
                <w:lang w:val="en-US" w:eastAsia="zh-CN" w:bidi="ar-SA"/>
              </w:rPr>
              <w:id w:val="147455916"/>
              <w:placeholder>
                <w:docPart w:val="{97e22645-dc14-4ce1-a8fc-5cd019cefd83}"/>
              </w:placeholder>
              <w15:color w:val="509DF3"/>
            </w:sdtPr>
            <w:sdtEndPr>
              <w:rPr>
                <w:rFonts w:hint="default" w:ascii="Times New Roman" w:hAnsi="Times New Roman" w:eastAsia="宋体" w:cs="Times New Roman"/>
                <w:b/>
                <w:bCs/>
                <w:kern w:val="2"/>
                <w:sz w:val="28"/>
                <w:szCs w:val="28"/>
                <w:lang w:val="en-US" w:eastAsia="zh-CN" w:bidi="ar-SA"/>
              </w:rPr>
            </w:sdtEndPr>
            <w:sdtContent>
              <w:r>
                <w:rPr>
                  <w:rFonts w:hint="default" w:ascii="Times New Roman" w:hAnsi="Times New Roman" w:eastAsia="宋体" w:cs="Times New Roman"/>
                  <w:b/>
                  <w:bCs/>
                  <w:sz w:val="24"/>
                  <w:szCs w:val="24"/>
                </w:rPr>
                <w:t>第一章  总则</w:t>
              </w:r>
            </w:sdtContent>
          </w:sdt>
          <w:r>
            <w:rPr>
              <w:rFonts w:hint="default" w:ascii="Times New Roman" w:hAnsi="Times New Roman" w:eastAsia="宋体" w:cs="Times New Roman"/>
              <w:b/>
              <w:bCs/>
              <w:sz w:val="24"/>
              <w:szCs w:val="24"/>
            </w:rPr>
            <w:tab/>
          </w:r>
          <w:bookmarkStart w:id="23" w:name="_Toc6105_WPSOffice_Level1Page"/>
          <w:r>
            <w:rPr>
              <w:rFonts w:hint="default" w:ascii="Times New Roman" w:hAnsi="Times New Roman" w:eastAsia="宋体" w:cs="Times New Roman"/>
              <w:b/>
              <w:bCs/>
              <w:sz w:val="24"/>
              <w:szCs w:val="24"/>
            </w:rPr>
            <w:t>1</w:t>
          </w:r>
          <w:bookmarkEnd w:id="23"/>
          <w:r>
            <w:rPr>
              <w:rFonts w:hint="default" w:ascii="Times New Roman" w:hAnsi="Times New Roman" w:eastAsia="宋体" w:cs="Times New Roman"/>
              <w:b/>
              <w:bCs/>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_Toc23080_WPSOffice_Level2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debf4766-8379-4eb9-a8f5-3a9eefdd5a48}"/>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1.1 评价目的与指导思想</w:t>
              </w:r>
            </w:sdtContent>
          </w:sdt>
          <w:r>
            <w:rPr>
              <w:rFonts w:hint="default" w:ascii="Times New Roman" w:hAnsi="Times New Roman" w:eastAsia="宋体" w:cs="Times New Roman"/>
              <w:sz w:val="24"/>
              <w:szCs w:val="24"/>
            </w:rPr>
            <w:tab/>
          </w:r>
          <w:bookmarkStart w:id="24" w:name="_Toc23080_WPSOffice_Level2Page"/>
          <w:r>
            <w:rPr>
              <w:rFonts w:hint="default" w:ascii="Times New Roman" w:hAnsi="Times New Roman" w:eastAsia="宋体" w:cs="Times New Roman"/>
              <w:sz w:val="24"/>
              <w:szCs w:val="24"/>
            </w:rPr>
            <w:t>1</w:t>
          </w:r>
          <w:bookmarkEnd w:id="24"/>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_Toc12335_WPSOffice_Level2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a32e1314-24c4-49c8-bc2e-5e8fe654012f}"/>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1.2 编制依据</w:t>
              </w:r>
            </w:sdtContent>
          </w:sdt>
          <w:r>
            <w:rPr>
              <w:rFonts w:hint="default" w:ascii="Times New Roman" w:hAnsi="Times New Roman" w:eastAsia="宋体" w:cs="Times New Roman"/>
              <w:sz w:val="24"/>
              <w:szCs w:val="24"/>
            </w:rPr>
            <w:tab/>
          </w:r>
          <w:bookmarkStart w:id="25" w:name="_Toc12335_WPSOffice_Level2Page"/>
          <w:r>
            <w:rPr>
              <w:rFonts w:hint="default" w:ascii="Times New Roman" w:hAnsi="Times New Roman" w:eastAsia="宋体" w:cs="Times New Roman"/>
              <w:sz w:val="24"/>
              <w:szCs w:val="24"/>
            </w:rPr>
            <w:t>2</w:t>
          </w:r>
          <w:bookmarkEnd w:id="25"/>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_Toc17844_WPSOffice_Level2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6b752c26-ab19-4725-9a6e-30107aadb2ad}"/>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1.3产业政策符合性</w:t>
              </w:r>
            </w:sdtContent>
          </w:sdt>
          <w:r>
            <w:rPr>
              <w:rFonts w:hint="default" w:ascii="Times New Roman" w:hAnsi="Times New Roman" w:eastAsia="宋体" w:cs="Times New Roman"/>
              <w:sz w:val="24"/>
              <w:szCs w:val="24"/>
            </w:rPr>
            <w:tab/>
          </w:r>
          <w:bookmarkStart w:id="26" w:name="_Toc17844_WPSOffice_Level2Page"/>
          <w:r>
            <w:rPr>
              <w:rFonts w:hint="default" w:ascii="Times New Roman" w:hAnsi="Times New Roman" w:eastAsia="宋体" w:cs="Times New Roman"/>
              <w:sz w:val="24"/>
              <w:szCs w:val="24"/>
            </w:rPr>
            <w:t>5</w:t>
          </w:r>
          <w:bookmarkEnd w:id="26"/>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_Toc7114_WPSOffice_Level2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ed687b97-3b88-48a7-9c3b-3379df542b99}"/>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1.4选址相符性</w:t>
              </w:r>
            </w:sdtContent>
          </w:sdt>
          <w:r>
            <w:rPr>
              <w:rFonts w:hint="default" w:ascii="Times New Roman" w:hAnsi="Times New Roman" w:eastAsia="宋体" w:cs="Times New Roman"/>
              <w:sz w:val="24"/>
              <w:szCs w:val="24"/>
            </w:rPr>
            <w:tab/>
          </w:r>
          <w:bookmarkStart w:id="27" w:name="_Toc7114_WPSOffice_Level2Page"/>
          <w:r>
            <w:rPr>
              <w:rFonts w:hint="default" w:ascii="Times New Roman" w:hAnsi="Times New Roman" w:eastAsia="宋体" w:cs="Times New Roman"/>
              <w:sz w:val="24"/>
              <w:szCs w:val="24"/>
            </w:rPr>
            <w:t>5</w:t>
          </w:r>
          <w:bookmarkEnd w:id="27"/>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_Toc32069_WPSOffice_Level2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33bbba1f-23dd-4b7c-877b-5b53eb5fb9c2}"/>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1.5“三线一单”控制要求</w:t>
              </w:r>
            </w:sdtContent>
          </w:sdt>
          <w:r>
            <w:rPr>
              <w:rFonts w:hint="default" w:ascii="Times New Roman" w:hAnsi="Times New Roman" w:eastAsia="宋体" w:cs="Times New Roman"/>
              <w:sz w:val="24"/>
              <w:szCs w:val="24"/>
            </w:rPr>
            <w:tab/>
          </w:r>
          <w:bookmarkStart w:id="28" w:name="_Toc32069_WPSOffice_Level2Page"/>
          <w:r>
            <w:rPr>
              <w:rFonts w:hint="default" w:ascii="Times New Roman" w:hAnsi="Times New Roman" w:eastAsia="宋体" w:cs="Times New Roman"/>
              <w:sz w:val="24"/>
              <w:szCs w:val="24"/>
            </w:rPr>
            <w:t>5</w:t>
          </w:r>
          <w:bookmarkEnd w:id="28"/>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_Toc30350_WPSOffice_Level2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faeaabb7-a5c6-458d-a52d-431f24413e9c}"/>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1.7环境影响识别及评价因子筛选</w:t>
              </w:r>
            </w:sdtContent>
          </w:sdt>
          <w:r>
            <w:rPr>
              <w:rFonts w:hint="default" w:ascii="Times New Roman" w:hAnsi="Times New Roman" w:eastAsia="宋体" w:cs="Times New Roman"/>
              <w:sz w:val="24"/>
              <w:szCs w:val="24"/>
            </w:rPr>
            <w:tab/>
          </w:r>
          <w:bookmarkStart w:id="29" w:name="_Toc30350_WPSOffice_Level2Page"/>
          <w:r>
            <w:rPr>
              <w:rFonts w:hint="default" w:ascii="Times New Roman" w:hAnsi="Times New Roman" w:eastAsia="宋体" w:cs="Times New Roman"/>
              <w:sz w:val="24"/>
              <w:szCs w:val="24"/>
            </w:rPr>
            <w:t>6</w:t>
          </w:r>
          <w:bookmarkEnd w:id="29"/>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_Toc5819_WPSOffice_Level2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b55b3644-98c3-4170-984b-0ec36ae4009c}"/>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1.8 评价等级</w:t>
              </w:r>
            </w:sdtContent>
          </w:sdt>
          <w:r>
            <w:rPr>
              <w:rFonts w:hint="default" w:ascii="Times New Roman" w:hAnsi="Times New Roman" w:eastAsia="宋体" w:cs="Times New Roman"/>
              <w:sz w:val="24"/>
              <w:szCs w:val="24"/>
            </w:rPr>
            <w:tab/>
          </w:r>
          <w:bookmarkStart w:id="30" w:name="_Toc5819_WPSOffice_Level2Page"/>
          <w:r>
            <w:rPr>
              <w:rFonts w:hint="default" w:ascii="Times New Roman" w:hAnsi="Times New Roman" w:eastAsia="宋体" w:cs="Times New Roman"/>
              <w:sz w:val="24"/>
              <w:szCs w:val="24"/>
            </w:rPr>
            <w:t>9</w:t>
          </w:r>
          <w:bookmarkEnd w:id="30"/>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_Toc8839_WPSOffice_Level2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1e54d3cd-d169-4007-80ea-13da33c586c2}"/>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1.9 评价范围</w:t>
              </w:r>
            </w:sdtContent>
          </w:sdt>
          <w:r>
            <w:rPr>
              <w:rFonts w:hint="default" w:ascii="Times New Roman" w:hAnsi="Times New Roman" w:eastAsia="宋体" w:cs="Times New Roman"/>
              <w:sz w:val="24"/>
              <w:szCs w:val="24"/>
            </w:rPr>
            <w:tab/>
          </w:r>
          <w:bookmarkStart w:id="31" w:name="_Toc8839_WPSOffice_Level2Page"/>
          <w:r>
            <w:rPr>
              <w:rFonts w:hint="default" w:ascii="Times New Roman" w:hAnsi="Times New Roman" w:eastAsia="宋体" w:cs="Times New Roman"/>
              <w:sz w:val="24"/>
              <w:szCs w:val="24"/>
            </w:rPr>
            <w:t>13</w:t>
          </w:r>
          <w:bookmarkEnd w:id="31"/>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_Toc18647_WPSOffice_Level2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4e1b66dd-afc5-4bdb-b273-07e6bb372b7c}"/>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1.10 评价标准</w:t>
              </w:r>
            </w:sdtContent>
          </w:sdt>
          <w:r>
            <w:rPr>
              <w:rFonts w:hint="default" w:ascii="Times New Roman" w:hAnsi="Times New Roman" w:eastAsia="宋体" w:cs="Times New Roman"/>
              <w:sz w:val="24"/>
              <w:szCs w:val="24"/>
            </w:rPr>
            <w:tab/>
          </w:r>
          <w:bookmarkStart w:id="32" w:name="_Toc18647_WPSOffice_Level2Page"/>
          <w:r>
            <w:rPr>
              <w:rFonts w:hint="default" w:ascii="Times New Roman" w:hAnsi="Times New Roman" w:eastAsia="宋体" w:cs="Times New Roman"/>
              <w:sz w:val="24"/>
              <w:szCs w:val="24"/>
            </w:rPr>
            <w:t>13</w:t>
          </w:r>
          <w:bookmarkEnd w:id="32"/>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_Toc3258_WPSOffice_Level2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096ab3aa-d47d-4070-b7a1-49c8d3841882}"/>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1.11评价重点</w:t>
              </w:r>
            </w:sdtContent>
          </w:sdt>
          <w:r>
            <w:rPr>
              <w:rFonts w:hint="default" w:ascii="Times New Roman" w:hAnsi="Times New Roman" w:eastAsia="宋体" w:cs="Times New Roman"/>
              <w:sz w:val="24"/>
              <w:szCs w:val="24"/>
            </w:rPr>
            <w:tab/>
          </w:r>
          <w:bookmarkStart w:id="33" w:name="_Toc3258_WPSOffice_Level2Page"/>
          <w:r>
            <w:rPr>
              <w:rFonts w:hint="default" w:ascii="Times New Roman" w:hAnsi="Times New Roman" w:eastAsia="宋体" w:cs="Times New Roman"/>
              <w:sz w:val="24"/>
              <w:szCs w:val="24"/>
            </w:rPr>
            <w:t>17</w:t>
          </w:r>
          <w:bookmarkEnd w:id="33"/>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_Toc8392_WPSOffice_Level2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4d7c6a76-faf2-44d2-b9f5-7d59bba24f86}"/>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1.12评价时段</w:t>
              </w:r>
            </w:sdtContent>
          </w:sdt>
          <w:r>
            <w:rPr>
              <w:rFonts w:hint="default" w:ascii="Times New Roman" w:hAnsi="Times New Roman" w:eastAsia="宋体" w:cs="Times New Roman"/>
              <w:sz w:val="24"/>
              <w:szCs w:val="24"/>
            </w:rPr>
            <w:tab/>
          </w:r>
          <w:bookmarkStart w:id="34" w:name="_Toc8392_WPSOffice_Level2Page"/>
          <w:r>
            <w:rPr>
              <w:rFonts w:hint="default" w:ascii="Times New Roman" w:hAnsi="Times New Roman" w:eastAsia="宋体" w:cs="Times New Roman"/>
              <w:sz w:val="24"/>
              <w:szCs w:val="24"/>
            </w:rPr>
            <w:t>17</w:t>
          </w:r>
          <w:bookmarkEnd w:id="34"/>
          <w:r>
            <w:rPr>
              <w:rFonts w:hint="default" w:ascii="Times New Roman" w:hAnsi="Times New Roman" w:eastAsia="宋体" w:cs="Times New Roman"/>
              <w:sz w:val="24"/>
              <w:szCs w:val="24"/>
            </w:rPr>
            <w:fldChar w:fldCharType="end"/>
          </w:r>
        </w:p>
        <w:p>
          <w:pPr>
            <w:pStyle w:val="55"/>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sz w:val="24"/>
              <w:szCs w:val="24"/>
            </w:rPr>
            <w:instrText xml:space="preserve"> HYPERLINK \l _Toc23080_WPSOffice_Level1 </w:instrText>
          </w:r>
          <w:r>
            <w:rPr>
              <w:rFonts w:hint="default" w:ascii="Times New Roman" w:hAnsi="Times New Roman" w:eastAsia="宋体" w:cs="Times New Roman"/>
              <w:b/>
              <w:bCs/>
              <w:sz w:val="24"/>
              <w:szCs w:val="24"/>
            </w:rPr>
            <w:fldChar w:fldCharType="separate"/>
          </w:r>
          <w:sdt>
            <w:sdtPr>
              <w:rPr>
                <w:rFonts w:hint="default" w:ascii="Times New Roman" w:hAnsi="Times New Roman" w:eastAsia="宋体" w:cs="Times New Roman"/>
                <w:b/>
                <w:bCs/>
                <w:kern w:val="2"/>
                <w:sz w:val="28"/>
                <w:szCs w:val="28"/>
                <w:lang w:val="en-US" w:eastAsia="zh-CN" w:bidi="ar-SA"/>
              </w:rPr>
              <w:id w:val="147455916"/>
              <w:placeholder>
                <w:docPart w:val="{140e27f1-e63e-45f3-b599-e5984da0d470}"/>
              </w:placeholder>
              <w15:color w:val="509DF3"/>
            </w:sdtPr>
            <w:sdtEndPr>
              <w:rPr>
                <w:rFonts w:hint="default" w:ascii="Times New Roman" w:hAnsi="Times New Roman" w:eastAsia="宋体" w:cs="Times New Roman"/>
                <w:b/>
                <w:bCs/>
                <w:kern w:val="2"/>
                <w:sz w:val="28"/>
                <w:szCs w:val="28"/>
                <w:lang w:val="en-US" w:eastAsia="zh-CN" w:bidi="ar-SA"/>
              </w:rPr>
            </w:sdtEndPr>
            <w:sdtContent>
              <w:r>
                <w:rPr>
                  <w:rFonts w:hint="default" w:ascii="Times New Roman" w:hAnsi="Times New Roman" w:eastAsia="宋体" w:cs="Times New Roman"/>
                  <w:b/>
                  <w:bCs/>
                  <w:sz w:val="24"/>
                  <w:szCs w:val="24"/>
                </w:rPr>
                <w:t>第二章 建设项目工程分析</w:t>
              </w:r>
            </w:sdtContent>
          </w:sdt>
          <w:r>
            <w:rPr>
              <w:rFonts w:hint="default" w:ascii="Times New Roman" w:hAnsi="Times New Roman" w:eastAsia="宋体" w:cs="Times New Roman"/>
              <w:b/>
              <w:bCs/>
              <w:sz w:val="24"/>
              <w:szCs w:val="24"/>
            </w:rPr>
            <w:tab/>
          </w:r>
          <w:bookmarkStart w:id="35" w:name="_Toc23080_WPSOffice_Level1Page"/>
          <w:r>
            <w:rPr>
              <w:rFonts w:hint="default" w:ascii="Times New Roman" w:hAnsi="Times New Roman" w:eastAsia="宋体" w:cs="Times New Roman"/>
              <w:b/>
              <w:bCs/>
              <w:sz w:val="24"/>
              <w:szCs w:val="24"/>
            </w:rPr>
            <w:t>22</w:t>
          </w:r>
          <w:bookmarkEnd w:id="35"/>
          <w:r>
            <w:rPr>
              <w:rFonts w:hint="default" w:ascii="Times New Roman" w:hAnsi="Times New Roman" w:eastAsia="宋体" w:cs="Times New Roman"/>
              <w:b/>
              <w:bCs/>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_Toc30957_WPSOffice_Level2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0c21185e-ce95-4697-8dea-c7d6e2260469}"/>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2.1 建设项目概况</w:t>
              </w:r>
            </w:sdtContent>
          </w:sdt>
          <w:r>
            <w:rPr>
              <w:rFonts w:hint="default" w:ascii="Times New Roman" w:hAnsi="Times New Roman" w:eastAsia="宋体" w:cs="Times New Roman"/>
              <w:sz w:val="24"/>
              <w:szCs w:val="24"/>
            </w:rPr>
            <w:tab/>
          </w:r>
          <w:bookmarkStart w:id="36" w:name="_Toc30957_WPSOffice_Level2Page"/>
          <w:r>
            <w:rPr>
              <w:rFonts w:hint="default" w:ascii="Times New Roman" w:hAnsi="Times New Roman" w:eastAsia="宋体" w:cs="Times New Roman"/>
              <w:sz w:val="24"/>
              <w:szCs w:val="24"/>
            </w:rPr>
            <w:t>22</w:t>
          </w:r>
          <w:bookmarkEnd w:id="36"/>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_Toc22852_WPSOffice_Level2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f4bbc57c-75e4-46f4-b960-95e500b585b1}"/>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2.2 污染影响因素分析</w:t>
              </w:r>
            </w:sdtContent>
          </w:sdt>
          <w:r>
            <w:rPr>
              <w:rFonts w:hint="default" w:ascii="Times New Roman" w:hAnsi="Times New Roman" w:eastAsia="宋体" w:cs="Times New Roman"/>
              <w:sz w:val="24"/>
              <w:szCs w:val="24"/>
            </w:rPr>
            <w:tab/>
          </w:r>
          <w:bookmarkStart w:id="37" w:name="_Toc22852_WPSOffice_Level2Page"/>
          <w:r>
            <w:rPr>
              <w:rFonts w:hint="default" w:ascii="Times New Roman" w:hAnsi="Times New Roman" w:eastAsia="宋体" w:cs="Times New Roman"/>
              <w:sz w:val="24"/>
              <w:szCs w:val="24"/>
            </w:rPr>
            <w:t>28</w:t>
          </w:r>
          <w:bookmarkEnd w:id="37"/>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_Toc19673_WPSOffice_Level2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c1a08cc0-c35e-4faf-8c0e-5dd6ebcd0d0a}"/>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2.3 污染源源强核算</w:t>
              </w:r>
            </w:sdtContent>
          </w:sdt>
          <w:r>
            <w:rPr>
              <w:rFonts w:hint="default" w:ascii="Times New Roman" w:hAnsi="Times New Roman" w:eastAsia="宋体" w:cs="Times New Roman"/>
              <w:sz w:val="24"/>
              <w:szCs w:val="24"/>
            </w:rPr>
            <w:tab/>
          </w:r>
          <w:bookmarkStart w:id="38" w:name="_Toc19673_WPSOffice_Level2Page"/>
          <w:r>
            <w:rPr>
              <w:rFonts w:hint="default" w:ascii="Times New Roman" w:hAnsi="Times New Roman" w:eastAsia="宋体" w:cs="Times New Roman"/>
              <w:sz w:val="24"/>
              <w:szCs w:val="24"/>
            </w:rPr>
            <w:t>34</w:t>
          </w:r>
          <w:bookmarkEnd w:id="38"/>
          <w:r>
            <w:rPr>
              <w:rFonts w:hint="default" w:ascii="Times New Roman" w:hAnsi="Times New Roman" w:eastAsia="宋体" w:cs="Times New Roman"/>
              <w:sz w:val="24"/>
              <w:szCs w:val="24"/>
            </w:rPr>
            <w:fldChar w:fldCharType="end"/>
          </w:r>
        </w:p>
        <w:p>
          <w:pPr>
            <w:pStyle w:val="55"/>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sz w:val="24"/>
              <w:szCs w:val="24"/>
            </w:rPr>
            <w:instrText xml:space="preserve"> HYPERLINK \l _Toc12335_WPSOffice_Level1 </w:instrText>
          </w:r>
          <w:r>
            <w:rPr>
              <w:rFonts w:hint="default" w:ascii="Times New Roman" w:hAnsi="Times New Roman" w:eastAsia="宋体" w:cs="Times New Roman"/>
              <w:b/>
              <w:bCs/>
              <w:sz w:val="24"/>
              <w:szCs w:val="24"/>
            </w:rPr>
            <w:fldChar w:fldCharType="separate"/>
          </w:r>
          <w:sdt>
            <w:sdtPr>
              <w:rPr>
                <w:rFonts w:hint="default" w:ascii="Times New Roman" w:hAnsi="Times New Roman" w:eastAsia="宋体" w:cs="Times New Roman"/>
                <w:b/>
                <w:bCs/>
                <w:kern w:val="2"/>
                <w:sz w:val="28"/>
                <w:szCs w:val="28"/>
                <w:lang w:val="en-US" w:eastAsia="zh-CN" w:bidi="ar-SA"/>
              </w:rPr>
              <w:id w:val="147455916"/>
              <w:placeholder>
                <w:docPart w:val="{c3f1ea13-5490-405b-b738-0b0a85e66947}"/>
              </w:placeholder>
              <w15:color w:val="509DF3"/>
            </w:sdtPr>
            <w:sdtEndPr>
              <w:rPr>
                <w:rFonts w:hint="default" w:ascii="Times New Roman" w:hAnsi="Times New Roman" w:eastAsia="宋体" w:cs="Times New Roman"/>
                <w:b/>
                <w:bCs/>
                <w:kern w:val="2"/>
                <w:sz w:val="28"/>
                <w:szCs w:val="28"/>
                <w:lang w:val="en-US" w:eastAsia="zh-CN" w:bidi="ar-SA"/>
              </w:rPr>
            </w:sdtEndPr>
            <w:sdtContent>
              <w:r>
                <w:rPr>
                  <w:rFonts w:hint="default" w:ascii="Times New Roman" w:hAnsi="Times New Roman" w:eastAsia="宋体" w:cs="Times New Roman"/>
                  <w:b/>
                  <w:bCs/>
                  <w:sz w:val="24"/>
                  <w:szCs w:val="24"/>
                </w:rPr>
                <w:t>第三章  环境现状调查与评价</w:t>
              </w:r>
            </w:sdtContent>
          </w:sdt>
          <w:r>
            <w:rPr>
              <w:rFonts w:hint="default" w:ascii="Times New Roman" w:hAnsi="Times New Roman" w:eastAsia="宋体" w:cs="Times New Roman"/>
              <w:b/>
              <w:bCs/>
              <w:sz w:val="24"/>
              <w:szCs w:val="24"/>
            </w:rPr>
            <w:tab/>
          </w:r>
          <w:bookmarkStart w:id="39" w:name="_Toc12335_WPSOffice_Level1Page"/>
          <w:r>
            <w:rPr>
              <w:rFonts w:hint="default" w:ascii="Times New Roman" w:hAnsi="Times New Roman" w:eastAsia="宋体" w:cs="Times New Roman"/>
              <w:b/>
              <w:bCs/>
              <w:sz w:val="24"/>
              <w:szCs w:val="24"/>
            </w:rPr>
            <w:t>39</w:t>
          </w:r>
          <w:bookmarkEnd w:id="39"/>
          <w:r>
            <w:rPr>
              <w:rFonts w:hint="default" w:ascii="Times New Roman" w:hAnsi="Times New Roman" w:eastAsia="宋体" w:cs="Times New Roman"/>
              <w:b/>
              <w:bCs/>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_Toc1914_WPSOffice_Level2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48d9e362-1331-4545-b082-79b5780e9dc5}"/>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3.1 自然环境现状调查与评价</w:t>
              </w:r>
            </w:sdtContent>
          </w:sdt>
          <w:r>
            <w:rPr>
              <w:rFonts w:hint="default" w:ascii="Times New Roman" w:hAnsi="Times New Roman" w:eastAsia="宋体" w:cs="Times New Roman"/>
              <w:sz w:val="24"/>
              <w:szCs w:val="24"/>
            </w:rPr>
            <w:tab/>
          </w:r>
          <w:bookmarkStart w:id="40" w:name="_Toc1914_WPSOffice_Level2Page"/>
          <w:r>
            <w:rPr>
              <w:rFonts w:hint="default" w:ascii="Times New Roman" w:hAnsi="Times New Roman" w:eastAsia="宋体" w:cs="Times New Roman"/>
              <w:sz w:val="24"/>
              <w:szCs w:val="24"/>
            </w:rPr>
            <w:t>39</w:t>
          </w:r>
          <w:bookmarkEnd w:id="40"/>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_Toc24043_WPSOffice_Level2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349526be-e889-4240-b156-8ffa062206b9}"/>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3.2 环境质量现状调查与评价</w:t>
              </w:r>
            </w:sdtContent>
          </w:sdt>
          <w:r>
            <w:rPr>
              <w:rFonts w:hint="default" w:ascii="Times New Roman" w:hAnsi="Times New Roman" w:eastAsia="宋体" w:cs="Times New Roman"/>
              <w:sz w:val="24"/>
              <w:szCs w:val="24"/>
            </w:rPr>
            <w:tab/>
          </w:r>
          <w:bookmarkStart w:id="41" w:name="_Toc24043_WPSOffice_Level2Page"/>
          <w:r>
            <w:rPr>
              <w:rFonts w:hint="default" w:ascii="Times New Roman" w:hAnsi="Times New Roman" w:eastAsia="宋体" w:cs="Times New Roman"/>
              <w:sz w:val="24"/>
              <w:szCs w:val="24"/>
            </w:rPr>
            <w:t>45</w:t>
          </w:r>
          <w:bookmarkEnd w:id="41"/>
          <w:r>
            <w:rPr>
              <w:rFonts w:hint="default" w:ascii="Times New Roman" w:hAnsi="Times New Roman" w:eastAsia="宋体" w:cs="Times New Roman"/>
              <w:sz w:val="24"/>
              <w:szCs w:val="24"/>
            </w:rPr>
            <w:fldChar w:fldCharType="end"/>
          </w:r>
        </w:p>
        <w:p>
          <w:pPr>
            <w:pStyle w:val="55"/>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sz w:val="24"/>
              <w:szCs w:val="24"/>
            </w:rPr>
            <w:instrText xml:space="preserve"> HYPERLINK \l _Toc17844_WPSOffice_Level1 </w:instrText>
          </w:r>
          <w:r>
            <w:rPr>
              <w:rFonts w:hint="default" w:ascii="Times New Roman" w:hAnsi="Times New Roman" w:eastAsia="宋体" w:cs="Times New Roman"/>
              <w:b/>
              <w:bCs/>
              <w:sz w:val="24"/>
              <w:szCs w:val="24"/>
            </w:rPr>
            <w:fldChar w:fldCharType="separate"/>
          </w:r>
          <w:sdt>
            <w:sdtPr>
              <w:rPr>
                <w:rFonts w:hint="default" w:ascii="Times New Roman" w:hAnsi="Times New Roman" w:eastAsia="宋体" w:cs="Times New Roman"/>
                <w:b/>
                <w:bCs/>
                <w:kern w:val="2"/>
                <w:sz w:val="28"/>
                <w:szCs w:val="28"/>
                <w:lang w:val="en-US" w:eastAsia="zh-CN" w:bidi="ar-SA"/>
              </w:rPr>
              <w:id w:val="147455916"/>
              <w:placeholder>
                <w:docPart w:val="{7e36795a-a25f-4cf8-9fb1-21d12d77a186}"/>
              </w:placeholder>
              <w15:color w:val="509DF3"/>
            </w:sdtPr>
            <w:sdtEndPr>
              <w:rPr>
                <w:rFonts w:hint="default" w:ascii="Times New Roman" w:hAnsi="Times New Roman" w:eastAsia="宋体" w:cs="Times New Roman"/>
                <w:b/>
                <w:bCs/>
                <w:kern w:val="2"/>
                <w:sz w:val="28"/>
                <w:szCs w:val="28"/>
                <w:lang w:val="en-US" w:eastAsia="zh-CN" w:bidi="ar-SA"/>
              </w:rPr>
            </w:sdtEndPr>
            <w:sdtContent>
              <w:r>
                <w:rPr>
                  <w:rFonts w:hint="default" w:ascii="Times New Roman" w:hAnsi="Times New Roman" w:eastAsia="宋体" w:cs="Times New Roman"/>
                  <w:b/>
                  <w:bCs/>
                  <w:sz w:val="24"/>
                  <w:szCs w:val="24"/>
                </w:rPr>
                <w:t>第四章  环境影响预测与评价</w:t>
              </w:r>
            </w:sdtContent>
          </w:sdt>
          <w:r>
            <w:rPr>
              <w:rFonts w:hint="default" w:ascii="Times New Roman" w:hAnsi="Times New Roman" w:eastAsia="宋体" w:cs="Times New Roman"/>
              <w:b/>
              <w:bCs/>
              <w:sz w:val="24"/>
              <w:szCs w:val="24"/>
            </w:rPr>
            <w:tab/>
          </w:r>
          <w:bookmarkStart w:id="42" w:name="_Toc17844_WPSOffice_Level1Page"/>
          <w:r>
            <w:rPr>
              <w:rFonts w:hint="default" w:ascii="Times New Roman" w:hAnsi="Times New Roman" w:eastAsia="宋体" w:cs="Times New Roman"/>
              <w:b/>
              <w:bCs/>
              <w:sz w:val="24"/>
              <w:szCs w:val="24"/>
            </w:rPr>
            <w:t>50</w:t>
          </w:r>
          <w:bookmarkEnd w:id="42"/>
          <w:r>
            <w:rPr>
              <w:rFonts w:hint="default" w:ascii="Times New Roman" w:hAnsi="Times New Roman" w:eastAsia="宋体" w:cs="Times New Roman"/>
              <w:b/>
              <w:bCs/>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_Toc13389_WPSOffice_Level2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7a4096f9-2c1c-4413-9d34-4c6d69c915f6}"/>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4.1 施工期环境影响分析</w:t>
              </w:r>
            </w:sdtContent>
          </w:sdt>
          <w:r>
            <w:rPr>
              <w:rFonts w:hint="default" w:ascii="Times New Roman" w:hAnsi="Times New Roman" w:eastAsia="宋体" w:cs="Times New Roman"/>
              <w:sz w:val="24"/>
              <w:szCs w:val="24"/>
            </w:rPr>
            <w:tab/>
          </w:r>
          <w:bookmarkStart w:id="43" w:name="_Toc13389_WPSOffice_Level2Page"/>
          <w:r>
            <w:rPr>
              <w:rFonts w:hint="default" w:ascii="Times New Roman" w:hAnsi="Times New Roman" w:eastAsia="宋体" w:cs="Times New Roman"/>
              <w:sz w:val="24"/>
              <w:szCs w:val="24"/>
            </w:rPr>
            <w:t>50</w:t>
          </w:r>
          <w:bookmarkEnd w:id="43"/>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_Toc7669_WPSOffice_Level2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c1d4acd6-188e-4cdf-b83d-0b10624023a9}"/>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4.2 营运期环境影响预测与评价</w:t>
              </w:r>
            </w:sdtContent>
          </w:sdt>
          <w:r>
            <w:rPr>
              <w:rFonts w:hint="default" w:ascii="Times New Roman" w:hAnsi="Times New Roman" w:eastAsia="宋体" w:cs="Times New Roman"/>
              <w:sz w:val="24"/>
              <w:szCs w:val="24"/>
            </w:rPr>
            <w:tab/>
          </w:r>
          <w:bookmarkStart w:id="44" w:name="_Toc7669_WPSOffice_Level2Page"/>
          <w:r>
            <w:rPr>
              <w:rFonts w:hint="default" w:ascii="Times New Roman" w:hAnsi="Times New Roman" w:eastAsia="宋体" w:cs="Times New Roman"/>
              <w:sz w:val="24"/>
              <w:szCs w:val="24"/>
            </w:rPr>
            <w:t>55</w:t>
          </w:r>
          <w:bookmarkEnd w:id="44"/>
          <w:r>
            <w:rPr>
              <w:rFonts w:hint="default" w:ascii="Times New Roman" w:hAnsi="Times New Roman" w:eastAsia="宋体" w:cs="Times New Roman"/>
              <w:sz w:val="24"/>
              <w:szCs w:val="24"/>
            </w:rPr>
            <w:fldChar w:fldCharType="end"/>
          </w:r>
        </w:p>
        <w:p>
          <w:pPr>
            <w:pStyle w:val="55"/>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sz w:val="24"/>
              <w:szCs w:val="24"/>
            </w:rPr>
            <w:instrText xml:space="preserve"> HYPERLINK \l _Toc7114_WPSOffice_Level1 </w:instrText>
          </w:r>
          <w:r>
            <w:rPr>
              <w:rFonts w:hint="default" w:ascii="Times New Roman" w:hAnsi="Times New Roman" w:eastAsia="宋体" w:cs="Times New Roman"/>
              <w:b/>
              <w:bCs/>
              <w:sz w:val="24"/>
              <w:szCs w:val="24"/>
            </w:rPr>
            <w:fldChar w:fldCharType="separate"/>
          </w:r>
          <w:sdt>
            <w:sdtPr>
              <w:rPr>
                <w:rFonts w:hint="default" w:ascii="Times New Roman" w:hAnsi="Times New Roman" w:eastAsia="宋体" w:cs="Times New Roman"/>
                <w:b/>
                <w:bCs/>
                <w:kern w:val="2"/>
                <w:sz w:val="28"/>
                <w:szCs w:val="28"/>
                <w:lang w:val="en-US" w:eastAsia="zh-CN" w:bidi="ar-SA"/>
              </w:rPr>
              <w:id w:val="147455916"/>
              <w:placeholder>
                <w:docPart w:val="{53292d55-8b17-41c7-8ae8-e725f733649c}"/>
              </w:placeholder>
              <w15:color w:val="509DF3"/>
            </w:sdtPr>
            <w:sdtEndPr>
              <w:rPr>
                <w:rFonts w:hint="default" w:ascii="Times New Roman" w:hAnsi="Times New Roman" w:eastAsia="宋体" w:cs="Times New Roman"/>
                <w:b/>
                <w:bCs/>
                <w:kern w:val="2"/>
                <w:sz w:val="28"/>
                <w:szCs w:val="28"/>
                <w:lang w:val="en-US" w:eastAsia="zh-CN" w:bidi="ar-SA"/>
              </w:rPr>
            </w:sdtEndPr>
            <w:sdtContent>
              <w:r>
                <w:rPr>
                  <w:rFonts w:hint="default" w:ascii="Times New Roman" w:hAnsi="Times New Roman" w:eastAsia="宋体" w:cs="Times New Roman"/>
                  <w:b/>
                  <w:bCs/>
                  <w:sz w:val="24"/>
                  <w:szCs w:val="24"/>
                </w:rPr>
                <w:t>第五章 环境风险评价</w:t>
              </w:r>
            </w:sdtContent>
          </w:sdt>
          <w:r>
            <w:rPr>
              <w:rFonts w:hint="default" w:ascii="Times New Roman" w:hAnsi="Times New Roman" w:eastAsia="宋体" w:cs="Times New Roman"/>
              <w:b/>
              <w:bCs/>
              <w:sz w:val="24"/>
              <w:szCs w:val="24"/>
            </w:rPr>
            <w:tab/>
          </w:r>
          <w:bookmarkStart w:id="45" w:name="_Toc7114_WPSOffice_Level1Page"/>
          <w:r>
            <w:rPr>
              <w:rFonts w:hint="default" w:ascii="Times New Roman" w:hAnsi="Times New Roman" w:eastAsia="宋体" w:cs="Times New Roman"/>
              <w:b/>
              <w:bCs/>
              <w:sz w:val="24"/>
              <w:szCs w:val="24"/>
            </w:rPr>
            <w:t>77</w:t>
          </w:r>
          <w:bookmarkEnd w:id="45"/>
          <w:r>
            <w:rPr>
              <w:rFonts w:hint="default" w:ascii="Times New Roman" w:hAnsi="Times New Roman" w:eastAsia="宋体" w:cs="Times New Roman"/>
              <w:b/>
              <w:bCs/>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_Toc27842_WPSOffice_Level2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48f5bd5c-cf05-4d73-9003-68ce6a5fc0b5}"/>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5.1环境风险评价等级确定</w:t>
              </w:r>
            </w:sdtContent>
          </w:sdt>
          <w:r>
            <w:rPr>
              <w:rFonts w:hint="default" w:ascii="Times New Roman" w:hAnsi="Times New Roman" w:eastAsia="宋体" w:cs="Times New Roman"/>
              <w:sz w:val="24"/>
              <w:szCs w:val="24"/>
            </w:rPr>
            <w:tab/>
          </w:r>
          <w:bookmarkStart w:id="46" w:name="_Toc27842_WPSOffice_Level2Page"/>
          <w:r>
            <w:rPr>
              <w:rFonts w:hint="default" w:ascii="Times New Roman" w:hAnsi="Times New Roman" w:eastAsia="宋体" w:cs="Times New Roman"/>
              <w:sz w:val="24"/>
              <w:szCs w:val="24"/>
            </w:rPr>
            <w:t>77</w:t>
          </w:r>
          <w:bookmarkEnd w:id="46"/>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_Toc9856_WPSOffice_Level2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177a20c2-a6e5-45ab-9802-1c9ee4e865ac}"/>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5.2 简单分析基本内容</w:t>
              </w:r>
            </w:sdtContent>
          </w:sdt>
          <w:r>
            <w:rPr>
              <w:rFonts w:hint="default" w:ascii="Times New Roman" w:hAnsi="Times New Roman" w:eastAsia="宋体" w:cs="Times New Roman"/>
              <w:sz w:val="24"/>
              <w:szCs w:val="24"/>
            </w:rPr>
            <w:tab/>
          </w:r>
          <w:bookmarkStart w:id="47" w:name="_Toc9856_WPSOffice_Level2Page"/>
          <w:r>
            <w:rPr>
              <w:rFonts w:hint="default" w:ascii="Times New Roman" w:hAnsi="Times New Roman" w:eastAsia="宋体" w:cs="Times New Roman"/>
              <w:sz w:val="24"/>
              <w:szCs w:val="24"/>
            </w:rPr>
            <w:t>77</w:t>
          </w:r>
          <w:bookmarkEnd w:id="47"/>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_Toc27270_WPSOffice_Level2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e890ca52-2c5c-463e-83c0-c3d988ad25a9}"/>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5.3 风险防范措施</w:t>
              </w:r>
            </w:sdtContent>
          </w:sdt>
          <w:r>
            <w:rPr>
              <w:rFonts w:hint="default" w:ascii="Times New Roman" w:hAnsi="Times New Roman" w:eastAsia="宋体" w:cs="Times New Roman"/>
              <w:sz w:val="24"/>
              <w:szCs w:val="24"/>
            </w:rPr>
            <w:tab/>
          </w:r>
          <w:bookmarkStart w:id="48" w:name="_Toc27270_WPSOffice_Level2Page"/>
          <w:r>
            <w:rPr>
              <w:rFonts w:hint="default" w:ascii="Times New Roman" w:hAnsi="Times New Roman" w:eastAsia="宋体" w:cs="Times New Roman"/>
              <w:sz w:val="24"/>
              <w:szCs w:val="24"/>
            </w:rPr>
            <w:t>79</w:t>
          </w:r>
          <w:bookmarkEnd w:id="48"/>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_Toc24481_WPSOffice_Level2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8a033c2d-3cf9-4e9c-bfce-ddaf0c01ee3f}"/>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5.4 环境风险评价结论</w:t>
              </w:r>
            </w:sdtContent>
          </w:sdt>
          <w:r>
            <w:rPr>
              <w:rFonts w:hint="default" w:ascii="Times New Roman" w:hAnsi="Times New Roman" w:eastAsia="宋体" w:cs="Times New Roman"/>
              <w:sz w:val="24"/>
              <w:szCs w:val="24"/>
            </w:rPr>
            <w:tab/>
          </w:r>
          <w:bookmarkStart w:id="49" w:name="_Toc24481_WPSOffice_Level2Page"/>
          <w:r>
            <w:rPr>
              <w:rFonts w:hint="default" w:ascii="Times New Roman" w:hAnsi="Times New Roman" w:eastAsia="宋体" w:cs="Times New Roman"/>
              <w:sz w:val="24"/>
              <w:szCs w:val="24"/>
            </w:rPr>
            <w:t>80</w:t>
          </w:r>
          <w:bookmarkEnd w:id="49"/>
          <w:r>
            <w:rPr>
              <w:rFonts w:hint="default" w:ascii="Times New Roman" w:hAnsi="Times New Roman" w:eastAsia="宋体" w:cs="Times New Roman"/>
              <w:sz w:val="24"/>
              <w:szCs w:val="24"/>
            </w:rPr>
            <w:fldChar w:fldCharType="end"/>
          </w:r>
        </w:p>
        <w:p>
          <w:pPr>
            <w:pStyle w:val="55"/>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sz w:val="24"/>
              <w:szCs w:val="24"/>
            </w:rPr>
            <w:instrText xml:space="preserve"> HYPERLINK \l _Toc32069_WPSOffice_Level1 </w:instrText>
          </w:r>
          <w:r>
            <w:rPr>
              <w:rFonts w:hint="default" w:ascii="Times New Roman" w:hAnsi="Times New Roman" w:eastAsia="宋体" w:cs="Times New Roman"/>
              <w:b/>
              <w:bCs/>
              <w:sz w:val="24"/>
              <w:szCs w:val="24"/>
            </w:rPr>
            <w:fldChar w:fldCharType="separate"/>
          </w:r>
          <w:sdt>
            <w:sdtPr>
              <w:rPr>
                <w:rFonts w:hint="default" w:ascii="Times New Roman" w:hAnsi="Times New Roman" w:eastAsia="宋体" w:cs="Times New Roman"/>
                <w:b/>
                <w:bCs/>
                <w:kern w:val="2"/>
                <w:sz w:val="28"/>
                <w:szCs w:val="28"/>
                <w:lang w:val="en-US" w:eastAsia="zh-CN" w:bidi="ar-SA"/>
              </w:rPr>
              <w:id w:val="147455916"/>
              <w:placeholder>
                <w:docPart w:val="{772ddfb0-b480-43d4-bda3-fe45d1e2afb3}"/>
              </w:placeholder>
              <w15:color w:val="509DF3"/>
            </w:sdtPr>
            <w:sdtEndPr>
              <w:rPr>
                <w:rFonts w:hint="default" w:ascii="Times New Roman" w:hAnsi="Times New Roman" w:eastAsia="宋体" w:cs="Times New Roman"/>
                <w:b/>
                <w:bCs/>
                <w:kern w:val="2"/>
                <w:sz w:val="28"/>
                <w:szCs w:val="28"/>
                <w:lang w:val="en-US" w:eastAsia="zh-CN" w:bidi="ar-SA"/>
              </w:rPr>
            </w:sdtEndPr>
            <w:sdtContent>
              <w:r>
                <w:rPr>
                  <w:rFonts w:hint="default" w:ascii="Times New Roman" w:hAnsi="Times New Roman" w:eastAsia="宋体" w:cs="Times New Roman"/>
                  <w:b/>
                  <w:bCs/>
                  <w:sz w:val="24"/>
                  <w:szCs w:val="24"/>
                </w:rPr>
                <w:t>第六章 环境保护措施及其可行性论证</w:t>
              </w:r>
            </w:sdtContent>
          </w:sdt>
          <w:r>
            <w:rPr>
              <w:rFonts w:hint="default" w:ascii="Times New Roman" w:hAnsi="Times New Roman" w:eastAsia="宋体" w:cs="Times New Roman"/>
              <w:b/>
              <w:bCs/>
              <w:sz w:val="24"/>
              <w:szCs w:val="24"/>
            </w:rPr>
            <w:tab/>
          </w:r>
          <w:bookmarkStart w:id="50" w:name="_Toc32069_WPSOffice_Level1Page"/>
          <w:r>
            <w:rPr>
              <w:rFonts w:hint="default" w:ascii="Times New Roman" w:hAnsi="Times New Roman" w:eastAsia="宋体" w:cs="Times New Roman"/>
              <w:b/>
              <w:bCs/>
              <w:sz w:val="24"/>
              <w:szCs w:val="24"/>
            </w:rPr>
            <w:t>81</w:t>
          </w:r>
          <w:bookmarkEnd w:id="50"/>
          <w:r>
            <w:rPr>
              <w:rFonts w:hint="default" w:ascii="Times New Roman" w:hAnsi="Times New Roman" w:eastAsia="宋体" w:cs="Times New Roman"/>
              <w:b/>
              <w:bCs/>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_Toc15861_WPSOffice_Level2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ce618fe6-a75d-4cfb-9bed-9b4ae03998b3}"/>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6.1 施工期污染防治措施</w:t>
              </w:r>
            </w:sdtContent>
          </w:sdt>
          <w:r>
            <w:rPr>
              <w:rFonts w:hint="default" w:ascii="Times New Roman" w:hAnsi="Times New Roman" w:eastAsia="宋体" w:cs="Times New Roman"/>
              <w:sz w:val="24"/>
              <w:szCs w:val="24"/>
            </w:rPr>
            <w:tab/>
          </w:r>
          <w:bookmarkStart w:id="51" w:name="_Toc15861_WPSOffice_Level2Page"/>
          <w:r>
            <w:rPr>
              <w:rFonts w:hint="default" w:ascii="Times New Roman" w:hAnsi="Times New Roman" w:eastAsia="宋体" w:cs="Times New Roman"/>
              <w:sz w:val="24"/>
              <w:szCs w:val="24"/>
            </w:rPr>
            <w:t>81</w:t>
          </w:r>
          <w:bookmarkEnd w:id="51"/>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_Toc9854_WPSOffice_Level2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2041405e-4271-4799-a8e8-836bfc4f4d1f}"/>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6.2 营运期污染防治措施</w:t>
              </w:r>
            </w:sdtContent>
          </w:sdt>
          <w:r>
            <w:rPr>
              <w:rFonts w:hint="default" w:ascii="Times New Roman" w:hAnsi="Times New Roman" w:eastAsia="宋体" w:cs="Times New Roman"/>
              <w:sz w:val="24"/>
              <w:szCs w:val="24"/>
            </w:rPr>
            <w:tab/>
          </w:r>
          <w:bookmarkStart w:id="52" w:name="_Toc9854_WPSOffice_Level2Page"/>
          <w:r>
            <w:rPr>
              <w:rFonts w:hint="default" w:ascii="Times New Roman" w:hAnsi="Times New Roman" w:eastAsia="宋体" w:cs="Times New Roman"/>
              <w:sz w:val="24"/>
              <w:szCs w:val="24"/>
            </w:rPr>
            <w:t>89</w:t>
          </w:r>
          <w:bookmarkEnd w:id="52"/>
          <w:r>
            <w:rPr>
              <w:rFonts w:hint="default" w:ascii="Times New Roman" w:hAnsi="Times New Roman" w:eastAsia="宋体" w:cs="Times New Roman"/>
              <w:sz w:val="24"/>
              <w:szCs w:val="24"/>
            </w:rPr>
            <w:fldChar w:fldCharType="end"/>
          </w:r>
        </w:p>
        <w:p>
          <w:pPr>
            <w:pStyle w:val="55"/>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sz w:val="24"/>
              <w:szCs w:val="24"/>
            </w:rPr>
            <w:instrText xml:space="preserve"> HYPERLINK \l _Toc30350_WPSOffice_Level1 </w:instrText>
          </w:r>
          <w:r>
            <w:rPr>
              <w:rFonts w:hint="default" w:ascii="Times New Roman" w:hAnsi="Times New Roman" w:eastAsia="宋体" w:cs="Times New Roman"/>
              <w:b/>
              <w:bCs/>
              <w:sz w:val="24"/>
              <w:szCs w:val="24"/>
            </w:rPr>
            <w:fldChar w:fldCharType="separate"/>
          </w:r>
          <w:sdt>
            <w:sdtPr>
              <w:rPr>
                <w:rFonts w:hint="default" w:ascii="Times New Roman" w:hAnsi="Times New Roman" w:eastAsia="宋体" w:cs="Times New Roman"/>
                <w:b/>
                <w:bCs/>
                <w:kern w:val="2"/>
                <w:sz w:val="28"/>
                <w:szCs w:val="28"/>
                <w:lang w:val="en-US" w:eastAsia="zh-CN" w:bidi="ar-SA"/>
              </w:rPr>
              <w:id w:val="147455916"/>
              <w:placeholder>
                <w:docPart w:val="{b056ddab-7577-4540-9509-e835385a01e8}"/>
              </w:placeholder>
              <w15:color w:val="509DF3"/>
            </w:sdtPr>
            <w:sdtEndPr>
              <w:rPr>
                <w:rFonts w:hint="default" w:ascii="Times New Roman" w:hAnsi="Times New Roman" w:eastAsia="宋体" w:cs="Times New Roman"/>
                <w:b/>
                <w:bCs/>
                <w:kern w:val="2"/>
                <w:sz w:val="28"/>
                <w:szCs w:val="28"/>
                <w:lang w:val="en-US" w:eastAsia="zh-CN" w:bidi="ar-SA"/>
              </w:rPr>
            </w:sdtEndPr>
            <w:sdtContent>
              <w:r>
                <w:rPr>
                  <w:rFonts w:hint="default" w:ascii="Times New Roman" w:hAnsi="Times New Roman" w:eastAsia="宋体" w:cs="Times New Roman"/>
                  <w:b/>
                  <w:bCs/>
                  <w:sz w:val="24"/>
                  <w:szCs w:val="24"/>
                </w:rPr>
                <w:t>第七章 环境影响经济损益分析</w:t>
              </w:r>
            </w:sdtContent>
          </w:sdt>
          <w:r>
            <w:rPr>
              <w:rFonts w:hint="default" w:ascii="Times New Roman" w:hAnsi="Times New Roman" w:eastAsia="宋体" w:cs="Times New Roman"/>
              <w:b/>
              <w:bCs/>
              <w:sz w:val="24"/>
              <w:szCs w:val="24"/>
            </w:rPr>
            <w:tab/>
          </w:r>
          <w:bookmarkStart w:id="53" w:name="_Toc30350_WPSOffice_Level1Page"/>
          <w:r>
            <w:rPr>
              <w:rFonts w:hint="default" w:ascii="Times New Roman" w:hAnsi="Times New Roman" w:eastAsia="宋体" w:cs="Times New Roman"/>
              <w:b/>
              <w:bCs/>
              <w:sz w:val="24"/>
              <w:szCs w:val="24"/>
            </w:rPr>
            <w:t>99</w:t>
          </w:r>
          <w:bookmarkEnd w:id="53"/>
          <w:r>
            <w:rPr>
              <w:rFonts w:hint="default" w:ascii="Times New Roman" w:hAnsi="Times New Roman" w:eastAsia="宋体" w:cs="Times New Roman"/>
              <w:b/>
              <w:bCs/>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_Toc27914_WPSOffice_Level2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7226804a-6f2e-4941-a127-e8f847bc4738}"/>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7.1 经济效益</w:t>
              </w:r>
            </w:sdtContent>
          </w:sdt>
          <w:r>
            <w:rPr>
              <w:rFonts w:hint="default" w:ascii="Times New Roman" w:hAnsi="Times New Roman" w:eastAsia="宋体" w:cs="Times New Roman"/>
              <w:sz w:val="24"/>
              <w:szCs w:val="24"/>
            </w:rPr>
            <w:tab/>
          </w:r>
          <w:bookmarkStart w:id="54" w:name="_Toc27914_WPSOffice_Level2Page"/>
          <w:r>
            <w:rPr>
              <w:rFonts w:hint="default" w:ascii="Times New Roman" w:hAnsi="Times New Roman" w:eastAsia="宋体" w:cs="Times New Roman"/>
              <w:sz w:val="24"/>
              <w:szCs w:val="24"/>
            </w:rPr>
            <w:t>99</w:t>
          </w:r>
          <w:bookmarkEnd w:id="54"/>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_Toc14560_WPSOffice_Level2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21ad8771-8386-4d1b-9028-c41def99c7b0}"/>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7.2 社会效益</w:t>
              </w:r>
            </w:sdtContent>
          </w:sdt>
          <w:r>
            <w:rPr>
              <w:rFonts w:hint="default" w:ascii="Times New Roman" w:hAnsi="Times New Roman" w:eastAsia="宋体" w:cs="Times New Roman"/>
              <w:sz w:val="24"/>
              <w:szCs w:val="24"/>
            </w:rPr>
            <w:tab/>
          </w:r>
          <w:bookmarkStart w:id="55" w:name="_Toc14560_WPSOffice_Level2Page"/>
          <w:r>
            <w:rPr>
              <w:rFonts w:hint="default" w:ascii="Times New Roman" w:hAnsi="Times New Roman" w:eastAsia="宋体" w:cs="Times New Roman"/>
              <w:sz w:val="24"/>
              <w:szCs w:val="24"/>
            </w:rPr>
            <w:t>99</w:t>
          </w:r>
          <w:bookmarkEnd w:id="55"/>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_Toc22303_WPSOffice_Level2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f92bff4e-b28c-42cd-a8c3-1f4c4550d0c5}"/>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7.3 环境效益</w:t>
              </w:r>
            </w:sdtContent>
          </w:sdt>
          <w:r>
            <w:rPr>
              <w:rFonts w:hint="default" w:ascii="Times New Roman" w:hAnsi="Times New Roman" w:eastAsia="宋体" w:cs="Times New Roman"/>
              <w:sz w:val="24"/>
              <w:szCs w:val="24"/>
            </w:rPr>
            <w:tab/>
          </w:r>
          <w:bookmarkStart w:id="56" w:name="_Toc22303_WPSOffice_Level2Page"/>
          <w:r>
            <w:rPr>
              <w:rFonts w:hint="default" w:ascii="Times New Roman" w:hAnsi="Times New Roman" w:eastAsia="宋体" w:cs="Times New Roman"/>
              <w:sz w:val="24"/>
              <w:szCs w:val="24"/>
            </w:rPr>
            <w:t>99</w:t>
          </w:r>
          <w:bookmarkEnd w:id="56"/>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_Toc5774_WPSOffice_Level2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9fdf766d-6b80-4b0c-8233-1752b22c8da1}"/>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7.4 环境经济损益分析</w:t>
              </w:r>
            </w:sdtContent>
          </w:sdt>
          <w:r>
            <w:rPr>
              <w:rFonts w:hint="default" w:ascii="Times New Roman" w:hAnsi="Times New Roman" w:eastAsia="宋体" w:cs="Times New Roman"/>
              <w:sz w:val="24"/>
              <w:szCs w:val="24"/>
            </w:rPr>
            <w:tab/>
          </w:r>
          <w:bookmarkStart w:id="57" w:name="_Toc5774_WPSOffice_Level2Page"/>
          <w:r>
            <w:rPr>
              <w:rFonts w:hint="default" w:ascii="Times New Roman" w:hAnsi="Times New Roman" w:eastAsia="宋体" w:cs="Times New Roman"/>
              <w:sz w:val="24"/>
              <w:szCs w:val="24"/>
            </w:rPr>
            <w:t>99</w:t>
          </w:r>
          <w:bookmarkEnd w:id="57"/>
          <w:r>
            <w:rPr>
              <w:rFonts w:hint="default" w:ascii="Times New Roman" w:hAnsi="Times New Roman" w:eastAsia="宋体" w:cs="Times New Roman"/>
              <w:sz w:val="24"/>
              <w:szCs w:val="24"/>
            </w:rPr>
            <w:fldChar w:fldCharType="end"/>
          </w:r>
        </w:p>
        <w:p>
          <w:pPr>
            <w:pStyle w:val="55"/>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sz w:val="24"/>
              <w:szCs w:val="24"/>
            </w:rPr>
            <w:instrText xml:space="preserve"> HYPERLINK \l _Toc5819_WPSOffice_Level1 </w:instrText>
          </w:r>
          <w:r>
            <w:rPr>
              <w:rFonts w:hint="default" w:ascii="Times New Roman" w:hAnsi="Times New Roman" w:eastAsia="宋体" w:cs="Times New Roman"/>
              <w:b/>
              <w:bCs/>
              <w:sz w:val="24"/>
              <w:szCs w:val="24"/>
            </w:rPr>
            <w:fldChar w:fldCharType="separate"/>
          </w:r>
          <w:sdt>
            <w:sdtPr>
              <w:rPr>
                <w:rFonts w:hint="default" w:ascii="Times New Roman" w:hAnsi="Times New Roman" w:eastAsia="宋体" w:cs="Times New Roman"/>
                <w:b/>
                <w:bCs/>
                <w:kern w:val="2"/>
                <w:sz w:val="28"/>
                <w:szCs w:val="28"/>
                <w:lang w:val="en-US" w:eastAsia="zh-CN" w:bidi="ar-SA"/>
              </w:rPr>
              <w:id w:val="147455916"/>
              <w:placeholder>
                <w:docPart w:val="{0f1b9282-3ddc-481d-8bc6-2d07717af328}"/>
              </w:placeholder>
              <w15:color w:val="509DF3"/>
            </w:sdtPr>
            <w:sdtEndPr>
              <w:rPr>
                <w:rFonts w:hint="default" w:ascii="Times New Roman" w:hAnsi="Times New Roman" w:eastAsia="宋体" w:cs="Times New Roman"/>
                <w:b/>
                <w:bCs/>
                <w:kern w:val="2"/>
                <w:sz w:val="28"/>
                <w:szCs w:val="28"/>
                <w:lang w:val="en-US" w:eastAsia="zh-CN" w:bidi="ar-SA"/>
              </w:rPr>
            </w:sdtEndPr>
            <w:sdtContent>
              <w:r>
                <w:rPr>
                  <w:rFonts w:hint="default" w:ascii="Times New Roman" w:hAnsi="Times New Roman" w:eastAsia="宋体" w:cs="Times New Roman"/>
                  <w:b/>
                  <w:bCs/>
                  <w:sz w:val="24"/>
                  <w:szCs w:val="24"/>
                </w:rPr>
                <w:t>第八章 环境管理与监测计划</w:t>
              </w:r>
            </w:sdtContent>
          </w:sdt>
          <w:r>
            <w:rPr>
              <w:rFonts w:hint="default" w:ascii="Times New Roman" w:hAnsi="Times New Roman" w:eastAsia="宋体" w:cs="Times New Roman"/>
              <w:b/>
              <w:bCs/>
              <w:sz w:val="24"/>
              <w:szCs w:val="24"/>
            </w:rPr>
            <w:tab/>
          </w:r>
          <w:bookmarkStart w:id="58" w:name="_Toc5819_WPSOffice_Level1Page"/>
          <w:r>
            <w:rPr>
              <w:rFonts w:hint="default" w:ascii="Times New Roman" w:hAnsi="Times New Roman" w:eastAsia="宋体" w:cs="Times New Roman"/>
              <w:b/>
              <w:bCs/>
              <w:sz w:val="24"/>
              <w:szCs w:val="24"/>
            </w:rPr>
            <w:t>102</w:t>
          </w:r>
          <w:bookmarkEnd w:id="58"/>
          <w:r>
            <w:rPr>
              <w:rFonts w:hint="default" w:ascii="Times New Roman" w:hAnsi="Times New Roman" w:eastAsia="宋体" w:cs="Times New Roman"/>
              <w:b/>
              <w:bCs/>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_Toc27500_WPSOffice_Level2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46078279-08a7-4f9e-86e8-9a709eb1edf1}"/>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8.1环境管理</w:t>
              </w:r>
            </w:sdtContent>
          </w:sdt>
          <w:r>
            <w:rPr>
              <w:rFonts w:hint="default" w:ascii="Times New Roman" w:hAnsi="Times New Roman" w:eastAsia="宋体" w:cs="Times New Roman"/>
              <w:sz w:val="24"/>
              <w:szCs w:val="24"/>
            </w:rPr>
            <w:tab/>
          </w:r>
          <w:bookmarkStart w:id="59" w:name="_Toc27500_WPSOffice_Level2Page"/>
          <w:r>
            <w:rPr>
              <w:rFonts w:hint="default" w:ascii="Times New Roman" w:hAnsi="Times New Roman" w:eastAsia="宋体" w:cs="Times New Roman"/>
              <w:sz w:val="24"/>
              <w:szCs w:val="24"/>
            </w:rPr>
            <w:t>102</w:t>
          </w:r>
          <w:bookmarkEnd w:id="59"/>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_Toc20034_WPSOffice_Level2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6203b531-41fd-405b-9c4c-5ec1ee63fe42}"/>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8.2环境监测计划</w:t>
              </w:r>
            </w:sdtContent>
          </w:sdt>
          <w:r>
            <w:rPr>
              <w:rFonts w:hint="default" w:ascii="Times New Roman" w:hAnsi="Times New Roman" w:eastAsia="宋体" w:cs="Times New Roman"/>
              <w:sz w:val="24"/>
              <w:szCs w:val="24"/>
            </w:rPr>
            <w:tab/>
          </w:r>
          <w:bookmarkStart w:id="60" w:name="_Toc20034_WPSOffice_Level2Page"/>
          <w:r>
            <w:rPr>
              <w:rFonts w:hint="default" w:ascii="Times New Roman" w:hAnsi="Times New Roman" w:eastAsia="宋体" w:cs="Times New Roman"/>
              <w:sz w:val="24"/>
              <w:szCs w:val="24"/>
            </w:rPr>
            <w:t>104</w:t>
          </w:r>
          <w:bookmarkEnd w:id="60"/>
          <w:r>
            <w:rPr>
              <w:rFonts w:hint="default" w:ascii="Times New Roman" w:hAnsi="Times New Roman" w:eastAsia="宋体" w:cs="Times New Roman"/>
              <w:sz w:val="24"/>
              <w:szCs w:val="24"/>
            </w:rPr>
            <w:fldChar w:fldCharType="end"/>
          </w:r>
        </w:p>
        <w:p>
          <w:pPr>
            <w:pStyle w:val="55"/>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sz w:val="24"/>
              <w:szCs w:val="24"/>
            </w:rPr>
            <w:instrText xml:space="preserve"> HYPERLINK \l _Toc8839_WPSOffice_Level1 </w:instrText>
          </w:r>
          <w:r>
            <w:rPr>
              <w:rFonts w:hint="default" w:ascii="Times New Roman" w:hAnsi="Times New Roman" w:eastAsia="宋体" w:cs="Times New Roman"/>
              <w:b/>
              <w:bCs/>
              <w:sz w:val="24"/>
              <w:szCs w:val="24"/>
            </w:rPr>
            <w:fldChar w:fldCharType="separate"/>
          </w:r>
          <w:sdt>
            <w:sdtPr>
              <w:rPr>
                <w:rFonts w:hint="default" w:ascii="Times New Roman" w:hAnsi="Times New Roman" w:eastAsia="宋体" w:cs="Times New Roman"/>
                <w:b/>
                <w:bCs/>
                <w:kern w:val="2"/>
                <w:sz w:val="28"/>
                <w:szCs w:val="28"/>
                <w:lang w:val="en-US" w:eastAsia="zh-CN" w:bidi="ar-SA"/>
              </w:rPr>
              <w:id w:val="147455916"/>
              <w:placeholder>
                <w:docPart w:val="{4080e6a9-18da-49da-8eb9-a35d4686d315}"/>
              </w:placeholder>
              <w15:color w:val="509DF3"/>
            </w:sdtPr>
            <w:sdtEndPr>
              <w:rPr>
                <w:rFonts w:hint="default" w:ascii="Times New Roman" w:hAnsi="Times New Roman" w:eastAsia="宋体" w:cs="Times New Roman"/>
                <w:b/>
                <w:bCs/>
                <w:kern w:val="2"/>
                <w:sz w:val="28"/>
                <w:szCs w:val="28"/>
                <w:lang w:val="en-US" w:eastAsia="zh-CN" w:bidi="ar-SA"/>
              </w:rPr>
            </w:sdtEndPr>
            <w:sdtContent>
              <w:r>
                <w:rPr>
                  <w:rFonts w:hint="default" w:ascii="Times New Roman" w:hAnsi="Times New Roman" w:eastAsia="宋体" w:cs="Times New Roman"/>
                  <w:b/>
                  <w:bCs/>
                  <w:sz w:val="24"/>
                  <w:szCs w:val="24"/>
                </w:rPr>
                <w:t>第九章  清洁生产及总量控制分析</w:t>
              </w:r>
            </w:sdtContent>
          </w:sdt>
          <w:r>
            <w:rPr>
              <w:rFonts w:hint="default" w:ascii="Times New Roman" w:hAnsi="Times New Roman" w:eastAsia="宋体" w:cs="Times New Roman"/>
              <w:b/>
              <w:bCs/>
              <w:sz w:val="24"/>
              <w:szCs w:val="24"/>
            </w:rPr>
            <w:tab/>
          </w:r>
          <w:bookmarkStart w:id="61" w:name="_Toc8839_WPSOffice_Level1Page"/>
          <w:r>
            <w:rPr>
              <w:rFonts w:hint="default" w:ascii="Times New Roman" w:hAnsi="Times New Roman" w:eastAsia="宋体" w:cs="Times New Roman"/>
              <w:b/>
              <w:bCs/>
              <w:sz w:val="24"/>
              <w:szCs w:val="24"/>
            </w:rPr>
            <w:t>110</w:t>
          </w:r>
          <w:bookmarkEnd w:id="61"/>
          <w:r>
            <w:rPr>
              <w:rFonts w:hint="default" w:ascii="Times New Roman" w:hAnsi="Times New Roman" w:eastAsia="宋体" w:cs="Times New Roman"/>
              <w:b/>
              <w:bCs/>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_Toc28827_WPSOffice_Level2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466b3c8a-a720-465e-b9a2-281d6a3c71e3}"/>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9.1 清洁生产分析</w:t>
              </w:r>
            </w:sdtContent>
          </w:sdt>
          <w:r>
            <w:rPr>
              <w:rFonts w:hint="default" w:ascii="Times New Roman" w:hAnsi="Times New Roman" w:eastAsia="宋体" w:cs="Times New Roman"/>
              <w:sz w:val="24"/>
              <w:szCs w:val="24"/>
            </w:rPr>
            <w:tab/>
          </w:r>
          <w:bookmarkStart w:id="62" w:name="_Toc28827_WPSOffice_Level2Page"/>
          <w:r>
            <w:rPr>
              <w:rFonts w:hint="default" w:ascii="Times New Roman" w:hAnsi="Times New Roman" w:eastAsia="宋体" w:cs="Times New Roman"/>
              <w:sz w:val="24"/>
              <w:szCs w:val="24"/>
            </w:rPr>
            <w:t>110</w:t>
          </w:r>
          <w:bookmarkEnd w:id="62"/>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_Toc7028_WPSOffice_Level2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c3af1b89-44a4-41bc-8e79-3151eb058a14}"/>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9.2 总量控制分析</w:t>
              </w:r>
            </w:sdtContent>
          </w:sdt>
          <w:r>
            <w:rPr>
              <w:rFonts w:hint="default" w:ascii="Times New Roman" w:hAnsi="Times New Roman" w:eastAsia="宋体" w:cs="Times New Roman"/>
              <w:sz w:val="24"/>
              <w:szCs w:val="24"/>
            </w:rPr>
            <w:tab/>
          </w:r>
          <w:bookmarkStart w:id="63" w:name="_Toc7028_WPSOffice_Level2Page"/>
          <w:r>
            <w:rPr>
              <w:rFonts w:hint="default" w:ascii="Times New Roman" w:hAnsi="Times New Roman" w:eastAsia="宋体" w:cs="Times New Roman"/>
              <w:sz w:val="24"/>
              <w:szCs w:val="24"/>
            </w:rPr>
            <w:t>112</w:t>
          </w:r>
          <w:bookmarkEnd w:id="63"/>
          <w:r>
            <w:rPr>
              <w:rFonts w:hint="default" w:ascii="Times New Roman" w:hAnsi="Times New Roman" w:eastAsia="宋体" w:cs="Times New Roman"/>
              <w:sz w:val="24"/>
              <w:szCs w:val="24"/>
            </w:rPr>
            <w:fldChar w:fldCharType="end"/>
          </w:r>
        </w:p>
        <w:p>
          <w:pPr>
            <w:pStyle w:val="55"/>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sz w:val="24"/>
              <w:szCs w:val="24"/>
            </w:rPr>
            <w:instrText xml:space="preserve"> HYPERLINK \l _Toc18647_WPSOffice_Level1 </w:instrText>
          </w:r>
          <w:r>
            <w:rPr>
              <w:rFonts w:hint="default" w:ascii="Times New Roman" w:hAnsi="Times New Roman" w:eastAsia="宋体" w:cs="Times New Roman"/>
              <w:b/>
              <w:bCs/>
              <w:sz w:val="24"/>
              <w:szCs w:val="24"/>
            </w:rPr>
            <w:fldChar w:fldCharType="separate"/>
          </w:r>
          <w:sdt>
            <w:sdtPr>
              <w:rPr>
                <w:rFonts w:hint="default" w:ascii="Times New Roman" w:hAnsi="Times New Roman" w:eastAsia="宋体" w:cs="Times New Roman"/>
                <w:b/>
                <w:bCs/>
                <w:kern w:val="2"/>
                <w:sz w:val="28"/>
                <w:szCs w:val="28"/>
                <w:lang w:val="en-US" w:eastAsia="zh-CN" w:bidi="ar-SA"/>
              </w:rPr>
              <w:id w:val="147455916"/>
              <w:placeholder>
                <w:docPart w:val="{58383997-f90d-4b24-a48f-1c075a30c5b9}"/>
              </w:placeholder>
              <w15:color w:val="509DF3"/>
            </w:sdtPr>
            <w:sdtEndPr>
              <w:rPr>
                <w:rFonts w:hint="default" w:ascii="Times New Roman" w:hAnsi="Times New Roman" w:eastAsia="宋体" w:cs="Times New Roman"/>
                <w:b/>
                <w:bCs/>
                <w:kern w:val="2"/>
                <w:sz w:val="28"/>
                <w:szCs w:val="28"/>
                <w:lang w:val="en-US" w:eastAsia="zh-CN" w:bidi="ar-SA"/>
              </w:rPr>
            </w:sdtEndPr>
            <w:sdtContent>
              <w:r>
                <w:rPr>
                  <w:rFonts w:hint="default" w:ascii="Times New Roman" w:hAnsi="Times New Roman" w:eastAsia="宋体" w:cs="Times New Roman"/>
                  <w:b/>
                  <w:bCs/>
                  <w:sz w:val="24"/>
                  <w:szCs w:val="24"/>
                </w:rPr>
                <w:t>第十章  环境影响评价结论</w:t>
              </w:r>
            </w:sdtContent>
          </w:sdt>
          <w:r>
            <w:rPr>
              <w:rFonts w:hint="default" w:ascii="Times New Roman" w:hAnsi="Times New Roman" w:eastAsia="宋体" w:cs="Times New Roman"/>
              <w:b/>
              <w:bCs/>
              <w:sz w:val="24"/>
              <w:szCs w:val="24"/>
            </w:rPr>
            <w:tab/>
          </w:r>
          <w:bookmarkStart w:id="64" w:name="_Toc18647_WPSOffice_Level1Page"/>
          <w:r>
            <w:rPr>
              <w:rFonts w:hint="default" w:ascii="Times New Roman" w:hAnsi="Times New Roman" w:eastAsia="宋体" w:cs="Times New Roman"/>
              <w:b/>
              <w:bCs/>
              <w:sz w:val="24"/>
              <w:szCs w:val="24"/>
            </w:rPr>
            <w:t>114</w:t>
          </w:r>
          <w:bookmarkEnd w:id="64"/>
          <w:r>
            <w:rPr>
              <w:rFonts w:hint="default" w:ascii="Times New Roman" w:hAnsi="Times New Roman" w:eastAsia="宋体" w:cs="Times New Roman"/>
              <w:b/>
              <w:bCs/>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_Toc19953_WPSOffice_Level2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8ce99a61-ac12-4ea9-968e-200c0cc7792d}"/>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10.1 项目建设概况</w:t>
              </w:r>
            </w:sdtContent>
          </w:sdt>
          <w:r>
            <w:rPr>
              <w:rFonts w:hint="default" w:ascii="Times New Roman" w:hAnsi="Times New Roman" w:eastAsia="宋体" w:cs="Times New Roman"/>
              <w:sz w:val="24"/>
              <w:szCs w:val="24"/>
            </w:rPr>
            <w:tab/>
          </w:r>
          <w:bookmarkStart w:id="65" w:name="_Toc19953_WPSOffice_Level2Page"/>
          <w:r>
            <w:rPr>
              <w:rFonts w:hint="default" w:ascii="Times New Roman" w:hAnsi="Times New Roman" w:eastAsia="宋体" w:cs="Times New Roman"/>
              <w:sz w:val="24"/>
              <w:szCs w:val="24"/>
            </w:rPr>
            <w:t>114</w:t>
          </w:r>
          <w:bookmarkEnd w:id="65"/>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_Toc9040_WPSOffice_Level2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7735317d-159d-48d8-988e-9c5fb5846f0c}"/>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10.2 项目产业政策与规划符合性</w:t>
              </w:r>
            </w:sdtContent>
          </w:sdt>
          <w:r>
            <w:rPr>
              <w:rFonts w:hint="default" w:ascii="Times New Roman" w:hAnsi="Times New Roman" w:eastAsia="宋体" w:cs="Times New Roman"/>
              <w:sz w:val="24"/>
              <w:szCs w:val="24"/>
            </w:rPr>
            <w:tab/>
          </w:r>
          <w:bookmarkStart w:id="66" w:name="_Toc9040_WPSOffice_Level2Page"/>
          <w:r>
            <w:rPr>
              <w:rFonts w:hint="default" w:ascii="Times New Roman" w:hAnsi="Times New Roman" w:eastAsia="宋体" w:cs="Times New Roman"/>
              <w:sz w:val="24"/>
              <w:szCs w:val="24"/>
            </w:rPr>
            <w:t>114</w:t>
          </w:r>
          <w:bookmarkEnd w:id="66"/>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_Toc2784_WPSOffice_Level2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14bb80ee-98a4-4c9e-b7f2-99b4c205fd3b}"/>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10.3 环境现状评价结论</w:t>
              </w:r>
            </w:sdtContent>
          </w:sdt>
          <w:r>
            <w:rPr>
              <w:rFonts w:hint="default" w:ascii="Times New Roman" w:hAnsi="Times New Roman" w:eastAsia="宋体" w:cs="Times New Roman"/>
              <w:sz w:val="24"/>
              <w:szCs w:val="24"/>
            </w:rPr>
            <w:tab/>
          </w:r>
          <w:bookmarkStart w:id="67" w:name="_Toc2784_WPSOffice_Level2Page"/>
          <w:r>
            <w:rPr>
              <w:rFonts w:hint="default" w:ascii="Times New Roman" w:hAnsi="Times New Roman" w:eastAsia="宋体" w:cs="Times New Roman"/>
              <w:sz w:val="24"/>
              <w:szCs w:val="24"/>
            </w:rPr>
            <w:t>115</w:t>
          </w:r>
          <w:bookmarkEnd w:id="67"/>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_Toc21140_WPSOffice_Level2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5d012072-4339-46a6-99ac-fbac2d2e5acf}"/>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10.4 环境影响预测与评价结论</w:t>
              </w:r>
            </w:sdtContent>
          </w:sdt>
          <w:r>
            <w:rPr>
              <w:rFonts w:hint="default" w:ascii="Times New Roman" w:hAnsi="Times New Roman" w:eastAsia="宋体" w:cs="Times New Roman"/>
              <w:sz w:val="24"/>
              <w:szCs w:val="24"/>
            </w:rPr>
            <w:tab/>
          </w:r>
          <w:bookmarkStart w:id="68" w:name="_Toc21140_WPSOffice_Level2Page"/>
          <w:r>
            <w:rPr>
              <w:rFonts w:hint="default" w:ascii="Times New Roman" w:hAnsi="Times New Roman" w:eastAsia="宋体" w:cs="Times New Roman"/>
              <w:sz w:val="24"/>
              <w:szCs w:val="24"/>
            </w:rPr>
            <w:t>115</w:t>
          </w:r>
          <w:bookmarkEnd w:id="68"/>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_Toc8188_WPSOffice_Level2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bc22b02d-9ea1-405a-bbdb-8c523d9d7bca}"/>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10.5 环境污染控制对策</w:t>
              </w:r>
            </w:sdtContent>
          </w:sdt>
          <w:r>
            <w:rPr>
              <w:rFonts w:hint="default" w:ascii="Times New Roman" w:hAnsi="Times New Roman" w:eastAsia="宋体" w:cs="Times New Roman"/>
              <w:sz w:val="24"/>
              <w:szCs w:val="24"/>
            </w:rPr>
            <w:tab/>
          </w:r>
          <w:bookmarkStart w:id="69" w:name="_Toc8188_WPSOffice_Level2Page"/>
          <w:r>
            <w:rPr>
              <w:rFonts w:hint="default" w:ascii="Times New Roman" w:hAnsi="Times New Roman" w:eastAsia="宋体" w:cs="Times New Roman"/>
              <w:sz w:val="24"/>
              <w:szCs w:val="24"/>
            </w:rPr>
            <w:t>116</w:t>
          </w:r>
          <w:bookmarkEnd w:id="69"/>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_Toc11050_WPSOffice_Level2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34a35afb-a237-4a52-8a23-436a3bc79777}"/>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10.6 环境风险</w:t>
              </w:r>
            </w:sdtContent>
          </w:sdt>
          <w:r>
            <w:rPr>
              <w:rFonts w:hint="default" w:ascii="Times New Roman" w:hAnsi="Times New Roman" w:eastAsia="宋体" w:cs="Times New Roman"/>
              <w:sz w:val="24"/>
              <w:szCs w:val="24"/>
            </w:rPr>
            <w:tab/>
          </w:r>
          <w:bookmarkStart w:id="70" w:name="_Toc11050_WPSOffice_Level2Page"/>
          <w:r>
            <w:rPr>
              <w:rFonts w:hint="default" w:ascii="Times New Roman" w:hAnsi="Times New Roman" w:eastAsia="宋体" w:cs="Times New Roman"/>
              <w:sz w:val="24"/>
              <w:szCs w:val="24"/>
            </w:rPr>
            <w:t>116</w:t>
          </w:r>
          <w:bookmarkEnd w:id="70"/>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_Toc19614_WPSOffice_Level2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a649d507-7f84-45ba-9937-e22c3a31927e}"/>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10.7清洁生产水平分析</w:t>
              </w:r>
            </w:sdtContent>
          </w:sdt>
          <w:r>
            <w:rPr>
              <w:rFonts w:hint="default" w:ascii="Times New Roman" w:hAnsi="Times New Roman" w:eastAsia="宋体" w:cs="Times New Roman"/>
              <w:sz w:val="24"/>
              <w:szCs w:val="24"/>
            </w:rPr>
            <w:tab/>
          </w:r>
          <w:bookmarkStart w:id="71" w:name="_Toc19614_WPSOffice_Level2Page"/>
          <w:r>
            <w:rPr>
              <w:rFonts w:hint="default" w:ascii="Times New Roman" w:hAnsi="Times New Roman" w:eastAsia="宋体" w:cs="Times New Roman"/>
              <w:sz w:val="24"/>
              <w:szCs w:val="24"/>
            </w:rPr>
            <w:t>116</w:t>
          </w:r>
          <w:bookmarkEnd w:id="71"/>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_Toc1973_WPSOffice_Level2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33760368-c057-434f-abd5-11ea7df91d4b}"/>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10.8污染物排放总量控制</w:t>
              </w:r>
            </w:sdtContent>
          </w:sdt>
          <w:r>
            <w:rPr>
              <w:rFonts w:hint="default" w:ascii="Times New Roman" w:hAnsi="Times New Roman" w:eastAsia="宋体" w:cs="Times New Roman"/>
              <w:sz w:val="24"/>
              <w:szCs w:val="24"/>
            </w:rPr>
            <w:tab/>
          </w:r>
          <w:bookmarkStart w:id="72" w:name="_Toc1973_WPSOffice_Level2Page"/>
          <w:r>
            <w:rPr>
              <w:rFonts w:hint="default" w:ascii="Times New Roman" w:hAnsi="Times New Roman" w:eastAsia="宋体" w:cs="Times New Roman"/>
              <w:sz w:val="24"/>
              <w:szCs w:val="24"/>
            </w:rPr>
            <w:t>117</w:t>
          </w:r>
          <w:bookmarkEnd w:id="72"/>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_Toc32457_WPSOffice_Level2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0b43f4d7-9653-4b83-834a-2b3de3528687}"/>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10.9公众参与结论</w:t>
              </w:r>
            </w:sdtContent>
          </w:sdt>
          <w:r>
            <w:rPr>
              <w:rFonts w:hint="default" w:ascii="Times New Roman" w:hAnsi="Times New Roman" w:eastAsia="宋体" w:cs="Times New Roman"/>
              <w:sz w:val="24"/>
              <w:szCs w:val="24"/>
            </w:rPr>
            <w:tab/>
          </w:r>
          <w:bookmarkStart w:id="73" w:name="_Toc32457_WPSOffice_Level2Page"/>
          <w:r>
            <w:rPr>
              <w:rFonts w:hint="default" w:ascii="Times New Roman" w:hAnsi="Times New Roman" w:eastAsia="宋体" w:cs="Times New Roman"/>
              <w:sz w:val="24"/>
              <w:szCs w:val="24"/>
            </w:rPr>
            <w:t>117</w:t>
          </w:r>
          <w:bookmarkEnd w:id="73"/>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_Toc19567_WPSOffice_Level2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25a49e5d-e267-4917-8658-3f00ce8a609d}"/>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10.10 三同时验收一览表</w:t>
              </w:r>
            </w:sdtContent>
          </w:sdt>
          <w:r>
            <w:rPr>
              <w:rFonts w:hint="default" w:ascii="Times New Roman" w:hAnsi="Times New Roman" w:eastAsia="宋体" w:cs="Times New Roman"/>
              <w:sz w:val="24"/>
              <w:szCs w:val="24"/>
            </w:rPr>
            <w:tab/>
          </w:r>
          <w:bookmarkStart w:id="74" w:name="_Toc19567_WPSOffice_Level2Page"/>
          <w:r>
            <w:rPr>
              <w:rFonts w:hint="default" w:ascii="Times New Roman" w:hAnsi="Times New Roman" w:eastAsia="宋体" w:cs="Times New Roman"/>
              <w:sz w:val="24"/>
              <w:szCs w:val="24"/>
            </w:rPr>
            <w:t>117</w:t>
          </w:r>
          <w:bookmarkEnd w:id="74"/>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_Toc1802_WPSOffice_Level2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2f3b1edd-df90-4d03-ad35-4aeb136f261b}"/>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10.11评价总结论</w:t>
              </w:r>
            </w:sdtContent>
          </w:sdt>
          <w:r>
            <w:rPr>
              <w:rFonts w:hint="default" w:ascii="Times New Roman" w:hAnsi="Times New Roman" w:eastAsia="宋体" w:cs="Times New Roman"/>
              <w:sz w:val="24"/>
              <w:szCs w:val="24"/>
            </w:rPr>
            <w:tab/>
          </w:r>
          <w:bookmarkStart w:id="75" w:name="_Toc1802_WPSOffice_Level2Page"/>
          <w:r>
            <w:rPr>
              <w:rFonts w:hint="default" w:ascii="Times New Roman" w:hAnsi="Times New Roman" w:eastAsia="宋体" w:cs="Times New Roman"/>
              <w:sz w:val="24"/>
              <w:szCs w:val="24"/>
            </w:rPr>
            <w:t>119</w:t>
          </w:r>
          <w:bookmarkEnd w:id="75"/>
          <w:r>
            <w:rPr>
              <w:rFonts w:hint="default" w:ascii="Times New Roman" w:hAnsi="Times New Roman" w:eastAsia="宋体" w:cs="Times New Roman"/>
              <w:sz w:val="24"/>
              <w:szCs w:val="24"/>
            </w:rPr>
            <w:fldChar w:fldCharType="end"/>
          </w:r>
        </w:p>
        <w:p>
          <w:pPr>
            <w:pStyle w:val="56"/>
            <w:tabs>
              <w:tab w:val="right" w:leader="dot" w:pos="8618"/>
            </w:tabs>
            <w:rPr>
              <w:rFonts w:hint="default" w:ascii="Times New Roman" w:hAnsi="Times New Roman" w:eastAsia="宋体" w:cs="Times New Roman"/>
              <w:sz w:val="22"/>
              <w:szCs w:val="22"/>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_Toc30726_WPSOffice_Level2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kern w:val="2"/>
                <w:sz w:val="28"/>
                <w:szCs w:val="28"/>
                <w:lang w:val="en-US" w:eastAsia="zh-CN" w:bidi="ar-SA"/>
              </w:rPr>
              <w:id w:val="147455916"/>
              <w:placeholder>
                <w:docPart w:val="{00e23151-8fd3-4051-90b7-ea8ac7e69f08}"/>
              </w:placeholder>
              <w15:color w:val="509DF3"/>
            </w:sdtPr>
            <w:sdtEndPr>
              <w:rPr>
                <w:rFonts w:hint="default" w:ascii="Times New Roman" w:hAnsi="Times New Roman" w:eastAsia="宋体" w:cs="Times New Roman"/>
                <w:kern w:val="2"/>
                <w:sz w:val="28"/>
                <w:szCs w:val="28"/>
                <w:lang w:val="en-US" w:eastAsia="zh-CN" w:bidi="ar-SA"/>
              </w:rPr>
            </w:sdtEndPr>
            <w:sdtContent>
              <w:r>
                <w:rPr>
                  <w:rFonts w:hint="default" w:ascii="Times New Roman" w:hAnsi="Times New Roman" w:eastAsia="宋体" w:cs="Times New Roman"/>
                  <w:sz w:val="24"/>
                  <w:szCs w:val="24"/>
                </w:rPr>
                <w:t>10.12 建议</w:t>
              </w:r>
            </w:sdtContent>
          </w:sdt>
          <w:r>
            <w:rPr>
              <w:rFonts w:hint="default" w:ascii="Times New Roman" w:hAnsi="Times New Roman" w:eastAsia="宋体" w:cs="Times New Roman"/>
              <w:sz w:val="24"/>
              <w:szCs w:val="24"/>
            </w:rPr>
            <w:tab/>
          </w:r>
          <w:bookmarkStart w:id="76" w:name="_Toc30726_WPSOffice_Level2Page"/>
          <w:r>
            <w:rPr>
              <w:rFonts w:hint="default" w:ascii="Times New Roman" w:hAnsi="Times New Roman" w:eastAsia="宋体" w:cs="Times New Roman"/>
              <w:sz w:val="24"/>
              <w:szCs w:val="24"/>
            </w:rPr>
            <w:t>119</w:t>
          </w:r>
          <w:bookmarkEnd w:id="76"/>
          <w:r>
            <w:rPr>
              <w:rFonts w:hint="default" w:ascii="Times New Roman" w:hAnsi="Times New Roman" w:eastAsia="宋体" w:cs="Times New Roman"/>
              <w:sz w:val="24"/>
              <w:szCs w:val="24"/>
            </w:rPr>
            <w:fldChar w:fldCharType="end"/>
          </w:r>
          <w:bookmarkEnd w:id="22"/>
        </w:p>
      </w:sdtContent>
    </w:sdt>
    <w:p>
      <w:pPr>
        <w:keepNext w:val="0"/>
        <w:keepLines w:val="0"/>
        <w:pageBreakBefore w:val="0"/>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sectPr>
          <w:headerReference r:id="rId3" w:type="default"/>
          <w:footerReference r:id="rId4" w:type="default"/>
          <w:pgSz w:w="11906" w:h="16838"/>
          <w:pgMar w:top="1440" w:right="1701" w:bottom="1440" w:left="1587" w:header="851" w:footer="737" w:gutter="0"/>
          <w:pgBorders>
            <w:top w:val="none" w:sz="0" w:space="0"/>
            <w:left w:val="none" w:sz="0" w:space="0"/>
            <w:bottom w:val="none" w:sz="0" w:space="0"/>
            <w:right w:val="none" w:sz="0" w:space="0"/>
          </w:pgBorders>
          <w:pgNumType w:start="1"/>
          <w:cols w:space="720" w:num="1"/>
          <w:docGrid w:linePitch="312" w:charSpace="0"/>
        </w:sectPr>
      </w:pPr>
      <w:bookmarkStart w:id="77" w:name="_Toc22032_WPSOffice_Level1"/>
      <w:r>
        <w:rPr>
          <w:rFonts w:hint="default" w:ascii="Times New Roman" w:hAnsi="Times New Roman" w:eastAsia="宋体" w:cs="Times New Roman"/>
          <w:sz w:val="24"/>
          <w:szCs w:val="24"/>
        </w:rPr>
        <w:br w:type="page"/>
      </w:r>
      <w:bookmarkEnd w:id="77"/>
      <w:bookmarkStart w:id="78" w:name="_Toc532395281"/>
    </w:p>
    <w:p>
      <w:pPr>
        <w:pStyle w:val="5"/>
        <w:jc w:val="center"/>
        <w:rPr>
          <w:rFonts w:eastAsia="黑体"/>
          <w:sz w:val="36"/>
          <w:szCs w:val="36"/>
        </w:rPr>
      </w:pPr>
      <w:bookmarkStart w:id="79" w:name="_Toc6105_WPSOffice_Level1"/>
      <w:r>
        <w:rPr>
          <w:rFonts w:eastAsia="黑体"/>
          <w:sz w:val="36"/>
          <w:szCs w:val="36"/>
        </w:rPr>
        <w:t>第一章  总则</w:t>
      </w:r>
      <w:bookmarkEnd w:id="78"/>
      <w:bookmarkEnd w:id="79"/>
    </w:p>
    <w:p>
      <w:pPr>
        <w:pStyle w:val="5"/>
        <w:rPr>
          <w:sz w:val="24"/>
          <w:szCs w:val="24"/>
        </w:rPr>
      </w:pPr>
      <w:bookmarkStart w:id="80" w:name="_Toc23080_WPSOffice_Level2"/>
      <w:bookmarkStart w:id="81" w:name="_Toc532395282"/>
      <w:r>
        <w:rPr>
          <w:sz w:val="24"/>
          <w:szCs w:val="24"/>
        </w:rPr>
        <w:t>1.1 评价目的与指导思想</w:t>
      </w:r>
      <w:bookmarkEnd w:id="80"/>
      <w:bookmarkEnd w:id="81"/>
    </w:p>
    <w:p>
      <w:pPr>
        <w:ind w:firstLine="361" w:firstLineChars="150"/>
        <w:rPr>
          <w:b/>
          <w:sz w:val="24"/>
        </w:rPr>
      </w:pPr>
      <w:bookmarkStart w:id="82" w:name="_Toc162843439"/>
      <w:bookmarkStart w:id="83" w:name="_Toc162843203"/>
      <w:bookmarkStart w:id="84" w:name="_Toc532395283"/>
      <w:r>
        <w:rPr>
          <w:b/>
          <w:sz w:val="24"/>
        </w:rPr>
        <w:t>1.1.1评价目的</w:t>
      </w:r>
      <w:bookmarkEnd w:id="82"/>
      <w:bookmarkEnd w:id="83"/>
    </w:p>
    <w:p>
      <w:pPr>
        <w:ind w:firstLine="460" w:firstLineChars="192"/>
        <w:rPr>
          <w:sz w:val="24"/>
        </w:rPr>
      </w:pPr>
      <w:r>
        <w:rPr>
          <w:sz w:val="24"/>
        </w:rPr>
        <w:t>本次评价从进一步改善环境质量的角度出发，根据工程选址区域的环境特点及评价区域环境质量状况，结合拟建工程污染物排放状况，依据客观、科学的原则，对该项目各阶段特别是生产运行阶段可能带来的环境影响问题进行论证分析，并通过本次评价达到如下目的：</w:t>
      </w:r>
    </w:p>
    <w:p>
      <w:pPr>
        <w:ind w:firstLine="480" w:firstLineChars="200"/>
        <w:rPr>
          <w:sz w:val="24"/>
        </w:rPr>
      </w:pPr>
      <w:r>
        <w:rPr>
          <w:sz w:val="24"/>
        </w:rPr>
        <w:t>（1）通过对该项目所在区域环境质量现状调查，了解项目地所在区域环境质量现状，并结合该项目特点，确定主要保护对象和保护目标。</w:t>
      </w:r>
    </w:p>
    <w:p>
      <w:pPr>
        <w:ind w:firstLine="480" w:firstLineChars="200"/>
        <w:rPr>
          <w:sz w:val="24"/>
        </w:rPr>
      </w:pPr>
      <w:r>
        <w:rPr>
          <w:sz w:val="24"/>
        </w:rPr>
        <w:t>（2）通过对</w:t>
      </w:r>
      <w:r>
        <w:rPr>
          <w:rFonts w:hint="eastAsia"/>
          <w:sz w:val="24"/>
        </w:rPr>
        <w:t>项目</w:t>
      </w:r>
      <w:r>
        <w:rPr>
          <w:sz w:val="24"/>
        </w:rPr>
        <w:t>的工程分析及类比</w:t>
      </w:r>
      <w:r>
        <w:rPr>
          <w:rFonts w:hint="eastAsia"/>
          <w:sz w:val="24"/>
          <w:lang w:eastAsia="zh-CN"/>
        </w:rPr>
        <w:t>同类型</w:t>
      </w:r>
      <w:r>
        <w:rPr>
          <w:sz w:val="24"/>
        </w:rPr>
        <w:t>项目的调查，确定评价因子、评价方法和评价重点，做好项目污染源源强核算和污染物排放量统计，为后续竣工环保验收、排污许可工作提供重要的参考。</w:t>
      </w:r>
    </w:p>
    <w:p>
      <w:pPr>
        <w:ind w:firstLine="480" w:firstLineChars="200"/>
        <w:rPr>
          <w:rStyle w:val="34"/>
          <w:sz w:val="24"/>
          <w:szCs w:val="24"/>
        </w:rPr>
      </w:pPr>
      <w:r>
        <w:rPr>
          <w:sz w:val="24"/>
        </w:rPr>
        <w:t>（3）</w:t>
      </w:r>
      <w:r>
        <w:rPr>
          <w:rStyle w:val="34"/>
          <w:sz w:val="24"/>
          <w:szCs w:val="24"/>
        </w:rPr>
        <w:t>根据源强核算结果，对项目环境影响进行预测、分析，论证项目环境影响程度、范围，明确环境影响是否可接受。</w:t>
      </w:r>
    </w:p>
    <w:p>
      <w:pPr>
        <w:ind w:firstLine="480" w:firstLineChars="200"/>
        <w:rPr>
          <w:sz w:val="24"/>
        </w:rPr>
      </w:pPr>
      <w:r>
        <w:rPr>
          <w:sz w:val="24"/>
        </w:rPr>
        <w:t>（4）论证工程拟采取的环保治理措施的技术经济可行性与合理性，提出切实可行的建议与意见，从环境保护的角度提出项目建设的可行性结论，为有关部门的决策、项目的实施及工程投产后的环境管理提供科学依据，使工程建设达到经济效益、社会效益和环境效益的统一。</w:t>
      </w:r>
    </w:p>
    <w:p>
      <w:pPr>
        <w:ind w:firstLine="480" w:firstLineChars="200"/>
        <w:rPr>
          <w:sz w:val="24"/>
        </w:rPr>
      </w:pPr>
      <w:r>
        <w:rPr>
          <w:sz w:val="24"/>
        </w:rPr>
        <w:t>（5）核实项目污染物排放总量，明确项目环境管理与监测计划要求，完善项目自我监督体系。</w:t>
      </w:r>
    </w:p>
    <w:p>
      <w:pPr>
        <w:ind w:firstLine="480" w:firstLineChars="200"/>
        <w:rPr>
          <w:sz w:val="24"/>
        </w:rPr>
      </w:pPr>
      <w:r>
        <w:rPr>
          <w:sz w:val="24"/>
        </w:rPr>
        <w:t>（6）从环境保护角度对拟建工程的可行性作出明确结论，为主管部门决策和环境管理提供依据。</w:t>
      </w:r>
    </w:p>
    <w:p>
      <w:pPr>
        <w:ind w:firstLine="482" w:firstLineChars="200"/>
        <w:rPr>
          <w:b/>
          <w:sz w:val="24"/>
        </w:rPr>
      </w:pPr>
      <w:bookmarkStart w:id="85" w:name="_Toc162843204"/>
      <w:bookmarkStart w:id="86" w:name="_Toc162843440"/>
      <w:r>
        <w:rPr>
          <w:b/>
          <w:sz w:val="24"/>
        </w:rPr>
        <w:t>1.1.2指导思想</w:t>
      </w:r>
      <w:bookmarkEnd w:id="85"/>
      <w:bookmarkEnd w:id="86"/>
    </w:p>
    <w:p>
      <w:pPr>
        <w:ind w:firstLine="480" w:firstLineChars="200"/>
        <w:rPr>
          <w:sz w:val="24"/>
        </w:rPr>
      </w:pPr>
      <w:r>
        <w:rPr>
          <w:sz w:val="24"/>
        </w:rPr>
        <w:t>本次评价的指导思想是在对项目进行详细工程分析的基础上，依据《环境影响评价技术导则》总纲（HJ2.1-2016）的要求，充分利用现有基础资料和借鉴现有建设项目的评价成果，针对工程排放污染物的特点，依据国家、行业、部门和安徽省的环境保护法律法规，分析工程排放的各类污染物能否达标排放，工程设计中是否采用了清洁生产工艺，对采取的环保治理措施进行合理性、可行性论证。评价中贯彻“清洁生产”、“达标排放”、“总量控制”的原则，评价中力求做到依据充分、内容全面、重点突出、数据准确；结论力求做到科学、客观、公正、明确；环保对策建议做到可操作性、实用性强，并符合国情。</w:t>
      </w:r>
    </w:p>
    <w:p>
      <w:pPr>
        <w:pStyle w:val="5"/>
        <w:rPr>
          <w:sz w:val="24"/>
          <w:szCs w:val="24"/>
        </w:rPr>
      </w:pPr>
      <w:bookmarkStart w:id="87" w:name="_Toc12335_WPSOffice_Level2"/>
      <w:r>
        <w:rPr>
          <w:sz w:val="24"/>
          <w:szCs w:val="24"/>
        </w:rPr>
        <w:t>1.2 编制依据</w:t>
      </w:r>
      <w:bookmarkEnd w:id="84"/>
      <w:bookmarkEnd w:id="87"/>
    </w:p>
    <w:p>
      <w:pPr>
        <w:adjustRightInd/>
        <w:snapToGrid/>
        <w:rPr>
          <w:b/>
          <w:sz w:val="24"/>
          <w:szCs w:val="24"/>
        </w:rPr>
      </w:pPr>
      <w:r>
        <w:rPr>
          <w:b/>
          <w:sz w:val="24"/>
          <w:szCs w:val="24"/>
        </w:rPr>
        <w:t>1.2.1 国家相关法律、法规及规章</w:t>
      </w:r>
    </w:p>
    <w:p>
      <w:pPr>
        <w:adjustRightInd/>
        <w:ind w:firstLine="480" w:firstLineChars="200"/>
        <w:rPr>
          <w:sz w:val="24"/>
          <w:szCs w:val="24"/>
        </w:rPr>
      </w:pPr>
      <w:r>
        <w:rPr>
          <w:sz w:val="24"/>
          <w:szCs w:val="24"/>
        </w:rPr>
        <w:t>（1）《中华人民共和国环境保护法》（中华人民共和国主席令第九号），2014年4月24日修订，2015年1月1日起实施；</w:t>
      </w:r>
    </w:p>
    <w:p>
      <w:pPr>
        <w:adjustRightInd/>
        <w:ind w:firstLine="480" w:firstLineChars="200"/>
        <w:rPr>
          <w:sz w:val="24"/>
          <w:szCs w:val="24"/>
        </w:rPr>
      </w:pPr>
      <w:r>
        <w:rPr>
          <w:sz w:val="24"/>
          <w:szCs w:val="24"/>
        </w:rPr>
        <w:t>（2）《中华人民共和国环境影响评价法》（201</w:t>
      </w:r>
      <w:r>
        <w:rPr>
          <w:rFonts w:hint="eastAsia"/>
          <w:sz w:val="24"/>
          <w:szCs w:val="24"/>
        </w:rPr>
        <w:t>9</w:t>
      </w:r>
      <w:r>
        <w:rPr>
          <w:sz w:val="24"/>
          <w:szCs w:val="24"/>
        </w:rPr>
        <w:t>年</w:t>
      </w:r>
      <w:r>
        <w:rPr>
          <w:rFonts w:hint="eastAsia"/>
          <w:sz w:val="24"/>
          <w:szCs w:val="24"/>
        </w:rPr>
        <w:t>1</w:t>
      </w:r>
      <w:r>
        <w:rPr>
          <w:sz w:val="24"/>
          <w:szCs w:val="24"/>
        </w:rPr>
        <w:t>月</w:t>
      </w:r>
      <w:r>
        <w:rPr>
          <w:rFonts w:hint="eastAsia"/>
          <w:sz w:val="24"/>
          <w:szCs w:val="24"/>
        </w:rPr>
        <w:t>1</w:t>
      </w:r>
      <w:r>
        <w:rPr>
          <w:sz w:val="24"/>
          <w:szCs w:val="24"/>
        </w:rPr>
        <w:t>日实施）；</w:t>
      </w:r>
    </w:p>
    <w:p>
      <w:pPr>
        <w:pStyle w:val="36"/>
        <w:spacing w:line="360" w:lineRule="auto"/>
        <w:ind w:firstLine="480" w:firstLineChars="200"/>
      </w:pPr>
      <w:r>
        <w:rPr>
          <w:rFonts w:ascii="Times New Roman" w:cs="Times New Roman"/>
        </w:rPr>
        <w:t>（</w:t>
      </w:r>
      <w:r>
        <w:rPr>
          <w:rFonts w:hint="eastAsia" w:ascii="Times New Roman" w:cs="Times New Roman"/>
        </w:rPr>
        <w:t>3</w:t>
      </w:r>
      <w:r>
        <w:rPr>
          <w:rFonts w:ascii="Times New Roman" w:cs="Times New Roman"/>
        </w:rPr>
        <w:t>）《中华人民共和国</w:t>
      </w:r>
      <w:r>
        <w:rPr>
          <w:rFonts w:hint="eastAsia" w:ascii="Times New Roman" w:cs="Times New Roman"/>
        </w:rPr>
        <w:t>土壤环</w:t>
      </w:r>
      <w:r>
        <w:rPr>
          <w:rFonts w:ascii="Times New Roman" w:cs="Times New Roman"/>
        </w:rPr>
        <w:t>污染防治法》（201</w:t>
      </w:r>
      <w:r>
        <w:rPr>
          <w:rFonts w:hint="eastAsia" w:ascii="Times New Roman" w:cs="Times New Roman"/>
        </w:rPr>
        <w:t>9</w:t>
      </w:r>
      <w:r>
        <w:rPr>
          <w:rFonts w:ascii="Times New Roman" w:cs="Times New Roman"/>
        </w:rPr>
        <w:t>年</w:t>
      </w:r>
      <w:r>
        <w:rPr>
          <w:rFonts w:hint="eastAsia" w:ascii="Times New Roman" w:cs="Times New Roman"/>
        </w:rPr>
        <w:t>1</w:t>
      </w:r>
      <w:r>
        <w:rPr>
          <w:rFonts w:ascii="Times New Roman" w:cs="Times New Roman"/>
        </w:rPr>
        <w:t>月</w:t>
      </w:r>
      <w:r>
        <w:rPr>
          <w:rFonts w:hint="eastAsia" w:ascii="Times New Roman" w:cs="Times New Roman"/>
        </w:rPr>
        <w:t>1</w:t>
      </w:r>
      <w:r>
        <w:rPr>
          <w:rFonts w:ascii="Times New Roman" w:cs="Times New Roman"/>
        </w:rPr>
        <w:t>日实施）；</w:t>
      </w:r>
    </w:p>
    <w:p>
      <w:pPr>
        <w:adjustRightInd/>
        <w:ind w:firstLine="480" w:firstLineChars="200"/>
        <w:rPr>
          <w:sz w:val="24"/>
          <w:szCs w:val="24"/>
        </w:rPr>
      </w:pPr>
      <w:r>
        <w:rPr>
          <w:sz w:val="24"/>
          <w:szCs w:val="24"/>
        </w:rPr>
        <w:t>（</w:t>
      </w:r>
      <w:r>
        <w:rPr>
          <w:rFonts w:hint="eastAsia"/>
          <w:sz w:val="24"/>
          <w:szCs w:val="24"/>
        </w:rPr>
        <w:t>4</w:t>
      </w:r>
      <w:r>
        <w:rPr>
          <w:sz w:val="24"/>
          <w:szCs w:val="24"/>
        </w:rPr>
        <w:t>）《中华人民共和国水污染防治法》（2017年6月27日施行修订）；</w:t>
      </w:r>
    </w:p>
    <w:p>
      <w:pPr>
        <w:adjustRightInd/>
        <w:ind w:firstLine="480" w:firstLineChars="200"/>
        <w:rPr>
          <w:sz w:val="24"/>
          <w:szCs w:val="24"/>
        </w:rPr>
      </w:pPr>
      <w:r>
        <w:rPr>
          <w:sz w:val="24"/>
          <w:szCs w:val="24"/>
        </w:rPr>
        <w:t>（</w:t>
      </w:r>
      <w:r>
        <w:rPr>
          <w:rFonts w:hint="eastAsia"/>
          <w:sz w:val="24"/>
          <w:szCs w:val="24"/>
        </w:rPr>
        <w:t>5</w:t>
      </w:r>
      <w:r>
        <w:rPr>
          <w:sz w:val="24"/>
          <w:szCs w:val="24"/>
        </w:rPr>
        <w:t>）《中华人民共和国环境噪声污染防治法》（2018年12月29日实施）；</w:t>
      </w:r>
    </w:p>
    <w:p>
      <w:pPr>
        <w:adjustRightInd/>
        <w:ind w:firstLine="480" w:firstLineChars="200"/>
        <w:rPr>
          <w:sz w:val="24"/>
          <w:szCs w:val="24"/>
        </w:rPr>
      </w:pPr>
      <w:r>
        <w:rPr>
          <w:sz w:val="24"/>
          <w:szCs w:val="24"/>
        </w:rPr>
        <w:t>（</w:t>
      </w:r>
      <w:r>
        <w:rPr>
          <w:rFonts w:hint="eastAsia"/>
          <w:sz w:val="24"/>
          <w:szCs w:val="24"/>
        </w:rPr>
        <w:t>6</w:t>
      </w:r>
      <w:r>
        <w:rPr>
          <w:sz w:val="24"/>
          <w:szCs w:val="24"/>
        </w:rPr>
        <w:t>）《中华人民共和国大气污染防治法》（2016年1月1日实施）；</w:t>
      </w:r>
    </w:p>
    <w:p>
      <w:pPr>
        <w:adjustRightInd/>
        <w:ind w:firstLine="480" w:firstLineChars="200"/>
        <w:rPr>
          <w:sz w:val="24"/>
          <w:szCs w:val="24"/>
        </w:rPr>
      </w:pPr>
      <w:r>
        <w:rPr>
          <w:sz w:val="24"/>
          <w:szCs w:val="24"/>
        </w:rPr>
        <w:t>（</w:t>
      </w:r>
      <w:r>
        <w:rPr>
          <w:rFonts w:hint="eastAsia"/>
          <w:sz w:val="24"/>
          <w:szCs w:val="24"/>
        </w:rPr>
        <w:t>7</w:t>
      </w:r>
      <w:r>
        <w:rPr>
          <w:sz w:val="24"/>
          <w:szCs w:val="24"/>
        </w:rPr>
        <w:t>）《中华人民共和国固体废物污染环境防治法》（2016年11月7日发布实施）；</w:t>
      </w:r>
    </w:p>
    <w:p>
      <w:pPr>
        <w:adjustRightInd/>
        <w:ind w:firstLine="480" w:firstLineChars="200"/>
        <w:rPr>
          <w:sz w:val="24"/>
          <w:szCs w:val="24"/>
        </w:rPr>
      </w:pPr>
      <w:r>
        <w:rPr>
          <w:sz w:val="24"/>
          <w:szCs w:val="24"/>
        </w:rPr>
        <w:t>（</w:t>
      </w:r>
      <w:r>
        <w:rPr>
          <w:rFonts w:hint="eastAsia"/>
          <w:sz w:val="24"/>
          <w:szCs w:val="24"/>
        </w:rPr>
        <w:t>8</w:t>
      </w:r>
      <w:r>
        <w:rPr>
          <w:sz w:val="24"/>
          <w:szCs w:val="24"/>
        </w:rPr>
        <w:t>）《中华人民共和国水土保持法》（全国人大2010年12月25日修改通过，2011年3月1日起施行）；</w:t>
      </w:r>
    </w:p>
    <w:p>
      <w:pPr>
        <w:adjustRightInd/>
        <w:ind w:firstLine="480" w:firstLineChars="200"/>
        <w:rPr>
          <w:sz w:val="24"/>
          <w:szCs w:val="24"/>
        </w:rPr>
      </w:pPr>
      <w:r>
        <w:rPr>
          <w:sz w:val="24"/>
          <w:szCs w:val="24"/>
        </w:rPr>
        <w:t>（</w:t>
      </w:r>
      <w:r>
        <w:rPr>
          <w:rFonts w:hint="eastAsia"/>
          <w:sz w:val="24"/>
          <w:szCs w:val="24"/>
        </w:rPr>
        <w:t>9</w:t>
      </w:r>
      <w:r>
        <w:rPr>
          <w:sz w:val="24"/>
          <w:szCs w:val="24"/>
        </w:rPr>
        <w:t>）《中华人民共和国清洁生产促进法》（全国人大2012年2月29日发布，2012年7月1日实施）；</w:t>
      </w:r>
    </w:p>
    <w:p>
      <w:pPr>
        <w:adjustRightInd/>
        <w:ind w:firstLine="480" w:firstLineChars="200"/>
        <w:rPr>
          <w:sz w:val="24"/>
          <w:szCs w:val="24"/>
        </w:rPr>
      </w:pPr>
      <w:r>
        <w:rPr>
          <w:sz w:val="24"/>
          <w:szCs w:val="24"/>
        </w:rPr>
        <w:t>（</w:t>
      </w:r>
      <w:r>
        <w:rPr>
          <w:rFonts w:hint="eastAsia"/>
          <w:sz w:val="24"/>
          <w:szCs w:val="24"/>
        </w:rPr>
        <w:t>10</w:t>
      </w:r>
      <w:r>
        <w:rPr>
          <w:sz w:val="24"/>
          <w:szCs w:val="24"/>
        </w:rPr>
        <w:t>）《中华人民共和国安全生产法》（2014年12月21日施行）；</w:t>
      </w:r>
    </w:p>
    <w:p>
      <w:pPr>
        <w:adjustRightInd/>
        <w:ind w:firstLine="480" w:firstLineChars="200"/>
        <w:rPr>
          <w:sz w:val="24"/>
          <w:szCs w:val="24"/>
        </w:rPr>
      </w:pPr>
      <w:r>
        <w:rPr>
          <w:sz w:val="24"/>
          <w:szCs w:val="24"/>
        </w:rPr>
        <w:t>（1</w:t>
      </w:r>
      <w:r>
        <w:rPr>
          <w:rFonts w:hint="eastAsia"/>
          <w:sz w:val="24"/>
          <w:szCs w:val="24"/>
        </w:rPr>
        <w:t>1</w:t>
      </w:r>
      <w:r>
        <w:rPr>
          <w:sz w:val="24"/>
          <w:szCs w:val="24"/>
        </w:rPr>
        <w:t>）《中华人民共和国水法》（2016年9月1日实施）；</w:t>
      </w:r>
    </w:p>
    <w:p>
      <w:pPr>
        <w:adjustRightInd/>
        <w:ind w:firstLine="480" w:firstLineChars="200"/>
        <w:rPr>
          <w:sz w:val="24"/>
          <w:szCs w:val="24"/>
        </w:rPr>
      </w:pPr>
      <w:r>
        <w:rPr>
          <w:sz w:val="24"/>
          <w:szCs w:val="24"/>
        </w:rPr>
        <w:t>（1</w:t>
      </w:r>
      <w:r>
        <w:rPr>
          <w:rFonts w:hint="eastAsia"/>
          <w:sz w:val="24"/>
          <w:szCs w:val="24"/>
        </w:rPr>
        <w:t>2</w:t>
      </w:r>
      <w:r>
        <w:rPr>
          <w:sz w:val="24"/>
          <w:szCs w:val="24"/>
        </w:rPr>
        <w:t>）《中华人民共和国土地管理法》，2004年8月28日修订通过，自公布之日起施行；</w:t>
      </w:r>
    </w:p>
    <w:p>
      <w:pPr>
        <w:adjustRightInd/>
        <w:ind w:firstLine="480" w:firstLineChars="200"/>
        <w:rPr>
          <w:sz w:val="24"/>
          <w:szCs w:val="24"/>
        </w:rPr>
      </w:pPr>
      <w:r>
        <w:rPr>
          <w:sz w:val="24"/>
          <w:szCs w:val="24"/>
        </w:rPr>
        <w:t>（1</w:t>
      </w:r>
      <w:r>
        <w:rPr>
          <w:rFonts w:hint="eastAsia"/>
          <w:sz w:val="24"/>
          <w:szCs w:val="24"/>
        </w:rPr>
        <w:t>3</w:t>
      </w:r>
      <w:r>
        <w:rPr>
          <w:sz w:val="24"/>
          <w:szCs w:val="24"/>
        </w:rPr>
        <w:t>）《中华人民共和国城乡规划法》，2007年10月28日修订通过，2008年1月1日起施行；</w:t>
      </w:r>
    </w:p>
    <w:p>
      <w:pPr>
        <w:adjustRightInd/>
        <w:ind w:firstLine="480" w:firstLineChars="200"/>
        <w:rPr>
          <w:sz w:val="24"/>
          <w:szCs w:val="24"/>
        </w:rPr>
      </w:pPr>
      <w:r>
        <w:rPr>
          <w:sz w:val="24"/>
          <w:szCs w:val="24"/>
        </w:rPr>
        <w:t>（1</w:t>
      </w:r>
      <w:r>
        <w:rPr>
          <w:rFonts w:hint="eastAsia"/>
          <w:sz w:val="24"/>
          <w:szCs w:val="24"/>
        </w:rPr>
        <w:t>4</w:t>
      </w:r>
      <w:r>
        <w:rPr>
          <w:sz w:val="24"/>
          <w:szCs w:val="24"/>
        </w:rPr>
        <w:t>）国务院关于印发《大气污染防治行动计划》的通知，（国发〔2013〕37号，国务院2013年9月10日）；</w:t>
      </w:r>
    </w:p>
    <w:p>
      <w:pPr>
        <w:adjustRightInd/>
        <w:ind w:firstLine="480" w:firstLineChars="200"/>
        <w:rPr>
          <w:sz w:val="24"/>
          <w:szCs w:val="24"/>
        </w:rPr>
      </w:pPr>
      <w:r>
        <w:rPr>
          <w:sz w:val="24"/>
          <w:szCs w:val="24"/>
        </w:rPr>
        <w:t>（1</w:t>
      </w:r>
      <w:r>
        <w:rPr>
          <w:rFonts w:hint="eastAsia"/>
          <w:sz w:val="24"/>
          <w:szCs w:val="24"/>
        </w:rPr>
        <w:t>5</w:t>
      </w:r>
      <w:r>
        <w:rPr>
          <w:sz w:val="24"/>
          <w:szCs w:val="24"/>
        </w:rPr>
        <w:t>）国务院《国务院关于印发水污染防治行动计划的通知》（国发〔2015〕17号）（2015年4月2日）；</w:t>
      </w:r>
    </w:p>
    <w:p>
      <w:pPr>
        <w:adjustRightInd/>
        <w:ind w:firstLine="480" w:firstLineChars="200"/>
        <w:rPr>
          <w:sz w:val="24"/>
          <w:szCs w:val="24"/>
        </w:rPr>
      </w:pPr>
      <w:r>
        <w:rPr>
          <w:sz w:val="24"/>
          <w:szCs w:val="24"/>
        </w:rPr>
        <w:t>（1</w:t>
      </w:r>
      <w:r>
        <w:rPr>
          <w:rFonts w:hint="eastAsia"/>
          <w:sz w:val="24"/>
          <w:szCs w:val="24"/>
        </w:rPr>
        <w:t>6</w:t>
      </w:r>
      <w:r>
        <w:rPr>
          <w:sz w:val="24"/>
          <w:szCs w:val="24"/>
        </w:rPr>
        <w:t>）国务院《国务院关于印发土壤污染防治行动计划的通知》（国发〔2016〕31号）（2016年5月28日）；</w:t>
      </w:r>
    </w:p>
    <w:p>
      <w:pPr>
        <w:adjustRightInd/>
        <w:ind w:firstLine="480" w:firstLineChars="200"/>
        <w:rPr>
          <w:sz w:val="24"/>
          <w:szCs w:val="24"/>
        </w:rPr>
      </w:pPr>
      <w:r>
        <w:rPr>
          <w:sz w:val="24"/>
          <w:szCs w:val="24"/>
        </w:rPr>
        <w:t>（1</w:t>
      </w:r>
      <w:r>
        <w:rPr>
          <w:rFonts w:hint="eastAsia"/>
          <w:sz w:val="24"/>
          <w:szCs w:val="24"/>
        </w:rPr>
        <w:t>7</w:t>
      </w:r>
      <w:r>
        <w:rPr>
          <w:sz w:val="24"/>
          <w:szCs w:val="24"/>
        </w:rPr>
        <w:t>）《建设项目环境保护管理条例》（国务院第682号令，2017年10月1日施行）；</w:t>
      </w:r>
    </w:p>
    <w:p>
      <w:pPr>
        <w:adjustRightInd/>
        <w:ind w:firstLine="480" w:firstLineChars="200"/>
        <w:rPr>
          <w:sz w:val="24"/>
          <w:szCs w:val="24"/>
        </w:rPr>
      </w:pPr>
      <w:r>
        <w:rPr>
          <w:sz w:val="24"/>
          <w:szCs w:val="24"/>
        </w:rPr>
        <w:t>（1</w:t>
      </w:r>
      <w:r>
        <w:rPr>
          <w:rFonts w:hint="eastAsia"/>
          <w:sz w:val="24"/>
          <w:szCs w:val="24"/>
        </w:rPr>
        <w:t>8</w:t>
      </w:r>
      <w:r>
        <w:rPr>
          <w:sz w:val="24"/>
          <w:szCs w:val="24"/>
        </w:rPr>
        <w:t>）《建设项目环境影响评价分类管理名录》（环保部令第1号，2018年4月28日施行）；</w:t>
      </w:r>
    </w:p>
    <w:p>
      <w:pPr>
        <w:adjustRightInd/>
        <w:ind w:firstLine="480" w:firstLineChars="200"/>
        <w:rPr>
          <w:sz w:val="24"/>
          <w:szCs w:val="24"/>
        </w:rPr>
      </w:pPr>
      <w:r>
        <w:rPr>
          <w:sz w:val="24"/>
          <w:szCs w:val="24"/>
        </w:rPr>
        <w:t>（1</w:t>
      </w:r>
      <w:r>
        <w:rPr>
          <w:rFonts w:hint="eastAsia"/>
          <w:sz w:val="24"/>
          <w:szCs w:val="24"/>
        </w:rPr>
        <w:t>9</w:t>
      </w:r>
      <w:r>
        <w:rPr>
          <w:sz w:val="24"/>
          <w:szCs w:val="24"/>
        </w:rPr>
        <w:t>）《环境保护公众参与办法》，部令第35号，2015 年9月1日实施；</w:t>
      </w:r>
    </w:p>
    <w:p>
      <w:pPr>
        <w:adjustRightInd/>
        <w:ind w:firstLine="480" w:firstLineChars="200"/>
        <w:rPr>
          <w:sz w:val="24"/>
          <w:szCs w:val="24"/>
        </w:rPr>
      </w:pPr>
      <w:r>
        <w:rPr>
          <w:sz w:val="24"/>
          <w:szCs w:val="24"/>
        </w:rPr>
        <w:t>（</w:t>
      </w:r>
      <w:r>
        <w:rPr>
          <w:rFonts w:hint="eastAsia"/>
          <w:sz w:val="24"/>
          <w:szCs w:val="24"/>
        </w:rPr>
        <w:t>20</w:t>
      </w:r>
      <w:r>
        <w:rPr>
          <w:sz w:val="24"/>
          <w:szCs w:val="24"/>
        </w:rPr>
        <w:t>）《环境影响评价公众参与办法》，部令 第4号，2019年1月1日起施行；</w:t>
      </w:r>
    </w:p>
    <w:p>
      <w:pPr>
        <w:adjustRightInd/>
        <w:ind w:firstLine="480" w:firstLineChars="200"/>
        <w:rPr>
          <w:sz w:val="24"/>
          <w:szCs w:val="24"/>
        </w:rPr>
      </w:pPr>
      <w:r>
        <w:rPr>
          <w:sz w:val="24"/>
          <w:szCs w:val="24"/>
        </w:rPr>
        <w:t>（2</w:t>
      </w:r>
      <w:r>
        <w:rPr>
          <w:rFonts w:hint="eastAsia"/>
          <w:sz w:val="24"/>
          <w:szCs w:val="24"/>
        </w:rPr>
        <w:t>1</w:t>
      </w:r>
      <w:r>
        <w:rPr>
          <w:sz w:val="24"/>
          <w:szCs w:val="24"/>
        </w:rPr>
        <w:t>）《产业结构调整指导目录（2011年本）》（2013年修正版）；</w:t>
      </w:r>
    </w:p>
    <w:p>
      <w:pPr>
        <w:adjustRightInd/>
        <w:ind w:firstLine="480" w:firstLineChars="200"/>
        <w:rPr>
          <w:sz w:val="24"/>
          <w:szCs w:val="24"/>
        </w:rPr>
      </w:pPr>
      <w:r>
        <w:rPr>
          <w:sz w:val="24"/>
          <w:szCs w:val="24"/>
        </w:rPr>
        <w:t>（2</w:t>
      </w:r>
      <w:r>
        <w:rPr>
          <w:rFonts w:hint="eastAsia"/>
          <w:sz w:val="24"/>
          <w:szCs w:val="24"/>
        </w:rPr>
        <w:t>2</w:t>
      </w:r>
      <w:r>
        <w:rPr>
          <w:sz w:val="24"/>
          <w:szCs w:val="24"/>
        </w:rPr>
        <w:t>）《部分工业行业淘汰落后生产工艺装备和产品指导目录（2010年本）》（工产业[2010]第122号）；</w:t>
      </w:r>
    </w:p>
    <w:p>
      <w:pPr>
        <w:adjustRightInd/>
        <w:ind w:firstLine="480" w:firstLineChars="200"/>
        <w:rPr>
          <w:sz w:val="24"/>
          <w:szCs w:val="24"/>
        </w:rPr>
      </w:pPr>
      <w:r>
        <w:rPr>
          <w:sz w:val="24"/>
          <w:szCs w:val="24"/>
        </w:rPr>
        <w:t>（</w:t>
      </w:r>
      <w:r>
        <w:rPr>
          <w:rFonts w:hint="eastAsia"/>
          <w:sz w:val="24"/>
          <w:szCs w:val="24"/>
        </w:rPr>
        <w:t>23</w:t>
      </w:r>
      <w:r>
        <w:rPr>
          <w:sz w:val="24"/>
          <w:szCs w:val="24"/>
        </w:rPr>
        <w:t>）《关于切实加强风险防范严格环境影响评价管理的通知》，环发[2012]98 号；</w:t>
      </w:r>
    </w:p>
    <w:p>
      <w:pPr>
        <w:adjustRightInd/>
        <w:ind w:firstLine="480" w:firstLineChars="200"/>
        <w:rPr>
          <w:sz w:val="24"/>
          <w:szCs w:val="24"/>
        </w:rPr>
      </w:pPr>
      <w:r>
        <w:rPr>
          <w:sz w:val="24"/>
          <w:szCs w:val="24"/>
        </w:rPr>
        <w:t>（</w:t>
      </w:r>
      <w:r>
        <w:rPr>
          <w:rFonts w:hint="eastAsia"/>
          <w:sz w:val="24"/>
          <w:szCs w:val="24"/>
        </w:rPr>
        <w:t>24</w:t>
      </w:r>
      <w:r>
        <w:rPr>
          <w:sz w:val="24"/>
          <w:szCs w:val="24"/>
        </w:rPr>
        <w:t>）《关于进一步加强环境保护信息公开工作的通知》（环境保护部，环办[2012]134 号；</w:t>
      </w:r>
    </w:p>
    <w:p>
      <w:pPr>
        <w:adjustRightInd/>
        <w:ind w:firstLine="480" w:firstLineChars="200"/>
        <w:rPr>
          <w:sz w:val="24"/>
          <w:szCs w:val="24"/>
        </w:rPr>
      </w:pPr>
      <w:r>
        <w:rPr>
          <w:sz w:val="24"/>
          <w:szCs w:val="24"/>
        </w:rPr>
        <w:t>（</w:t>
      </w:r>
      <w:r>
        <w:rPr>
          <w:rFonts w:hint="eastAsia"/>
          <w:sz w:val="24"/>
          <w:szCs w:val="24"/>
        </w:rPr>
        <w:t>25</w:t>
      </w:r>
      <w:r>
        <w:rPr>
          <w:sz w:val="24"/>
          <w:szCs w:val="24"/>
        </w:rPr>
        <w:t>）《关于切实加强环境影响评价监督管理工作的通知》（环境保护部，</w:t>
      </w:r>
    </w:p>
    <w:p>
      <w:pPr>
        <w:adjustRightInd/>
        <w:ind w:firstLine="480" w:firstLineChars="200"/>
        <w:rPr>
          <w:sz w:val="24"/>
          <w:szCs w:val="24"/>
        </w:rPr>
      </w:pPr>
      <w:r>
        <w:rPr>
          <w:sz w:val="24"/>
          <w:szCs w:val="24"/>
        </w:rPr>
        <w:t>环办[2013]104 号）；</w:t>
      </w:r>
    </w:p>
    <w:p>
      <w:pPr>
        <w:adjustRightInd/>
        <w:ind w:firstLine="480" w:firstLineChars="200"/>
        <w:rPr>
          <w:sz w:val="24"/>
          <w:szCs w:val="24"/>
        </w:rPr>
      </w:pPr>
      <w:r>
        <w:rPr>
          <w:sz w:val="24"/>
          <w:szCs w:val="24"/>
        </w:rPr>
        <w:t>（</w:t>
      </w:r>
      <w:r>
        <w:rPr>
          <w:rFonts w:hint="eastAsia"/>
          <w:sz w:val="24"/>
          <w:szCs w:val="24"/>
        </w:rPr>
        <w:t>26</w:t>
      </w:r>
      <w:r>
        <w:rPr>
          <w:sz w:val="24"/>
          <w:szCs w:val="24"/>
        </w:rPr>
        <w:t>）《关于印发建设项目环境影响评价政府信息公开指南（试行）的通知》</w:t>
      </w:r>
    </w:p>
    <w:p>
      <w:pPr>
        <w:adjustRightInd/>
        <w:ind w:firstLine="480" w:firstLineChars="200"/>
        <w:rPr>
          <w:sz w:val="24"/>
          <w:szCs w:val="24"/>
        </w:rPr>
      </w:pPr>
      <w:r>
        <w:rPr>
          <w:sz w:val="24"/>
          <w:szCs w:val="24"/>
        </w:rPr>
        <w:t>（环境保护部，环办[2013]103 号）；</w:t>
      </w:r>
    </w:p>
    <w:p>
      <w:pPr>
        <w:adjustRightInd/>
        <w:ind w:firstLine="480" w:firstLineChars="200"/>
        <w:rPr>
          <w:sz w:val="24"/>
          <w:szCs w:val="24"/>
        </w:rPr>
      </w:pPr>
      <w:r>
        <w:rPr>
          <w:sz w:val="24"/>
          <w:szCs w:val="24"/>
        </w:rPr>
        <w:t>（</w:t>
      </w:r>
      <w:r>
        <w:rPr>
          <w:rFonts w:hint="eastAsia"/>
          <w:sz w:val="24"/>
          <w:szCs w:val="24"/>
        </w:rPr>
        <w:t>27</w:t>
      </w:r>
      <w:r>
        <w:rPr>
          <w:sz w:val="24"/>
          <w:szCs w:val="24"/>
        </w:rPr>
        <w:t>）国务院《关于加快推进生态文明建设的意见》（2015年4月25日）；</w:t>
      </w:r>
    </w:p>
    <w:p>
      <w:pPr>
        <w:adjustRightInd/>
        <w:ind w:firstLine="480" w:firstLineChars="200"/>
        <w:rPr>
          <w:sz w:val="24"/>
          <w:szCs w:val="24"/>
        </w:rPr>
      </w:pPr>
      <w:r>
        <w:rPr>
          <w:sz w:val="24"/>
          <w:szCs w:val="24"/>
        </w:rPr>
        <w:t>（</w:t>
      </w:r>
      <w:r>
        <w:rPr>
          <w:rFonts w:hint="eastAsia"/>
          <w:sz w:val="24"/>
          <w:szCs w:val="24"/>
        </w:rPr>
        <w:t>28</w:t>
      </w:r>
      <w:r>
        <w:rPr>
          <w:sz w:val="24"/>
          <w:szCs w:val="24"/>
        </w:rPr>
        <w:t>）《国家危险废物名录》（2016年8月1日施行）；</w:t>
      </w:r>
    </w:p>
    <w:p>
      <w:pPr>
        <w:adjustRightInd/>
        <w:ind w:firstLine="480" w:firstLineChars="200"/>
        <w:rPr>
          <w:sz w:val="24"/>
          <w:szCs w:val="24"/>
        </w:rPr>
      </w:pPr>
      <w:r>
        <w:rPr>
          <w:sz w:val="24"/>
          <w:szCs w:val="24"/>
        </w:rPr>
        <w:t>（</w:t>
      </w:r>
      <w:r>
        <w:rPr>
          <w:rFonts w:hint="eastAsia"/>
          <w:sz w:val="24"/>
          <w:szCs w:val="24"/>
        </w:rPr>
        <w:t>29</w:t>
      </w:r>
      <w:r>
        <w:rPr>
          <w:sz w:val="24"/>
          <w:szCs w:val="24"/>
        </w:rPr>
        <w:t>）《关于进一步加强环境影响评价管理防范环境风险的通知》，环发[2012]77号；</w:t>
      </w:r>
    </w:p>
    <w:p>
      <w:pPr>
        <w:adjustRightInd/>
        <w:ind w:firstLine="480" w:firstLineChars="200"/>
        <w:rPr>
          <w:sz w:val="24"/>
          <w:szCs w:val="24"/>
        </w:rPr>
      </w:pPr>
      <w:r>
        <w:rPr>
          <w:sz w:val="24"/>
          <w:szCs w:val="24"/>
        </w:rPr>
        <w:t>（</w:t>
      </w:r>
      <w:r>
        <w:rPr>
          <w:rFonts w:hint="eastAsia"/>
          <w:sz w:val="24"/>
          <w:szCs w:val="24"/>
        </w:rPr>
        <w:t>30</w:t>
      </w:r>
      <w:r>
        <w:rPr>
          <w:sz w:val="24"/>
          <w:szCs w:val="24"/>
        </w:rPr>
        <w:t>）《关于切实加强风险防范严格环境影响评价管理的通知》（国家环境保护部环发[2012]98号）2012年8月7日；</w:t>
      </w:r>
    </w:p>
    <w:p>
      <w:pPr>
        <w:adjustRightInd/>
        <w:ind w:firstLine="480" w:firstLineChars="200"/>
        <w:rPr>
          <w:sz w:val="24"/>
          <w:szCs w:val="24"/>
        </w:rPr>
      </w:pPr>
      <w:r>
        <w:rPr>
          <w:sz w:val="24"/>
          <w:szCs w:val="24"/>
        </w:rPr>
        <w:t>（</w:t>
      </w:r>
      <w:r>
        <w:rPr>
          <w:rFonts w:hint="eastAsia"/>
          <w:sz w:val="24"/>
          <w:szCs w:val="24"/>
        </w:rPr>
        <w:t>31</w:t>
      </w:r>
      <w:r>
        <w:rPr>
          <w:sz w:val="24"/>
          <w:szCs w:val="24"/>
        </w:rPr>
        <w:t>）《国务院关于印发〈节能减排综合性工作方案〉的通知》（2007年5月23日实施）；</w:t>
      </w:r>
    </w:p>
    <w:p>
      <w:pPr>
        <w:adjustRightInd/>
        <w:ind w:firstLine="480" w:firstLineChars="200"/>
      </w:pPr>
      <w:r>
        <w:rPr>
          <w:sz w:val="24"/>
          <w:szCs w:val="24"/>
        </w:rPr>
        <w:t>（</w:t>
      </w:r>
      <w:r>
        <w:rPr>
          <w:rFonts w:hint="eastAsia"/>
          <w:sz w:val="24"/>
          <w:szCs w:val="24"/>
        </w:rPr>
        <w:t>32</w:t>
      </w:r>
      <w:r>
        <w:rPr>
          <w:sz w:val="24"/>
          <w:szCs w:val="24"/>
        </w:rPr>
        <w:t>）《关于进一步加强环境保护信息公开工作的通知》（环境保护部办公厅，2012年10月30日）</w:t>
      </w:r>
      <w:r>
        <w:rPr>
          <w:rFonts w:hint="eastAsia"/>
          <w:sz w:val="24"/>
          <w:szCs w:val="24"/>
        </w:rPr>
        <w:t>。</w:t>
      </w:r>
    </w:p>
    <w:p>
      <w:pPr>
        <w:adjustRightInd/>
        <w:snapToGrid/>
        <w:rPr>
          <w:b/>
          <w:sz w:val="24"/>
          <w:szCs w:val="24"/>
        </w:rPr>
      </w:pPr>
      <w:r>
        <w:rPr>
          <w:b/>
          <w:sz w:val="24"/>
          <w:szCs w:val="24"/>
        </w:rPr>
        <w:t>1.2.2 地方法律、法规及规范</w:t>
      </w:r>
    </w:p>
    <w:p>
      <w:pPr>
        <w:numPr>
          <w:ilvl w:val="0"/>
          <w:numId w:val="1"/>
        </w:numPr>
        <w:ind w:firstLine="360" w:firstLineChars="150"/>
        <w:rPr>
          <w:sz w:val="24"/>
          <w:szCs w:val="24"/>
        </w:rPr>
      </w:pPr>
      <w:r>
        <w:rPr>
          <w:sz w:val="24"/>
          <w:szCs w:val="24"/>
        </w:rPr>
        <w:t>《安徽省水环境功能区划》，安徽省水利厅、安徽省环境保护局，2003年 10 月；</w:t>
      </w:r>
    </w:p>
    <w:p>
      <w:pPr>
        <w:numPr>
          <w:ilvl w:val="0"/>
          <w:numId w:val="1"/>
        </w:numPr>
        <w:ind w:firstLine="360" w:firstLineChars="150"/>
        <w:rPr>
          <w:sz w:val="24"/>
          <w:szCs w:val="24"/>
        </w:rPr>
      </w:pPr>
      <w:r>
        <w:rPr>
          <w:sz w:val="24"/>
          <w:szCs w:val="24"/>
        </w:rPr>
        <w:t>安徽省经济委员会，《安徽省工业产业结构调整指导目录》，2007.11.5；</w:t>
      </w:r>
    </w:p>
    <w:p>
      <w:pPr>
        <w:numPr>
          <w:ilvl w:val="0"/>
          <w:numId w:val="1"/>
        </w:numPr>
        <w:ind w:firstLine="360" w:firstLineChars="150"/>
        <w:rPr>
          <w:sz w:val="24"/>
          <w:szCs w:val="24"/>
        </w:rPr>
      </w:pPr>
      <w:r>
        <w:rPr>
          <w:sz w:val="24"/>
          <w:szCs w:val="24"/>
        </w:rPr>
        <w:t>《安徽省环境保护条例》，2018年1月1日施行；</w:t>
      </w:r>
    </w:p>
    <w:p>
      <w:pPr>
        <w:numPr>
          <w:ilvl w:val="0"/>
          <w:numId w:val="1"/>
        </w:numPr>
        <w:ind w:firstLine="360" w:firstLineChars="150"/>
        <w:rPr>
          <w:sz w:val="24"/>
          <w:szCs w:val="24"/>
        </w:rPr>
      </w:pPr>
      <w:r>
        <w:rPr>
          <w:sz w:val="24"/>
          <w:szCs w:val="24"/>
        </w:rPr>
        <w:t>《安徽省人民政府办公厅关于加强建设项目环境影响评价工作的通知》，皖政办〔2011〕27 号；</w:t>
      </w:r>
    </w:p>
    <w:p>
      <w:pPr>
        <w:numPr>
          <w:ilvl w:val="0"/>
          <w:numId w:val="1"/>
        </w:numPr>
        <w:ind w:firstLine="360" w:firstLineChars="150"/>
        <w:rPr>
          <w:sz w:val="24"/>
          <w:szCs w:val="24"/>
        </w:rPr>
      </w:pPr>
      <w:r>
        <w:rPr>
          <w:sz w:val="24"/>
          <w:szCs w:val="24"/>
        </w:rPr>
        <w:t>《安徽省环境保护厅建设项目社会稳定环境风险评估暂行办法》环法〔2010〕193 号；</w:t>
      </w:r>
    </w:p>
    <w:p>
      <w:pPr>
        <w:numPr>
          <w:ilvl w:val="0"/>
          <w:numId w:val="1"/>
        </w:numPr>
        <w:ind w:firstLine="360" w:firstLineChars="150"/>
        <w:rPr>
          <w:sz w:val="24"/>
          <w:szCs w:val="24"/>
        </w:rPr>
      </w:pPr>
      <w:r>
        <w:rPr>
          <w:sz w:val="24"/>
          <w:szCs w:val="24"/>
        </w:rPr>
        <w:t>安徽省人民政府关于印发《安徽省国民经济和社会发展第十三个五年规划纲要》；</w:t>
      </w:r>
    </w:p>
    <w:p>
      <w:pPr>
        <w:numPr>
          <w:ilvl w:val="0"/>
          <w:numId w:val="1"/>
        </w:numPr>
        <w:ind w:firstLine="360" w:firstLineChars="150"/>
        <w:rPr>
          <w:sz w:val="24"/>
          <w:szCs w:val="24"/>
        </w:rPr>
      </w:pPr>
      <w:r>
        <w:rPr>
          <w:sz w:val="24"/>
          <w:szCs w:val="24"/>
        </w:rPr>
        <w:t>关于印发《安徽省建设项目环境监理试点工作实施方法》的通知，安徽省环境保护厅环建函[2012]329 号，2012 年4 月1 日；</w:t>
      </w:r>
    </w:p>
    <w:p>
      <w:pPr>
        <w:numPr>
          <w:ilvl w:val="0"/>
          <w:numId w:val="1"/>
        </w:numPr>
        <w:ind w:firstLine="360" w:firstLineChars="150"/>
        <w:rPr>
          <w:sz w:val="24"/>
          <w:szCs w:val="24"/>
        </w:rPr>
      </w:pPr>
      <w:r>
        <w:rPr>
          <w:sz w:val="24"/>
          <w:szCs w:val="24"/>
        </w:rPr>
        <w:t>《安徽省人民政府关于印发安徽省大气污染防治行动计划实施方案的通知》（皖政〔2013〕89 号）；</w:t>
      </w:r>
    </w:p>
    <w:p>
      <w:pPr>
        <w:numPr>
          <w:ilvl w:val="0"/>
          <w:numId w:val="1"/>
        </w:numPr>
        <w:ind w:firstLine="360" w:firstLineChars="150"/>
        <w:rPr>
          <w:sz w:val="24"/>
          <w:szCs w:val="24"/>
        </w:rPr>
      </w:pPr>
      <w:r>
        <w:rPr>
          <w:sz w:val="24"/>
          <w:szCs w:val="24"/>
        </w:rPr>
        <w:t>《安徽省建筑工程施工扬尘污染防治规定》（建质〔2014〕28 号）；</w:t>
      </w:r>
    </w:p>
    <w:p>
      <w:pPr>
        <w:numPr>
          <w:ilvl w:val="0"/>
          <w:numId w:val="1"/>
        </w:numPr>
        <w:ind w:firstLine="360" w:firstLineChars="150"/>
        <w:rPr>
          <w:sz w:val="24"/>
          <w:szCs w:val="24"/>
        </w:rPr>
      </w:pPr>
      <w:r>
        <w:rPr>
          <w:sz w:val="24"/>
          <w:szCs w:val="24"/>
        </w:rPr>
        <w:t>《安徽省大气污染防治条例》，2018年9月29日修改</w:t>
      </w:r>
      <w:r>
        <w:rPr>
          <w:rFonts w:hint="eastAsia"/>
          <w:sz w:val="24"/>
          <w:szCs w:val="24"/>
        </w:rPr>
        <w:t>）</w:t>
      </w:r>
      <w:r>
        <w:rPr>
          <w:sz w:val="24"/>
          <w:szCs w:val="24"/>
        </w:rPr>
        <w:t>；</w:t>
      </w:r>
    </w:p>
    <w:p>
      <w:pPr>
        <w:numPr>
          <w:ilvl w:val="0"/>
          <w:numId w:val="1"/>
        </w:numPr>
        <w:ind w:firstLine="360" w:firstLineChars="150"/>
        <w:rPr>
          <w:sz w:val="24"/>
          <w:szCs w:val="24"/>
        </w:rPr>
      </w:pPr>
      <w:r>
        <w:rPr>
          <w:sz w:val="24"/>
          <w:szCs w:val="24"/>
        </w:rPr>
        <w:t>安徽省淮河流域水污染防治条例（安徽省人民代表大会发布，自2019年1月1日起施行）</w:t>
      </w:r>
      <w:r>
        <w:rPr>
          <w:rFonts w:hint="eastAsia"/>
          <w:sz w:val="24"/>
          <w:szCs w:val="24"/>
        </w:rPr>
        <w:t>；</w:t>
      </w:r>
    </w:p>
    <w:p>
      <w:pPr>
        <w:numPr>
          <w:ilvl w:val="0"/>
          <w:numId w:val="1"/>
        </w:numPr>
        <w:ind w:firstLine="360" w:firstLineChars="150"/>
        <w:rPr>
          <w:sz w:val="24"/>
          <w:szCs w:val="24"/>
        </w:rPr>
      </w:pPr>
      <w:r>
        <w:rPr>
          <w:sz w:val="24"/>
          <w:szCs w:val="24"/>
        </w:rPr>
        <w:t>六安市人民政府关于印发六安市大气污染防治行动计划实施细则的通知（六政【2014】23号）。</w:t>
      </w:r>
    </w:p>
    <w:p>
      <w:pPr>
        <w:adjustRightInd/>
        <w:snapToGrid/>
        <w:rPr>
          <w:b/>
          <w:sz w:val="24"/>
          <w:szCs w:val="24"/>
        </w:rPr>
      </w:pPr>
      <w:r>
        <w:rPr>
          <w:b/>
          <w:sz w:val="24"/>
          <w:szCs w:val="24"/>
        </w:rPr>
        <w:t>1.2.3 相关技术标准和规范</w:t>
      </w:r>
    </w:p>
    <w:p>
      <w:pPr>
        <w:ind w:firstLine="480" w:firstLineChars="200"/>
        <w:rPr>
          <w:sz w:val="24"/>
        </w:rPr>
      </w:pPr>
      <w:r>
        <w:rPr>
          <w:sz w:val="24"/>
        </w:rPr>
        <w:t>（1）《</w:t>
      </w:r>
      <w:r>
        <w:rPr>
          <w:rFonts w:hint="eastAsia"/>
          <w:sz w:val="24"/>
        </w:rPr>
        <w:t>建设项目</w:t>
      </w:r>
      <w:r>
        <w:rPr>
          <w:sz w:val="24"/>
        </w:rPr>
        <w:t>环境影响评价技术导则</w:t>
      </w:r>
      <w:r>
        <w:rPr>
          <w:rFonts w:hint="eastAsia"/>
          <w:sz w:val="24"/>
        </w:rPr>
        <w:t xml:space="preserve"> </w:t>
      </w:r>
      <w:r>
        <w:rPr>
          <w:sz w:val="24"/>
        </w:rPr>
        <w:t>总纲》（HJ2.1-2016）；</w:t>
      </w:r>
    </w:p>
    <w:p>
      <w:pPr>
        <w:ind w:firstLine="480" w:firstLineChars="200"/>
        <w:rPr>
          <w:sz w:val="24"/>
        </w:rPr>
      </w:pPr>
      <w:r>
        <w:rPr>
          <w:sz w:val="24"/>
        </w:rPr>
        <w:t>（2）《环境影响评价技术导则</w:t>
      </w:r>
      <w:r>
        <w:rPr>
          <w:rFonts w:hint="eastAsia"/>
          <w:sz w:val="24"/>
        </w:rPr>
        <w:t xml:space="preserve"> </w:t>
      </w:r>
      <w:r>
        <w:rPr>
          <w:sz w:val="24"/>
        </w:rPr>
        <w:t>大气环境》（HJ2.2-2018）；</w:t>
      </w:r>
    </w:p>
    <w:p>
      <w:pPr>
        <w:ind w:firstLine="480" w:firstLineChars="200"/>
        <w:rPr>
          <w:sz w:val="24"/>
        </w:rPr>
      </w:pPr>
      <w:r>
        <w:rPr>
          <w:sz w:val="24"/>
        </w:rPr>
        <w:t>（3）《环境影响评价技术导则</w:t>
      </w:r>
      <w:r>
        <w:rPr>
          <w:rFonts w:hint="eastAsia"/>
          <w:sz w:val="24"/>
        </w:rPr>
        <w:t xml:space="preserve"> </w:t>
      </w:r>
      <w:r>
        <w:rPr>
          <w:sz w:val="24"/>
        </w:rPr>
        <w:t>地表水环境》（HJ2.3-2018）；</w:t>
      </w:r>
    </w:p>
    <w:p>
      <w:pPr>
        <w:ind w:firstLine="480" w:firstLineChars="200"/>
        <w:rPr>
          <w:sz w:val="24"/>
        </w:rPr>
      </w:pPr>
      <w:r>
        <w:rPr>
          <w:sz w:val="24"/>
        </w:rPr>
        <w:t>（4）《环境影响评价技术导则</w:t>
      </w:r>
      <w:r>
        <w:rPr>
          <w:rFonts w:hint="eastAsia"/>
          <w:sz w:val="24"/>
        </w:rPr>
        <w:t xml:space="preserve"> </w:t>
      </w:r>
      <w:r>
        <w:rPr>
          <w:sz w:val="24"/>
        </w:rPr>
        <w:t>声环境》（HJ2.4-2009）；</w:t>
      </w:r>
    </w:p>
    <w:p>
      <w:pPr>
        <w:ind w:firstLine="480" w:firstLineChars="200"/>
        <w:rPr>
          <w:sz w:val="24"/>
        </w:rPr>
      </w:pPr>
      <w:r>
        <w:rPr>
          <w:sz w:val="24"/>
        </w:rPr>
        <w:t>（5）《环境影响评价技术导则</w:t>
      </w:r>
      <w:r>
        <w:rPr>
          <w:rFonts w:hint="eastAsia"/>
          <w:sz w:val="24"/>
        </w:rPr>
        <w:t xml:space="preserve"> </w:t>
      </w:r>
      <w:r>
        <w:rPr>
          <w:sz w:val="24"/>
        </w:rPr>
        <w:t>地下水环境》（HJ610-2016）；</w:t>
      </w:r>
    </w:p>
    <w:p>
      <w:pPr>
        <w:ind w:firstLine="480" w:firstLineChars="200"/>
        <w:rPr>
          <w:sz w:val="24"/>
        </w:rPr>
      </w:pPr>
      <w:r>
        <w:rPr>
          <w:sz w:val="24"/>
        </w:rPr>
        <w:t>（</w:t>
      </w:r>
      <w:r>
        <w:rPr>
          <w:rFonts w:hint="eastAsia"/>
          <w:sz w:val="24"/>
          <w:lang w:val="en-US" w:eastAsia="zh-CN"/>
        </w:rPr>
        <w:t>6</w:t>
      </w:r>
      <w:r>
        <w:rPr>
          <w:sz w:val="24"/>
        </w:rPr>
        <w:t>）《环境影响评价技术导则</w:t>
      </w:r>
      <w:r>
        <w:rPr>
          <w:rFonts w:hint="eastAsia"/>
          <w:sz w:val="24"/>
        </w:rPr>
        <w:t xml:space="preserve"> </w:t>
      </w:r>
      <w:r>
        <w:rPr>
          <w:rFonts w:hint="eastAsia"/>
          <w:sz w:val="24"/>
          <w:lang w:eastAsia="zh-CN"/>
        </w:rPr>
        <w:t>土壤</w:t>
      </w:r>
      <w:r>
        <w:rPr>
          <w:sz w:val="24"/>
        </w:rPr>
        <w:t>环境》（HJ</w:t>
      </w:r>
      <w:r>
        <w:rPr>
          <w:rFonts w:hint="eastAsia"/>
          <w:sz w:val="24"/>
          <w:lang w:val="en-US" w:eastAsia="zh-CN"/>
        </w:rPr>
        <w:t>964</w:t>
      </w:r>
      <w:r>
        <w:rPr>
          <w:sz w:val="24"/>
        </w:rPr>
        <w:t>-201</w:t>
      </w:r>
      <w:r>
        <w:rPr>
          <w:rFonts w:hint="eastAsia"/>
          <w:sz w:val="24"/>
          <w:lang w:val="en-US" w:eastAsia="zh-CN"/>
        </w:rPr>
        <w:t>8</w:t>
      </w:r>
      <w:r>
        <w:rPr>
          <w:sz w:val="24"/>
        </w:rPr>
        <w:t>）；</w:t>
      </w:r>
    </w:p>
    <w:p>
      <w:pPr>
        <w:adjustRightInd/>
        <w:snapToGrid/>
        <w:ind w:firstLine="480" w:firstLineChars="200"/>
        <w:rPr>
          <w:sz w:val="24"/>
          <w:szCs w:val="24"/>
        </w:rPr>
      </w:pPr>
      <w:r>
        <w:rPr>
          <w:sz w:val="24"/>
          <w:szCs w:val="24"/>
        </w:rPr>
        <w:t>（</w:t>
      </w:r>
      <w:r>
        <w:rPr>
          <w:rFonts w:hint="eastAsia"/>
          <w:sz w:val="24"/>
          <w:szCs w:val="24"/>
          <w:lang w:val="en-US" w:eastAsia="zh-CN"/>
        </w:rPr>
        <w:t>7</w:t>
      </w:r>
      <w:r>
        <w:rPr>
          <w:sz w:val="24"/>
          <w:szCs w:val="24"/>
        </w:rPr>
        <w:t>）《建设项目环境风险评价技术导则》（HJ169-2018）；</w:t>
      </w:r>
    </w:p>
    <w:p>
      <w:pPr>
        <w:adjustRightInd/>
        <w:snapToGrid/>
        <w:ind w:firstLine="480" w:firstLineChars="200"/>
        <w:rPr>
          <w:sz w:val="24"/>
          <w:szCs w:val="24"/>
        </w:rPr>
      </w:pPr>
      <w:r>
        <w:rPr>
          <w:sz w:val="24"/>
          <w:szCs w:val="24"/>
        </w:rPr>
        <w:t>（</w:t>
      </w:r>
      <w:r>
        <w:rPr>
          <w:rFonts w:hint="eastAsia"/>
          <w:sz w:val="24"/>
          <w:szCs w:val="24"/>
          <w:lang w:val="en-US" w:eastAsia="zh-CN"/>
        </w:rPr>
        <w:t>8</w:t>
      </w:r>
      <w:r>
        <w:rPr>
          <w:sz w:val="24"/>
          <w:szCs w:val="24"/>
        </w:rPr>
        <w:t>）《环境影响评价技术导则</w:t>
      </w:r>
      <w:r>
        <w:rPr>
          <w:rFonts w:hint="eastAsia"/>
          <w:sz w:val="24"/>
          <w:szCs w:val="24"/>
        </w:rPr>
        <w:t xml:space="preserve"> </w:t>
      </w:r>
      <w:r>
        <w:rPr>
          <w:sz w:val="24"/>
          <w:szCs w:val="24"/>
        </w:rPr>
        <w:t>生态影响 》（HJ19-2011）；</w:t>
      </w:r>
    </w:p>
    <w:p>
      <w:pPr>
        <w:adjustRightInd/>
        <w:snapToGrid/>
        <w:ind w:firstLine="480" w:firstLineChars="200"/>
        <w:rPr>
          <w:sz w:val="24"/>
          <w:szCs w:val="24"/>
        </w:rPr>
      </w:pPr>
      <w:r>
        <w:rPr>
          <w:sz w:val="24"/>
          <w:szCs w:val="24"/>
        </w:rPr>
        <w:t>（</w:t>
      </w:r>
      <w:r>
        <w:rPr>
          <w:rFonts w:hint="eastAsia"/>
          <w:sz w:val="24"/>
          <w:szCs w:val="24"/>
          <w:lang w:val="en-US" w:eastAsia="zh-CN"/>
        </w:rPr>
        <w:t>9</w:t>
      </w:r>
      <w:r>
        <w:rPr>
          <w:sz w:val="24"/>
          <w:szCs w:val="24"/>
        </w:rPr>
        <w:t>）《环境噪声与振动控制工程技术导则》（HJ2034-2013）；</w:t>
      </w:r>
    </w:p>
    <w:p>
      <w:pPr>
        <w:adjustRightInd/>
        <w:snapToGrid/>
        <w:ind w:firstLine="480" w:firstLineChars="200"/>
        <w:rPr>
          <w:sz w:val="24"/>
          <w:szCs w:val="24"/>
        </w:rPr>
      </w:pPr>
      <w:r>
        <w:rPr>
          <w:sz w:val="24"/>
          <w:szCs w:val="24"/>
        </w:rPr>
        <w:t>（</w:t>
      </w:r>
      <w:r>
        <w:rPr>
          <w:rFonts w:hint="eastAsia"/>
          <w:sz w:val="24"/>
          <w:szCs w:val="24"/>
          <w:lang w:val="en-US" w:eastAsia="zh-CN"/>
        </w:rPr>
        <w:t>10</w:t>
      </w:r>
      <w:r>
        <w:rPr>
          <w:sz w:val="24"/>
          <w:szCs w:val="24"/>
        </w:rPr>
        <w:t>）《国民经济行业分类与代码》（GB/T 4754－2017）；</w:t>
      </w:r>
    </w:p>
    <w:p>
      <w:pPr>
        <w:adjustRightInd/>
        <w:snapToGrid/>
        <w:ind w:firstLine="480" w:firstLineChars="200"/>
        <w:rPr>
          <w:sz w:val="24"/>
          <w:szCs w:val="24"/>
        </w:rPr>
      </w:pP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sz w:val="24"/>
          <w:szCs w:val="24"/>
        </w:rPr>
      </w:pPr>
      <w:r>
        <w:rPr>
          <w:sz w:val="24"/>
          <w:szCs w:val="24"/>
        </w:rPr>
        <w:t>（</w:t>
      </w:r>
      <w:r>
        <w:rPr>
          <w:rFonts w:hint="default" w:ascii="Times New Roman" w:hAnsi="Times New Roman" w:cs="Times New Roman"/>
          <w:sz w:val="24"/>
          <w:szCs w:val="24"/>
        </w:rPr>
        <w:t>12）《畜禽病害肉尸及其产品无害化处理规程》（GB16548-1996）；</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（13）《</w:t>
      </w:r>
      <w:r>
        <w:rPr>
          <w:rFonts w:hint="default" w:ascii="Times New Roman" w:hAnsi="Times New Roman" w:cs="Times New Roman"/>
          <w:sz w:val="24"/>
          <w:szCs w:val="24"/>
          <w:lang w:eastAsia="zh-CN"/>
        </w:rPr>
        <w:t>排污许可证申请与核发技术规范</w:t>
      </w:r>
      <w:r>
        <w:rPr>
          <w:rFonts w:hint="default" w:ascii="Times New Roman" w:hAnsi="Times New Roman" w:cs="Times New Roman"/>
          <w:sz w:val="24"/>
          <w:szCs w:val="24"/>
        </w:rPr>
        <w:t xml:space="preserve"> </w:t>
      </w:r>
      <w:r>
        <w:rPr>
          <w:rFonts w:hint="default" w:ascii="Times New Roman" w:hAnsi="Times New Roman" w:cs="Times New Roman"/>
          <w:sz w:val="24"/>
          <w:szCs w:val="24"/>
          <w:lang w:eastAsia="zh-CN"/>
        </w:rPr>
        <w:t>总则</w:t>
      </w:r>
      <w:r>
        <w:rPr>
          <w:rFonts w:hint="default" w:ascii="Times New Roman" w:hAnsi="Times New Roman" w:cs="Times New Roman"/>
          <w:sz w:val="24"/>
          <w:szCs w:val="24"/>
        </w:rPr>
        <w:t>》（HJ</w:t>
      </w:r>
      <w:r>
        <w:rPr>
          <w:rFonts w:hint="default" w:ascii="Times New Roman" w:hAnsi="Times New Roman" w:cs="Times New Roman"/>
          <w:sz w:val="24"/>
          <w:szCs w:val="24"/>
          <w:lang w:val="en-US" w:eastAsia="zh-CN"/>
        </w:rPr>
        <w:t>924</w:t>
      </w:r>
      <w:r>
        <w:rPr>
          <w:rFonts w:hint="default" w:ascii="Times New Roman" w:hAnsi="Times New Roman" w:cs="Times New Roman"/>
          <w:sz w:val="24"/>
          <w:szCs w:val="24"/>
        </w:rPr>
        <w:t>-2018）；</w:t>
      </w:r>
    </w:p>
    <w:p>
      <w:pPr>
        <w:pStyle w:val="36"/>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lang w:eastAsia="zh-CN"/>
        </w:rPr>
      </w:pPr>
      <w:r>
        <w:rPr>
          <w:rFonts w:hint="default" w:ascii="Times New Roman" w:hAnsi="Times New Roman" w:cs="Times New Roman"/>
        </w:rPr>
        <w:t>（14）《污染源源强核算技术指南 准则》（HJ884-2018）</w:t>
      </w:r>
      <w:r>
        <w:rPr>
          <w:rFonts w:hint="default" w:ascii="Times New Roman" w:hAnsi="Times New Roman" w:cs="Times New Roman"/>
          <w:lang w:eastAsia="zh-CN"/>
        </w:rPr>
        <w:t>；</w:t>
      </w:r>
    </w:p>
    <w:p>
      <w:pPr>
        <w:pStyle w:val="36"/>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lang w:eastAsia="zh-CN"/>
        </w:rPr>
      </w:pPr>
      <w:r>
        <w:rPr>
          <w:rFonts w:hint="eastAsia" w:ascii="Times New Roman" w:cs="Times New Roman"/>
          <w:lang w:eastAsia="zh-CN"/>
        </w:rPr>
        <w:t>（</w:t>
      </w:r>
      <w:r>
        <w:rPr>
          <w:rFonts w:hint="eastAsia" w:ascii="Times New Roman" w:cs="Times New Roman"/>
          <w:lang w:val="en-US" w:eastAsia="zh-CN"/>
        </w:rPr>
        <w:t>15</w:t>
      </w:r>
      <w:r>
        <w:rPr>
          <w:rFonts w:hint="eastAsia" w:ascii="Times New Roman" w:cs="Times New Roman"/>
          <w:lang w:eastAsia="zh-CN"/>
        </w:rPr>
        <w:t>）</w:t>
      </w:r>
      <w:r>
        <w:rPr>
          <w:rFonts w:hint="default" w:ascii="Times New Roman" w:hAnsi="Times New Roman" w:cs="Times New Roman"/>
        </w:rPr>
        <w:t>《固定污染源排污许可分类管理名录（2017年版）》（</w:t>
      </w:r>
      <w:r>
        <w:rPr>
          <w:rFonts w:hint="eastAsia" w:ascii="Times New Roman" w:hAnsi="Times New Roman" w:cs="Times New Roman"/>
          <w:lang w:eastAsia="zh-CN"/>
        </w:rPr>
        <w:t>部令第</w:t>
      </w:r>
      <w:r>
        <w:rPr>
          <w:rFonts w:hint="eastAsia" w:ascii="Times New Roman" w:hAnsi="Times New Roman" w:cs="Times New Roman"/>
          <w:lang w:val="en-US" w:eastAsia="zh-CN"/>
        </w:rPr>
        <w:t>45号</w:t>
      </w:r>
      <w:r>
        <w:rPr>
          <w:rFonts w:hint="default" w:ascii="Times New Roman" w:hAnsi="Times New Roman" w:cs="Times New Roman"/>
        </w:rPr>
        <w:t>）</w:t>
      </w:r>
      <w:r>
        <w:rPr>
          <w:rFonts w:hint="default" w:ascii="Times New Roman" w:hAnsi="Times New Roman" w:cs="Times New Roman"/>
          <w:lang w:eastAsia="zh-CN"/>
        </w:rPr>
        <w:t>；</w:t>
      </w:r>
    </w:p>
    <w:p>
      <w:pPr>
        <w:pStyle w:val="36"/>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1</w:t>
      </w:r>
      <w:r>
        <w:rPr>
          <w:rFonts w:hint="eastAsia" w:ascii="Times New Roman" w:cs="Times New Roman"/>
          <w:lang w:val="en-US" w:eastAsia="zh-CN"/>
        </w:rPr>
        <w:t>6</w:t>
      </w:r>
      <w:r>
        <w:rPr>
          <w:rFonts w:hint="default" w:ascii="Times New Roman" w:hAnsi="Times New Roman" w:cs="Times New Roman"/>
        </w:rPr>
        <w:t>）《</w:t>
      </w:r>
      <w:r>
        <w:rPr>
          <w:rFonts w:hint="default" w:ascii="Times New Roman" w:hAnsi="Times New Roman" w:cs="Times New Roman"/>
          <w:lang w:eastAsia="zh-CN"/>
        </w:rPr>
        <w:t>排污单位自行监测技术指南</w:t>
      </w:r>
      <w:r>
        <w:rPr>
          <w:rFonts w:hint="default" w:ascii="Times New Roman" w:hAnsi="Times New Roman" w:cs="Times New Roman"/>
          <w:lang w:val="en-US" w:eastAsia="zh-CN"/>
        </w:rPr>
        <w:t xml:space="preserve"> </w:t>
      </w:r>
      <w:r>
        <w:rPr>
          <w:rFonts w:hint="default" w:ascii="Times New Roman" w:hAnsi="Times New Roman" w:cs="Times New Roman"/>
          <w:lang w:eastAsia="zh-CN"/>
        </w:rPr>
        <w:t>总则</w:t>
      </w:r>
      <w:r>
        <w:rPr>
          <w:rFonts w:hint="default" w:ascii="Times New Roman" w:hAnsi="Times New Roman" w:cs="Times New Roman"/>
        </w:rPr>
        <w:t>》（HJ</w:t>
      </w:r>
      <w:r>
        <w:rPr>
          <w:rFonts w:hint="default" w:ascii="Times New Roman" w:hAnsi="Times New Roman" w:cs="Times New Roman"/>
          <w:lang w:val="en-US" w:eastAsia="zh-CN"/>
        </w:rPr>
        <w:t>819</w:t>
      </w:r>
      <w:r>
        <w:rPr>
          <w:rFonts w:hint="default" w:ascii="Times New Roman" w:hAnsi="Times New Roman" w:cs="Times New Roman"/>
        </w:rPr>
        <w:t>-201</w:t>
      </w:r>
      <w:r>
        <w:rPr>
          <w:rFonts w:hint="default" w:ascii="Times New Roman" w:hAnsi="Times New Roman" w:cs="Times New Roman"/>
          <w:lang w:val="en-US" w:eastAsia="zh-CN"/>
        </w:rPr>
        <w:t>7</w:t>
      </w:r>
      <w:r>
        <w:rPr>
          <w:rFonts w:hint="default" w:ascii="Times New Roman" w:hAnsi="Times New Roman" w:cs="Times New Roman"/>
        </w:rPr>
        <w:t>）。</w:t>
      </w:r>
    </w:p>
    <w:p>
      <w:pPr>
        <w:adjustRightInd/>
        <w:snapToGrid/>
        <w:rPr>
          <w:b/>
          <w:sz w:val="24"/>
          <w:szCs w:val="24"/>
        </w:rPr>
      </w:pPr>
      <w:r>
        <w:rPr>
          <w:b/>
          <w:sz w:val="24"/>
          <w:szCs w:val="24"/>
        </w:rPr>
        <w:t>1.2.4 技术资料和工作文件</w:t>
      </w:r>
    </w:p>
    <w:p>
      <w:pPr>
        <w:autoSpaceDE w:val="0"/>
        <w:autoSpaceDN w:val="0"/>
        <w:ind w:firstLine="480" w:firstLineChars="200"/>
        <w:rPr>
          <w:sz w:val="24"/>
          <w:szCs w:val="24"/>
        </w:rPr>
      </w:pPr>
      <w:r>
        <w:rPr>
          <w:kern w:val="0"/>
          <w:sz w:val="24"/>
          <w:szCs w:val="24"/>
        </w:rPr>
        <w:t>（1）</w:t>
      </w:r>
      <w:r>
        <w:rPr>
          <w:rFonts w:hint="eastAsia"/>
          <w:kern w:val="0"/>
          <w:sz w:val="24"/>
          <w:szCs w:val="24"/>
          <w:lang w:eastAsia="zh-CN"/>
        </w:rPr>
        <w:t>六安市经开区发展规划局</w:t>
      </w:r>
      <w:r>
        <w:rPr>
          <w:rFonts w:hint="eastAsia"/>
          <w:sz w:val="24"/>
        </w:rPr>
        <w:t>项目备案表</w:t>
      </w:r>
      <w:r>
        <w:rPr>
          <w:sz w:val="24"/>
          <w:szCs w:val="24"/>
        </w:rPr>
        <w:t>，项目代码：</w:t>
      </w:r>
      <w:r>
        <w:rPr>
          <w:rFonts w:hint="eastAsia"/>
          <w:sz w:val="24"/>
          <w:szCs w:val="24"/>
          <w:lang w:val="en-US" w:eastAsia="zh-CN"/>
        </w:rPr>
        <w:t>2019-341562-18-03-012099</w:t>
      </w:r>
      <w:r>
        <w:rPr>
          <w:sz w:val="24"/>
          <w:szCs w:val="24"/>
        </w:rPr>
        <w:t>；</w:t>
      </w:r>
    </w:p>
    <w:p>
      <w:pPr>
        <w:autoSpaceDE w:val="0"/>
        <w:autoSpaceDN w:val="0"/>
        <w:ind w:firstLine="480" w:firstLineChars="200"/>
        <w:rPr>
          <w:kern w:val="0"/>
          <w:sz w:val="24"/>
          <w:szCs w:val="24"/>
        </w:rPr>
      </w:pPr>
      <w:r>
        <w:rPr>
          <w:kern w:val="0"/>
          <w:sz w:val="24"/>
          <w:szCs w:val="24"/>
        </w:rPr>
        <w:t>（2）项目</w:t>
      </w:r>
      <w:r>
        <w:rPr>
          <w:rFonts w:hint="eastAsia"/>
          <w:kern w:val="0"/>
          <w:sz w:val="24"/>
          <w:szCs w:val="24"/>
          <w:lang w:eastAsia="zh-CN"/>
        </w:rPr>
        <w:t>投资协议书</w:t>
      </w:r>
      <w:r>
        <w:rPr>
          <w:kern w:val="0"/>
          <w:sz w:val="24"/>
          <w:szCs w:val="24"/>
        </w:rPr>
        <w:t>；</w:t>
      </w:r>
    </w:p>
    <w:p>
      <w:pPr>
        <w:autoSpaceDE w:val="0"/>
        <w:autoSpaceDN w:val="0"/>
        <w:ind w:firstLine="480" w:firstLineChars="200"/>
        <w:rPr>
          <w:kern w:val="0"/>
          <w:sz w:val="24"/>
          <w:szCs w:val="24"/>
        </w:rPr>
      </w:pPr>
      <w:r>
        <w:rPr>
          <w:kern w:val="0"/>
          <w:sz w:val="24"/>
          <w:szCs w:val="24"/>
        </w:rPr>
        <w:t>（</w:t>
      </w:r>
      <w:r>
        <w:rPr>
          <w:rFonts w:hint="eastAsia"/>
          <w:kern w:val="0"/>
          <w:sz w:val="24"/>
          <w:szCs w:val="24"/>
          <w:lang w:val="en-US" w:eastAsia="zh-CN"/>
        </w:rPr>
        <w:t>3</w:t>
      </w:r>
      <w:r>
        <w:rPr>
          <w:kern w:val="0"/>
          <w:sz w:val="24"/>
          <w:szCs w:val="24"/>
        </w:rPr>
        <w:t>）项目环评委托书；</w:t>
      </w:r>
    </w:p>
    <w:p>
      <w:pPr>
        <w:autoSpaceDE w:val="0"/>
        <w:autoSpaceDN w:val="0"/>
        <w:ind w:firstLine="480" w:firstLineChars="200"/>
        <w:rPr>
          <w:kern w:val="0"/>
          <w:sz w:val="24"/>
          <w:szCs w:val="24"/>
          <w:highlight w:val="none"/>
        </w:rPr>
      </w:pPr>
      <w:r>
        <w:rPr>
          <w:kern w:val="0"/>
          <w:sz w:val="24"/>
          <w:szCs w:val="24"/>
          <w:highlight w:val="none"/>
        </w:rPr>
        <w:t>（</w:t>
      </w:r>
      <w:r>
        <w:rPr>
          <w:rFonts w:hint="eastAsia"/>
          <w:kern w:val="0"/>
          <w:sz w:val="24"/>
          <w:szCs w:val="24"/>
          <w:highlight w:val="none"/>
          <w:lang w:val="en-US" w:eastAsia="zh-CN"/>
        </w:rPr>
        <w:t>4</w:t>
      </w:r>
      <w:r>
        <w:rPr>
          <w:kern w:val="0"/>
          <w:sz w:val="24"/>
          <w:szCs w:val="24"/>
          <w:highlight w:val="none"/>
        </w:rPr>
        <w:t>）建设单位提供的其他相关资料。</w:t>
      </w:r>
    </w:p>
    <w:p>
      <w:pPr>
        <w:pStyle w:val="5"/>
        <w:rPr>
          <w:sz w:val="24"/>
          <w:szCs w:val="24"/>
          <w:highlight w:val="none"/>
        </w:rPr>
      </w:pPr>
      <w:bookmarkStart w:id="88" w:name="_Toc17844_WPSOffice_Level2"/>
      <w:bookmarkStart w:id="89" w:name="_Toc15445"/>
      <w:bookmarkStart w:id="90" w:name="_Toc532395284"/>
      <w:r>
        <w:rPr>
          <w:sz w:val="24"/>
          <w:szCs w:val="24"/>
          <w:highlight w:val="none"/>
        </w:rPr>
        <w:t>1.3产业政策符合性</w:t>
      </w:r>
      <w:bookmarkEnd w:id="88"/>
      <w:bookmarkEnd w:id="89"/>
    </w:p>
    <w:p>
      <w:pPr>
        <w:ind w:firstLine="480" w:firstLineChars="200"/>
        <w:rPr>
          <w:sz w:val="24"/>
        </w:rPr>
      </w:pPr>
      <w:r>
        <w:rPr>
          <w:sz w:val="24"/>
        </w:rPr>
        <w:t>本项目主要为</w:t>
      </w:r>
      <w:r>
        <w:rPr>
          <w:rFonts w:hint="eastAsia"/>
          <w:sz w:val="24"/>
          <w:lang w:eastAsia="zh-CN"/>
        </w:rPr>
        <w:t>服装制造业</w:t>
      </w:r>
      <w:r>
        <w:rPr>
          <w:sz w:val="24"/>
        </w:rPr>
        <w:t>，根据国发改第21号令2013-2-16《产业结构调整指导目录（2011年本）</w:t>
      </w:r>
      <w:r>
        <w:rPr>
          <w:rFonts w:hint="eastAsia"/>
          <w:sz w:val="24"/>
        </w:rPr>
        <w:t>（</w:t>
      </w:r>
      <w:r>
        <w:rPr>
          <w:sz w:val="24"/>
        </w:rPr>
        <w:t>2013修正</w:t>
      </w:r>
      <w:r>
        <w:rPr>
          <w:rFonts w:hint="eastAsia"/>
          <w:sz w:val="24"/>
        </w:rPr>
        <w:t>）</w:t>
      </w:r>
      <w:r>
        <w:rPr>
          <w:sz w:val="24"/>
        </w:rPr>
        <w:t>》、《安徽省工业产业结构调整指导目录》可知，本项目不属于其中鼓励类、限制类与淘汰类项目，可视为允许项目，因此本项目的建设符合国家的产业政策及安徽省工业产业结构调整指导目录要求。</w:t>
      </w:r>
    </w:p>
    <w:p>
      <w:pPr>
        <w:autoSpaceDE w:val="0"/>
        <w:autoSpaceDN w:val="0"/>
        <w:ind w:firstLine="480" w:firstLineChars="200"/>
        <w:rPr>
          <w:sz w:val="24"/>
        </w:rPr>
      </w:pPr>
      <w:r>
        <w:rPr>
          <w:sz w:val="24"/>
        </w:rPr>
        <w:t>目前该项目已取得</w:t>
      </w:r>
      <w:r>
        <w:rPr>
          <w:rFonts w:hint="eastAsia"/>
          <w:kern w:val="0"/>
          <w:sz w:val="24"/>
          <w:szCs w:val="24"/>
          <w:lang w:eastAsia="zh-CN"/>
        </w:rPr>
        <w:t>六安市经开区发展规划局</w:t>
      </w:r>
      <w:r>
        <w:rPr>
          <w:rFonts w:hint="eastAsia"/>
          <w:sz w:val="24"/>
        </w:rPr>
        <w:t>项目备案表</w:t>
      </w:r>
      <w:r>
        <w:rPr>
          <w:sz w:val="24"/>
          <w:szCs w:val="24"/>
        </w:rPr>
        <w:t>，项目代码：</w:t>
      </w:r>
      <w:r>
        <w:rPr>
          <w:rFonts w:hint="eastAsia"/>
          <w:sz w:val="24"/>
          <w:szCs w:val="24"/>
          <w:lang w:val="en-US" w:eastAsia="zh-CN"/>
        </w:rPr>
        <w:t>2019-341562-18-03-012099</w:t>
      </w:r>
      <w:r>
        <w:rPr>
          <w:sz w:val="24"/>
          <w:szCs w:val="24"/>
        </w:rPr>
        <w:t>；</w:t>
      </w:r>
      <w:r>
        <w:rPr>
          <w:rFonts w:hint="eastAsia"/>
          <w:sz w:val="24"/>
        </w:rPr>
        <w:t>因此</w:t>
      </w:r>
      <w:r>
        <w:rPr>
          <w:sz w:val="24"/>
        </w:rPr>
        <w:t>项目建设符合地方产业政策。</w:t>
      </w:r>
    </w:p>
    <w:p>
      <w:pPr>
        <w:pStyle w:val="5"/>
        <w:rPr>
          <w:bCs w:val="0"/>
          <w:sz w:val="24"/>
          <w:szCs w:val="24"/>
        </w:rPr>
      </w:pPr>
      <w:bookmarkStart w:id="91" w:name="_Toc13816"/>
      <w:bookmarkStart w:id="92" w:name="_Toc7114_WPSOffice_Level2"/>
      <w:r>
        <w:rPr>
          <w:bCs w:val="0"/>
          <w:sz w:val="24"/>
          <w:szCs w:val="24"/>
        </w:rPr>
        <w:t>1.4</w:t>
      </w:r>
      <w:r>
        <w:rPr>
          <w:rFonts w:hint="eastAsia"/>
          <w:bCs w:val="0"/>
          <w:sz w:val="24"/>
          <w:szCs w:val="24"/>
        </w:rPr>
        <w:t>选址</w:t>
      </w:r>
      <w:r>
        <w:rPr>
          <w:bCs w:val="0"/>
          <w:sz w:val="24"/>
          <w:szCs w:val="24"/>
        </w:rPr>
        <w:t>相符性</w:t>
      </w:r>
      <w:bookmarkEnd w:id="91"/>
      <w:bookmarkEnd w:id="92"/>
    </w:p>
    <w:p>
      <w:pPr>
        <w:ind w:firstLine="480" w:firstLineChars="200"/>
        <w:rPr>
          <w:rFonts w:hint="eastAsia" w:eastAsia="宋体"/>
          <w:lang w:eastAsia="zh-CN"/>
        </w:rPr>
      </w:pPr>
      <w:r>
        <w:rPr>
          <w:kern w:val="0"/>
          <w:sz w:val="24"/>
        </w:rPr>
        <w:t>项目选址位于</w:t>
      </w:r>
      <w:r>
        <w:rPr>
          <w:rFonts w:hint="eastAsia"/>
          <w:kern w:val="0"/>
          <w:sz w:val="24"/>
          <w:lang w:eastAsia="zh-CN"/>
        </w:rPr>
        <w:t>六安市经济开发区</w:t>
      </w:r>
      <w:r>
        <w:rPr>
          <w:sz w:val="24"/>
        </w:rPr>
        <w:t>，项目所在地是建设用地，</w:t>
      </w:r>
      <w:r>
        <w:rPr>
          <w:rFonts w:hint="eastAsia"/>
          <w:kern w:val="0"/>
          <w:sz w:val="24"/>
          <w:lang w:val="zh-CN"/>
        </w:rPr>
        <w:t>根据与六安市经济技术开发区管理委员签订的投资协议书，本项目不属于禁止入驻项目、不属于限制入驻项目，</w:t>
      </w:r>
      <w:r>
        <w:rPr>
          <w:sz w:val="24"/>
        </w:rPr>
        <w:t>因此选址符合</w:t>
      </w:r>
      <w:r>
        <w:rPr>
          <w:kern w:val="0"/>
          <w:sz w:val="24"/>
        </w:rPr>
        <w:t>规划要求。</w:t>
      </w:r>
    </w:p>
    <w:p>
      <w:pPr>
        <w:pStyle w:val="5"/>
        <w:rPr>
          <w:sz w:val="24"/>
          <w:szCs w:val="24"/>
        </w:rPr>
      </w:pPr>
      <w:bookmarkStart w:id="93" w:name="_Toc32069_WPSOffice_Level2"/>
      <w:r>
        <w:rPr>
          <w:sz w:val="24"/>
          <w:szCs w:val="24"/>
        </w:rPr>
        <w:t>1.</w:t>
      </w:r>
      <w:r>
        <w:rPr>
          <w:rFonts w:hint="eastAsia"/>
          <w:sz w:val="24"/>
          <w:szCs w:val="24"/>
          <w:lang w:val="en-US" w:eastAsia="zh-CN"/>
        </w:rPr>
        <w:t>5</w:t>
      </w:r>
      <w:r>
        <w:rPr>
          <w:sz w:val="24"/>
          <w:szCs w:val="24"/>
        </w:rPr>
        <w:t>“三线一单”控制要求</w:t>
      </w:r>
      <w:bookmarkEnd w:id="93"/>
    </w:p>
    <w:p>
      <w:pPr>
        <w:ind w:firstLine="480" w:firstLineChars="200"/>
        <w:rPr>
          <w:sz w:val="24"/>
        </w:rPr>
      </w:pPr>
      <w:r>
        <w:rPr>
          <w:sz w:val="24"/>
        </w:rPr>
        <w:t>根据《关于以改善环境质量为核心、加强环境影响评价管理的通知》（环环评[2016]150号）（简称三线一单）要求，落实“生态保护红线、环境质量底线、资源利用上线和环境准入负面清单”（简称“三线一单”）约束，本项目建设需进行“三线一单”相符性分析。</w:t>
      </w:r>
    </w:p>
    <w:p>
      <w:pPr>
        <w:spacing w:line="240" w:lineRule="auto"/>
        <w:jc w:val="center"/>
        <w:rPr>
          <w:b/>
          <w:sz w:val="24"/>
          <w:szCs w:val="24"/>
        </w:rPr>
      </w:pPr>
      <w:r>
        <w:rPr>
          <w:b/>
          <w:sz w:val="24"/>
          <w:szCs w:val="24"/>
        </w:rPr>
        <w:t>表</w:t>
      </w:r>
      <w:r>
        <w:rPr>
          <w:rFonts w:hint="eastAsia"/>
          <w:b/>
          <w:sz w:val="24"/>
          <w:szCs w:val="24"/>
        </w:rPr>
        <w:t>1</w:t>
      </w:r>
      <w:r>
        <w:rPr>
          <w:rFonts w:hint="eastAsia"/>
          <w:b/>
          <w:sz w:val="24"/>
          <w:szCs w:val="24"/>
          <w:lang w:val="en-US" w:eastAsia="zh-CN"/>
        </w:rPr>
        <w:t>.5</w:t>
      </w:r>
      <w:r>
        <w:rPr>
          <w:rFonts w:hint="eastAsia"/>
          <w:b/>
          <w:sz w:val="24"/>
          <w:szCs w:val="24"/>
        </w:rPr>
        <w:t>-1</w:t>
      </w:r>
      <w:r>
        <w:rPr>
          <w:b/>
          <w:sz w:val="24"/>
          <w:szCs w:val="24"/>
        </w:rPr>
        <w:t xml:space="preserve">   项目与“三线一单”相符性分析</w:t>
      </w:r>
    </w:p>
    <w:tbl>
      <w:tblPr>
        <w:tblStyle w:val="22"/>
        <w:tblW w:w="10072" w:type="dxa"/>
        <w:jc w:val="center"/>
        <w:tblInd w:w="-25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45"/>
        <w:gridCol w:w="43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745" w:type="dxa"/>
            <w:vAlign w:val="center"/>
          </w:tcPr>
          <w:p>
            <w:pPr>
              <w:spacing w:line="240" w:lineRule="auto"/>
              <w:jc w:val="center"/>
              <w:rPr>
                <w:lang w:val="zh-CN"/>
              </w:rPr>
            </w:pPr>
            <w:r>
              <w:rPr>
                <w:lang w:val="zh-CN"/>
              </w:rPr>
              <w:t>环环评[2016]150号要求</w:t>
            </w:r>
          </w:p>
        </w:tc>
        <w:tc>
          <w:tcPr>
            <w:tcW w:w="4327" w:type="dxa"/>
            <w:vAlign w:val="center"/>
          </w:tcPr>
          <w:p>
            <w:pPr>
              <w:spacing w:line="240" w:lineRule="auto"/>
              <w:jc w:val="center"/>
              <w:rPr>
                <w:lang w:val="zh-CN"/>
              </w:rPr>
            </w:pPr>
            <w:r>
              <w:rPr>
                <w:lang w:val="zh-CN"/>
              </w:rPr>
              <w:t>本项目相符性分析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745" w:type="dxa"/>
            <w:vAlign w:val="center"/>
          </w:tcPr>
          <w:p>
            <w:pPr>
              <w:spacing w:line="240" w:lineRule="auto"/>
              <w:jc w:val="center"/>
              <w:rPr>
                <w:lang w:val="zh-CN"/>
              </w:rPr>
            </w:pPr>
            <w:r>
              <w:rPr>
                <w:lang w:val="zh-CN"/>
              </w:rPr>
              <w:t>生态保护红线是生态空间范围内具有特殊重要生态功能必须实行强制性严格保护的区域。相关规划环评应将生态空间管控作为重要内容，规划区域设计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4327" w:type="dxa"/>
            <w:vAlign w:val="center"/>
          </w:tcPr>
          <w:p>
            <w:pPr>
              <w:spacing w:line="240" w:lineRule="auto"/>
              <w:jc w:val="center"/>
              <w:rPr>
                <w:lang w:val="zh-CN"/>
              </w:rPr>
            </w:pPr>
            <w:r>
              <w:rPr>
                <w:lang w:val="zh-CN"/>
              </w:rPr>
              <w:t>本项目位于</w:t>
            </w:r>
            <w:r>
              <w:rPr>
                <w:rFonts w:hint="eastAsia"/>
                <w:lang w:val="zh-CN"/>
              </w:rPr>
              <w:t>六安市经济开发区</w:t>
            </w:r>
            <w:r>
              <w:rPr>
                <w:lang w:val="zh-CN"/>
              </w:rPr>
              <w:t>，周边无生态敏感区，饮用水源保护区等生态保护目标，符合生态保护红线要求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745" w:type="dxa"/>
            <w:vAlign w:val="center"/>
          </w:tcPr>
          <w:p>
            <w:pPr>
              <w:spacing w:line="240" w:lineRule="auto"/>
              <w:jc w:val="center"/>
              <w:rPr>
                <w:lang w:val="zh-CN"/>
              </w:rPr>
            </w:pPr>
            <w:r>
              <w:rPr>
                <w:lang w:val="zh-CN"/>
              </w:rPr>
              <w:t>环境质量底线是国家和地方设置的大气、水和土壤环境质量目标，也是改善环境质量的基准线。有关规划环评应落实区域环境质量目标管理要求，提出区域或者行业污染物排放总量管控建议以及优化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4327" w:type="dxa"/>
            <w:vAlign w:val="center"/>
          </w:tcPr>
          <w:p>
            <w:pPr>
              <w:spacing w:line="240" w:lineRule="auto"/>
              <w:jc w:val="center"/>
              <w:rPr>
                <w:lang w:val="zh-CN"/>
              </w:rPr>
            </w:pPr>
            <w:r>
              <w:t>项目所在区域环境空气质量较好，201</w:t>
            </w:r>
            <w:r>
              <w:rPr>
                <w:rFonts w:hint="eastAsia"/>
                <w:lang w:val="en-US" w:eastAsia="zh-CN"/>
              </w:rPr>
              <w:t>8</w:t>
            </w:r>
            <w:r>
              <w:t>年除</w:t>
            </w:r>
            <w:r>
              <w:rPr>
                <w:bCs/>
              </w:rPr>
              <w:t>PM</w:t>
            </w:r>
            <w:r>
              <w:rPr>
                <w:bCs/>
                <w:vertAlign w:val="subscript"/>
              </w:rPr>
              <w:t>10</w:t>
            </w:r>
            <w:r>
              <w:rPr>
                <w:bCs/>
              </w:rPr>
              <w:t>、PM</w:t>
            </w:r>
            <w:r>
              <w:rPr>
                <w:bCs/>
                <w:vertAlign w:val="subscript"/>
              </w:rPr>
              <w:t>2.5</w:t>
            </w:r>
            <w:r>
              <w:rPr>
                <w:bCs/>
              </w:rPr>
              <w:t>年均统计浓度轻度超标外，其他基本污染物能够满足《环境空气质量标准》（GB3095-2012）及2018年修改单中二级标准限值要求</w:t>
            </w:r>
            <w:r>
              <w:rPr>
                <w:lang w:val="zh-CN"/>
              </w:rPr>
              <w:t>；项目所在地声环境能满足《声环境质量标准》（GB3096-2008）</w:t>
            </w:r>
            <w:r>
              <w:rPr>
                <w:rFonts w:hint="eastAsia"/>
                <w:lang w:val="en-US" w:eastAsia="zh-CN"/>
              </w:rPr>
              <w:t>3</w:t>
            </w:r>
            <w:r>
              <w:rPr>
                <w:lang w:val="zh-CN"/>
              </w:rPr>
              <w:t>类标准要求；地表水体水质满足《地表水环境质量标准》GB3838-2002中Ⅲ类标准</w:t>
            </w:r>
            <w:r>
              <w:rPr>
                <w:rFonts w:hint="eastAsia"/>
                <w:lang w:val="zh-CN"/>
              </w:rPr>
              <w:t>。</w:t>
            </w:r>
            <w:r>
              <w:rPr>
                <w:lang w:val="zh-CN"/>
              </w:rPr>
              <w:t>本项目污染物达标排放，对区域环境影响是可接受的，满足环境质量底线要求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745" w:type="dxa"/>
            <w:vAlign w:val="center"/>
          </w:tcPr>
          <w:p>
            <w:pPr>
              <w:spacing w:line="240" w:lineRule="auto"/>
              <w:jc w:val="center"/>
            </w:pPr>
            <w:r>
              <w:t>资源是环境的载体，资源利用上限是各地区能源、水、土地等资源消耗不得突破的“天花板”。相关规划环评应依据有关资源利用上限，对规划实施以及规划内项目的资源开发利用，区分不同行业，从能源资源开发等量或减量替代、开采方式和规模控制、利用效率和保护措施等方面提出建议，为规划编制和审批决策提供重要依据</w:t>
            </w:r>
          </w:p>
        </w:tc>
        <w:tc>
          <w:tcPr>
            <w:tcW w:w="4327" w:type="dxa"/>
            <w:vAlign w:val="center"/>
          </w:tcPr>
          <w:p>
            <w:pPr>
              <w:spacing w:line="240" w:lineRule="auto"/>
              <w:jc w:val="center"/>
            </w:pPr>
            <w:r>
              <w:rPr>
                <w:lang w:val="zh-CN"/>
              </w:rPr>
              <w:t>项目营运过程中消耗一定量的电能，水资源</w:t>
            </w:r>
            <w:r>
              <w:rPr>
                <w:rFonts w:hint="eastAsia"/>
                <w:lang w:val="zh-CN"/>
              </w:rPr>
              <w:t>；供热由集中供热提供蒸汽，</w:t>
            </w:r>
            <w:r>
              <w:rPr>
                <w:lang w:val="zh-CN"/>
              </w:rPr>
              <w:t>项目资源消耗量相对区域资源利用总量较少，符合资源利用上</w:t>
            </w:r>
            <w:r>
              <w:rPr>
                <w:rFonts w:hint="eastAsia"/>
                <w:lang w:val="zh-CN"/>
              </w:rPr>
              <w:t>线</w:t>
            </w:r>
            <w:r>
              <w:rPr>
                <w:lang w:val="zh-CN"/>
              </w:rPr>
              <w:t>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745" w:type="dxa"/>
            <w:vAlign w:val="center"/>
          </w:tcPr>
          <w:p>
            <w:pPr>
              <w:spacing w:line="240" w:lineRule="auto"/>
              <w:jc w:val="center"/>
              <w:rPr>
                <w:lang w:val="zh-CN"/>
              </w:rPr>
            </w:pPr>
            <w:r>
              <w:rPr>
                <w:lang w:val="zh-CN"/>
              </w:rPr>
              <w:t>环境准入负面清单是基于生态保护红线、环境质量底线、资源利用上限，以清单方式列出的精致、限值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4327" w:type="dxa"/>
            <w:vAlign w:val="center"/>
          </w:tcPr>
          <w:p>
            <w:pPr>
              <w:spacing w:line="240" w:lineRule="auto"/>
              <w:jc w:val="center"/>
              <w:rPr>
                <w:rFonts w:hint="eastAsia"/>
                <w:lang w:val="zh-CN"/>
              </w:rPr>
            </w:pPr>
            <w:r>
              <w:rPr>
                <w:rFonts w:hint="eastAsia"/>
                <w:lang w:val="zh-CN"/>
              </w:rPr>
              <w:t>根据投资协议书，本项目不属于禁</w:t>
            </w:r>
          </w:p>
          <w:p>
            <w:pPr>
              <w:spacing w:line="240" w:lineRule="auto"/>
              <w:jc w:val="center"/>
              <w:rPr>
                <w:rFonts w:hint="eastAsia"/>
                <w:lang w:val="zh-CN"/>
              </w:rPr>
            </w:pPr>
            <w:r>
              <w:rPr>
                <w:rFonts w:hint="eastAsia"/>
                <w:lang w:val="zh-CN"/>
              </w:rPr>
              <w:t>止入驻项目、不属于限制入驻项目。本项</w:t>
            </w:r>
          </w:p>
          <w:p>
            <w:pPr>
              <w:spacing w:line="240" w:lineRule="auto"/>
              <w:jc w:val="center"/>
              <w:rPr>
                <w:lang w:val="zh-CN"/>
              </w:rPr>
            </w:pPr>
            <w:r>
              <w:rPr>
                <w:rFonts w:hint="eastAsia"/>
                <w:lang w:val="zh-CN"/>
              </w:rPr>
              <w:t>目为服装制造，有较大的市场需求，发展前景广阔，满足入驻项目产业指导要求，亦不涉及环境准入负面清单</w:t>
            </w:r>
          </w:p>
        </w:tc>
      </w:tr>
    </w:tbl>
    <w:p>
      <w:pPr>
        <w:ind w:firstLine="480" w:firstLineChars="200"/>
        <w:rPr>
          <w:sz w:val="24"/>
          <w:szCs w:val="24"/>
        </w:rPr>
      </w:pPr>
      <w:r>
        <w:rPr>
          <w:sz w:val="24"/>
          <w:szCs w:val="24"/>
        </w:rPr>
        <w:t>从表中可知，本项目符合《关于以改善环境质量为核心加强环境影响评价管理的通知》（环环评[2016]150号）（简称三线一单）文件要求。</w:t>
      </w:r>
    </w:p>
    <w:p>
      <w:pPr>
        <w:pStyle w:val="5"/>
        <w:snapToGrid/>
        <w:rPr>
          <w:bCs w:val="0"/>
          <w:sz w:val="24"/>
          <w:szCs w:val="24"/>
        </w:rPr>
      </w:pPr>
      <w:bookmarkStart w:id="94" w:name="_Toc28383"/>
      <w:bookmarkStart w:id="95" w:name="_Toc30350_WPSOffice_Level2"/>
      <w:r>
        <w:rPr>
          <w:bCs w:val="0"/>
          <w:sz w:val="24"/>
          <w:szCs w:val="24"/>
        </w:rPr>
        <w:t>1.</w:t>
      </w:r>
      <w:r>
        <w:rPr>
          <w:rFonts w:hint="eastAsia"/>
          <w:bCs w:val="0"/>
          <w:sz w:val="24"/>
          <w:szCs w:val="24"/>
        </w:rPr>
        <w:t>7</w:t>
      </w:r>
      <w:r>
        <w:rPr>
          <w:bCs w:val="0"/>
          <w:sz w:val="24"/>
          <w:szCs w:val="24"/>
        </w:rPr>
        <w:t>环境影响识别及评价因子筛选</w:t>
      </w:r>
      <w:bookmarkEnd w:id="94"/>
      <w:bookmarkEnd w:id="95"/>
    </w:p>
    <w:p>
      <w:pPr>
        <w:ind w:firstLine="482" w:firstLineChars="200"/>
        <w:rPr>
          <w:b/>
          <w:sz w:val="24"/>
        </w:rPr>
      </w:pPr>
      <w:r>
        <w:rPr>
          <w:b/>
          <w:sz w:val="24"/>
        </w:rPr>
        <w:t>1.</w:t>
      </w:r>
      <w:r>
        <w:rPr>
          <w:rFonts w:hint="eastAsia"/>
          <w:b/>
          <w:sz w:val="24"/>
        </w:rPr>
        <w:t>7</w:t>
      </w:r>
      <w:r>
        <w:rPr>
          <w:b/>
          <w:sz w:val="24"/>
        </w:rPr>
        <w:t>.1</w:t>
      </w:r>
      <w:bookmarkStart w:id="96" w:name="_Toc324866609"/>
      <w:bookmarkStart w:id="97" w:name="_Toc313554291"/>
      <w:bookmarkStart w:id="98" w:name="_Toc260230025"/>
      <w:r>
        <w:rPr>
          <w:b/>
          <w:sz w:val="24"/>
        </w:rPr>
        <w:t>环境制约因素分析</w:t>
      </w:r>
      <w:bookmarkEnd w:id="96"/>
      <w:bookmarkEnd w:id="97"/>
      <w:bookmarkEnd w:id="98"/>
    </w:p>
    <w:p>
      <w:pPr>
        <w:ind w:firstLine="480" w:firstLineChars="200"/>
        <w:rPr>
          <w:sz w:val="24"/>
        </w:rPr>
      </w:pPr>
      <w:bookmarkStart w:id="99" w:name="_Toc260230026"/>
      <w:r>
        <w:rPr>
          <w:sz w:val="24"/>
        </w:rPr>
        <w:t>1、地表水环境制约因素</w:t>
      </w:r>
      <w:bookmarkEnd w:id="99"/>
    </w:p>
    <w:p>
      <w:pPr>
        <w:ind w:firstLine="480" w:firstLineChars="200"/>
        <w:rPr>
          <w:sz w:val="24"/>
        </w:rPr>
      </w:pPr>
      <w:r>
        <w:rPr>
          <w:sz w:val="24"/>
        </w:rPr>
        <w:t>本项目纳污水体</w:t>
      </w:r>
      <w:r>
        <w:rPr>
          <w:sz w:val="24"/>
          <w:highlight w:val="none"/>
        </w:rPr>
        <w:t>为</w:t>
      </w:r>
      <w:r>
        <w:rPr>
          <w:rFonts w:hint="eastAsia"/>
          <w:sz w:val="24"/>
          <w:highlight w:val="none"/>
          <w:lang w:eastAsia="zh-CN"/>
        </w:rPr>
        <w:t>淠河</w:t>
      </w:r>
      <w:r>
        <w:rPr>
          <w:color w:val="000000"/>
          <w:sz w:val="24"/>
          <w:highlight w:val="none"/>
        </w:rPr>
        <w:t>，根据</w:t>
      </w:r>
      <w:r>
        <w:rPr>
          <w:rFonts w:hint="eastAsia"/>
          <w:color w:val="000000"/>
          <w:sz w:val="24"/>
          <w:highlight w:val="none"/>
          <w:lang w:eastAsia="zh-CN"/>
        </w:rPr>
        <w:t>六安市环境监测站发布的例行监测评价结果</w:t>
      </w:r>
      <w:r>
        <w:rPr>
          <w:color w:val="000000"/>
          <w:sz w:val="24"/>
          <w:highlight w:val="none"/>
        </w:rPr>
        <w:t>可知，</w:t>
      </w:r>
      <w:r>
        <w:rPr>
          <w:rFonts w:hint="eastAsia"/>
          <w:color w:val="000000"/>
          <w:sz w:val="24"/>
          <w:highlight w:val="none"/>
          <w:lang w:eastAsia="zh-CN"/>
        </w:rPr>
        <w:t>淠河</w:t>
      </w:r>
      <w:r>
        <w:rPr>
          <w:sz w:val="24"/>
          <w:highlight w:val="none"/>
        </w:rPr>
        <w:t>能够满足区域地表水环境功能区划。</w:t>
      </w:r>
      <w:r>
        <w:rPr>
          <w:sz w:val="24"/>
        </w:rPr>
        <w:t>项目产生的</w:t>
      </w:r>
      <w:r>
        <w:rPr>
          <w:rFonts w:hint="eastAsia"/>
          <w:color w:val="auto"/>
          <w:sz w:val="24"/>
          <w:szCs w:val="24"/>
          <w:highlight w:val="none"/>
          <w:lang w:val="zh-CN"/>
        </w:rPr>
        <w:t>生产废水</w:t>
      </w:r>
      <w:r>
        <w:rPr>
          <w:color w:val="auto"/>
          <w:sz w:val="24"/>
          <w:szCs w:val="24"/>
          <w:highlight w:val="none"/>
          <w:lang w:val="zh-CN"/>
        </w:rPr>
        <w:t>经自建污水站处理达标后</w:t>
      </w:r>
      <w:r>
        <w:rPr>
          <w:rFonts w:hint="eastAsia"/>
          <w:color w:val="auto"/>
          <w:sz w:val="24"/>
          <w:szCs w:val="24"/>
          <w:highlight w:val="none"/>
          <w:lang w:val="zh-CN"/>
        </w:rPr>
        <w:t>汇同经隔油池和化粪池预处理后的生活污水经市政污水管网排入城北污水处理厂</w:t>
      </w:r>
      <w:r>
        <w:rPr>
          <w:sz w:val="24"/>
        </w:rPr>
        <w:t>，项目产生的废水均做到处理达标外排，对地表水环境质量影响是可接受的。因此地表水环境质量对该项目制约程度较小。</w:t>
      </w:r>
    </w:p>
    <w:p>
      <w:pPr>
        <w:ind w:firstLine="480" w:firstLineChars="200"/>
        <w:rPr>
          <w:sz w:val="24"/>
        </w:rPr>
      </w:pPr>
      <w:bookmarkStart w:id="100" w:name="_Toc260230027"/>
      <w:r>
        <w:rPr>
          <w:sz w:val="24"/>
        </w:rPr>
        <w:t>2、大气环境制约因素</w:t>
      </w:r>
      <w:bookmarkEnd w:id="100"/>
    </w:p>
    <w:p>
      <w:pPr>
        <w:ind w:firstLine="480" w:firstLineChars="200"/>
        <w:rPr>
          <w:sz w:val="24"/>
        </w:rPr>
      </w:pPr>
      <w:r>
        <w:rPr>
          <w:sz w:val="24"/>
        </w:rPr>
        <w:t>通过</w:t>
      </w:r>
      <w:r>
        <w:rPr>
          <w:rFonts w:hint="eastAsia"/>
          <w:sz w:val="24"/>
          <w:lang w:eastAsia="zh-CN"/>
        </w:rPr>
        <w:t>六</w:t>
      </w:r>
      <w:r>
        <w:rPr>
          <w:rFonts w:hint="eastAsia"/>
          <w:sz w:val="24"/>
          <w:highlight w:val="none"/>
          <w:lang w:eastAsia="zh-CN"/>
        </w:rPr>
        <w:t>安市</w:t>
      </w:r>
      <w:r>
        <w:rPr>
          <w:sz w:val="24"/>
          <w:highlight w:val="none"/>
        </w:rPr>
        <w:t>20</w:t>
      </w:r>
      <w:r>
        <w:rPr>
          <w:rFonts w:hint="eastAsia"/>
          <w:sz w:val="24"/>
          <w:highlight w:val="none"/>
          <w:lang w:val="en-US" w:eastAsia="zh-CN"/>
        </w:rPr>
        <w:t>18</w:t>
      </w:r>
      <w:r>
        <w:rPr>
          <w:sz w:val="24"/>
          <w:highlight w:val="none"/>
        </w:rPr>
        <w:t>年质量公报数据可知，项目区域环境空气质量属于不达标区。该建设项目主要为</w:t>
      </w:r>
      <w:r>
        <w:rPr>
          <w:rFonts w:hint="eastAsia"/>
          <w:sz w:val="24"/>
          <w:highlight w:val="none"/>
          <w:lang w:eastAsia="zh-CN"/>
        </w:rPr>
        <w:t>污水处理站</w:t>
      </w:r>
      <w:r>
        <w:rPr>
          <w:sz w:val="24"/>
          <w:highlight w:val="none"/>
        </w:rPr>
        <w:t>恶臭</w:t>
      </w:r>
      <w:r>
        <w:rPr>
          <w:rFonts w:hint="eastAsia"/>
          <w:sz w:val="24"/>
          <w:highlight w:val="none"/>
          <w:lang w:eastAsia="zh-CN"/>
        </w:rPr>
        <w:t>和食堂油烟</w:t>
      </w:r>
      <w:r>
        <w:rPr>
          <w:sz w:val="24"/>
          <w:highlight w:val="none"/>
        </w:rPr>
        <w:t>，排</w:t>
      </w:r>
      <w:r>
        <w:rPr>
          <w:sz w:val="24"/>
        </w:rPr>
        <w:t>放量较小，在采取相应措施后均能做到达标外排，对区域大气环境影响是可接受的。因此环境空气质量对该项目制约程度较小。</w:t>
      </w:r>
    </w:p>
    <w:p>
      <w:pPr>
        <w:ind w:firstLine="480" w:firstLineChars="200"/>
        <w:rPr>
          <w:sz w:val="24"/>
        </w:rPr>
      </w:pPr>
      <w:bookmarkStart w:id="101" w:name="_Toc260230028"/>
      <w:r>
        <w:rPr>
          <w:sz w:val="24"/>
        </w:rPr>
        <w:t>3、声环境制约因素</w:t>
      </w:r>
      <w:bookmarkEnd w:id="101"/>
    </w:p>
    <w:p>
      <w:pPr>
        <w:ind w:firstLine="480" w:firstLineChars="200"/>
        <w:rPr>
          <w:sz w:val="24"/>
        </w:rPr>
      </w:pPr>
      <w:r>
        <w:rPr>
          <w:sz w:val="24"/>
        </w:rPr>
        <w:t>根据安徽</w:t>
      </w:r>
      <w:r>
        <w:rPr>
          <w:rFonts w:hint="eastAsia"/>
          <w:sz w:val="24"/>
          <w:lang w:eastAsia="zh-CN"/>
        </w:rPr>
        <w:t>川达检测科技</w:t>
      </w:r>
      <w:r>
        <w:rPr>
          <w:sz w:val="24"/>
        </w:rPr>
        <w:t>有限公司对项目所在地声环境质量现状监测表明，区域均满足《声环境质量标准》（GB3096-2008）中</w:t>
      </w:r>
      <w:r>
        <w:rPr>
          <w:rFonts w:hint="eastAsia"/>
          <w:sz w:val="24"/>
          <w:lang w:val="en-US" w:eastAsia="zh-CN"/>
        </w:rPr>
        <w:t>3</w:t>
      </w:r>
      <w:r>
        <w:rPr>
          <w:sz w:val="24"/>
        </w:rPr>
        <w:t>类标准要求。项目实施前后对区域声环境质量影响较小。因此区域声环境对该项目制约程度较小。</w:t>
      </w:r>
    </w:p>
    <w:p>
      <w:pPr>
        <w:ind w:firstLine="480" w:firstLineChars="200"/>
        <w:rPr>
          <w:sz w:val="24"/>
        </w:rPr>
      </w:pPr>
      <w:bookmarkStart w:id="102" w:name="_Toc260230029"/>
      <w:r>
        <w:rPr>
          <w:sz w:val="24"/>
        </w:rPr>
        <w:t>4、固体废弃物环境制约因素</w:t>
      </w:r>
      <w:bookmarkEnd w:id="102"/>
    </w:p>
    <w:p>
      <w:pPr>
        <w:ind w:firstLine="480" w:firstLineChars="200"/>
        <w:rPr>
          <w:sz w:val="24"/>
        </w:rPr>
      </w:pPr>
      <w:r>
        <w:rPr>
          <w:sz w:val="24"/>
        </w:rPr>
        <w:t>本项目一般工业固废分类收集后资源利用，生活垃圾由环卫部门统一处理，各类固废经分类收集后，均将得到妥善处置，对环境不会造成明显影响。因此固体废弃物的处置对该项目的制约程度较小。</w:t>
      </w:r>
    </w:p>
    <w:p>
      <w:pPr>
        <w:ind w:firstLine="480" w:firstLineChars="200"/>
        <w:rPr>
          <w:sz w:val="24"/>
        </w:rPr>
      </w:pPr>
      <w:bookmarkStart w:id="103" w:name="_Toc260230030"/>
      <w:r>
        <w:rPr>
          <w:sz w:val="24"/>
        </w:rPr>
        <w:t>5、其他制约因素</w:t>
      </w:r>
      <w:bookmarkEnd w:id="103"/>
    </w:p>
    <w:p>
      <w:pPr>
        <w:ind w:firstLine="480" w:firstLineChars="200"/>
        <w:rPr>
          <w:sz w:val="24"/>
        </w:rPr>
      </w:pPr>
      <w:r>
        <w:rPr>
          <w:sz w:val="24"/>
        </w:rPr>
        <w:t>项目评价区内无自然保护区、风景名胜区、珍稀动植物资源保护区等特殊制约因素；工程用地在规划的</w:t>
      </w:r>
      <w:r>
        <w:rPr>
          <w:rFonts w:hint="eastAsia"/>
          <w:sz w:val="24"/>
        </w:rPr>
        <w:t>建设</w:t>
      </w:r>
      <w:r>
        <w:rPr>
          <w:sz w:val="24"/>
        </w:rPr>
        <w:t>用地内，土地资源对其制约因素较小；所处区域对外交通、供水、供电、通讯等基础设施较完善，因此项目区域基础设施和公共设施对该项目建设制约作用较小。</w:t>
      </w:r>
    </w:p>
    <w:p>
      <w:pPr>
        <w:ind w:firstLine="482" w:firstLineChars="200"/>
        <w:rPr>
          <w:b/>
          <w:sz w:val="24"/>
        </w:rPr>
      </w:pPr>
      <w:bookmarkStart w:id="104" w:name="_Toc324866610"/>
      <w:bookmarkStart w:id="105" w:name="_Toc313554292"/>
      <w:bookmarkStart w:id="106" w:name="_Toc260230031"/>
      <w:r>
        <w:rPr>
          <w:b/>
          <w:sz w:val="24"/>
        </w:rPr>
        <w:t>1.</w:t>
      </w:r>
      <w:r>
        <w:rPr>
          <w:rFonts w:hint="eastAsia"/>
          <w:b/>
          <w:sz w:val="24"/>
        </w:rPr>
        <w:t>7</w:t>
      </w:r>
      <w:r>
        <w:rPr>
          <w:b/>
          <w:sz w:val="24"/>
        </w:rPr>
        <w:t>.2环境影响因素分析</w:t>
      </w:r>
      <w:bookmarkEnd w:id="104"/>
      <w:bookmarkEnd w:id="105"/>
      <w:bookmarkEnd w:id="106"/>
    </w:p>
    <w:p>
      <w:pPr>
        <w:ind w:firstLine="480" w:firstLineChars="200"/>
        <w:rPr>
          <w:sz w:val="24"/>
        </w:rPr>
      </w:pPr>
      <w:bookmarkStart w:id="107" w:name="_Toc260230032"/>
      <w:r>
        <w:rPr>
          <w:sz w:val="24"/>
        </w:rPr>
        <w:t>1、自然环境</w:t>
      </w:r>
      <w:bookmarkEnd w:id="10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sz w:val="24"/>
        </w:rPr>
        <w:t>项目施工期对区域自然环境的影响因素主要为施工队伍排放的少量生活污水；“三材”运输产生交通噪声及道路扬尘对声环境和环境空气的影响；施工过程中的施工机械产生的噪声对声环境的影响，施工扬尘和散状物堆场的扬尘对环境空气的影响。以上因素对地表水环境和环境空气的影响程度和范围均较小，对声环境的影响程度相对较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sz w:val="24"/>
          <w:lang w:eastAsia="zh-CN"/>
        </w:rPr>
        <w:t>六安凯旭服饰有限公司年产150万件职工编制生产线项目</w:t>
      </w:r>
      <w:r>
        <w:rPr>
          <w:sz w:val="24"/>
        </w:rPr>
        <w:t>建成并投入营运后，对区域自然环境的影响因素主要为废水排放对地表水体的影响；生产设备运行过程中声环境对外界的影响；职工产生生活垃圾和一般固废对环境的影响。项目产生的</w:t>
      </w:r>
      <w:r>
        <w:rPr>
          <w:rFonts w:hint="eastAsia"/>
          <w:color w:val="auto"/>
          <w:sz w:val="24"/>
          <w:szCs w:val="24"/>
          <w:highlight w:val="none"/>
          <w:lang w:val="zh-CN"/>
        </w:rPr>
        <w:t>生产废水</w:t>
      </w:r>
      <w:r>
        <w:rPr>
          <w:color w:val="auto"/>
          <w:sz w:val="24"/>
          <w:szCs w:val="24"/>
          <w:highlight w:val="none"/>
          <w:lang w:val="zh-CN"/>
        </w:rPr>
        <w:t>经自建污水站处理达标后</w:t>
      </w:r>
      <w:r>
        <w:rPr>
          <w:rFonts w:hint="eastAsia"/>
          <w:color w:val="auto"/>
          <w:sz w:val="24"/>
          <w:szCs w:val="24"/>
          <w:highlight w:val="none"/>
          <w:lang w:val="zh-CN"/>
        </w:rPr>
        <w:t>汇同经隔油池和化粪池预处理后的生活污水经市政污水管网排入城北污水处理厂</w:t>
      </w:r>
      <w:r>
        <w:rPr>
          <w:sz w:val="24"/>
        </w:rPr>
        <w:t>，项目产生的废水均做到处理达标外排，因此对地表水环境的影响是可接受的；项目投入营运后生产设备不会明显造成噪声对区域声环境的影响；生活垃统一运送至环卫部门统一处理，一般固废分类收集后均得到妥善处理，不会对周围环境造成明显的不利影响。</w:t>
      </w:r>
    </w:p>
    <w:p>
      <w:pPr>
        <w:spacing w:line="480" w:lineRule="exact"/>
        <w:ind w:firstLine="480" w:firstLineChars="200"/>
        <w:rPr>
          <w:sz w:val="24"/>
        </w:rPr>
      </w:pPr>
      <w:bookmarkStart w:id="108" w:name="_Toc260230033"/>
      <w:r>
        <w:rPr>
          <w:sz w:val="24"/>
        </w:rPr>
        <w:t>2、社会环境</w:t>
      </w:r>
      <w:bookmarkEnd w:id="108"/>
    </w:p>
    <w:p>
      <w:pPr>
        <w:spacing w:line="480" w:lineRule="exact"/>
        <w:ind w:firstLine="480" w:firstLineChars="200"/>
        <w:rPr>
          <w:sz w:val="24"/>
        </w:rPr>
      </w:pPr>
      <w:r>
        <w:rPr>
          <w:sz w:val="24"/>
        </w:rPr>
        <w:t>项目的建设将进一步推动地区</w:t>
      </w:r>
      <w:r>
        <w:rPr>
          <w:rFonts w:hint="eastAsia"/>
          <w:sz w:val="24"/>
          <w:lang w:eastAsia="zh-CN"/>
        </w:rPr>
        <w:t>服装生产</w:t>
      </w:r>
      <w:r>
        <w:rPr>
          <w:sz w:val="24"/>
        </w:rPr>
        <w:t>事业的发展，提高</w:t>
      </w:r>
      <w:r>
        <w:rPr>
          <w:rFonts w:hint="eastAsia"/>
          <w:sz w:val="24"/>
          <w:lang w:eastAsia="zh-CN"/>
        </w:rPr>
        <w:t>服装产业发展和对外销售</w:t>
      </w:r>
      <w:r>
        <w:rPr>
          <w:sz w:val="24"/>
          <w:szCs w:val="24"/>
        </w:rPr>
        <w:t>能力</w:t>
      </w:r>
      <w:r>
        <w:rPr>
          <w:sz w:val="24"/>
        </w:rPr>
        <w:t>。因此，该项目的建设对促进社会和经济的和谐发展、改善当地居民就业等方面具有积极的推动作用。</w:t>
      </w:r>
    </w:p>
    <w:p>
      <w:pPr>
        <w:tabs>
          <w:tab w:val="left" w:pos="690"/>
        </w:tabs>
        <w:spacing w:line="480" w:lineRule="exact"/>
        <w:ind w:firstLine="480"/>
        <w:rPr>
          <w:sz w:val="24"/>
        </w:rPr>
      </w:pPr>
      <w:r>
        <w:rPr>
          <w:sz w:val="24"/>
        </w:rPr>
        <w:t>本项目建设对各环境要素的影响初步分析结果见表1</w:t>
      </w:r>
      <w:r>
        <w:rPr>
          <w:rFonts w:hint="eastAsia"/>
          <w:sz w:val="24"/>
          <w:lang w:val="en-US" w:eastAsia="zh-CN"/>
        </w:rPr>
        <w:t>.7</w:t>
      </w:r>
      <w:r>
        <w:rPr>
          <w:sz w:val="24"/>
        </w:rPr>
        <w:t>-1。</w:t>
      </w:r>
    </w:p>
    <w:p>
      <w:pPr>
        <w:spacing w:line="480" w:lineRule="exact"/>
        <w:jc w:val="center"/>
        <w:rPr>
          <w:b/>
          <w:sz w:val="24"/>
        </w:rPr>
      </w:pPr>
      <w:r>
        <w:rPr>
          <w:b/>
          <w:sz w:val="24"/>
        </w:rPr>
        <w:t>表1</w:t>
      </w:r>
      <w:r>
        <w:rPr>
          <w:rFonts w:hint="eastAsia"/>
          <w:b/>
          <w:sz w:val="24"/>
          <w:lang w:val="en-US" w:eastAsia="zh-CN"/>
        </w:rPr>
        <w:t>.</w:t>
      </w:r>
      <w:r>
        <w:rPr>
          <w:rFonts w:hint="eastAsia"/>
          <w:b/>
          <w:sz w:val="24"/>
        </w:rPr>
        <w:t>7</w:t>
      </w:r>
      <w:r>
        <w:rPr>
          <w:b/>
          <w:sz w:val="24"/>
        </w:rPr>
        <w:t>-1 环境影响分析结果</w:t>
      </w:r>
    </w:p>
    <w:tbl>
      <w:tblPr>
        <w:tblStyle w:val="22"/>
        <w:tblW w:w="872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32"/>
        <w:gridCol w:w="2599"/>
        <w:gridCol w:w="2363"/>
        <w:gridCol w:w="23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4031" w:type="dxa"/>
            <w:gridSpan w:val="2"/>
            <w:tcBorders>
              <w:tl2br w:val="nil"/>
              <w:tr2bl w:val="nil"/>
            </w:tcBorders>
            <w:vAlign w:val="center"/>
          </w:tcPr>
          <w:p>
            <w:pPr>
              <w:spacing w:line="240" w:lineRule="auto"/>
              <w:jc w:val="center"/>
            </w:pPr>
            <w:r>
              <w:t>环境要素</w:t>
            </w:r>
          </w:p>
        </w:tc>
        <w:tc>
          <w:tcPr>
            <w:tcW w:w="2363" w:type="dxa"/>
            <w:tcBorders>
              <w:tl2br w:val="nil"/>
              <w:tr2bl w:val="nil"/>
            </w:tcBorders>
            <w:vAlign w:val="center"/>
          </w:tcPr>
          <w:p>
            <w:pPr>
              <w:spacing w:line="240" w:lineRule="auto"/>
              <w:jc w:val="center"/>
            </w:pPr>
            <w:r>
              <w:t>施工期</w:t>
            </w:r>
          </w:p>
        </w:tc>
        <w:tc>
          <w:tcPr>
            <w:tcW w:w="2326" w:type="dxa"/>
            <w:tcBorders>
              <w:tl2br w:val="nil"/>
              <w:tr2bl w:val="nil"/>
            </w:tcBorders>
            <w:vAlign w:val="center"/>
          </w:tcPr>
          <w:p>
            <w:pPr>
              <w:spacing w:line="240" w:lineRule="auto"/>
              <w:jc w:val="center"/>
            </w:pPr>
            <w:r>
              <w:t>营运期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432" w:type="dxa"/>
            <w:vMerge w:val="restart"/>
            <w:tcBorders>
              <w:tl2br w:val="nil"/>
              <w:tr2bl w:val="nil"/>
            </w:tcBorders>
            <w:vAlign w:val="center"/>
          </w:tcPr>
          <w:p>
            <w:pPr>
              <w:spacing w:line="240" w:lineRule="auto"/>
              <w:jc w:val="center"/>
            </w:pPr>
            <w:r>
              <w:t>自然环境</w:t>
            </w:r>
          </w:p>
        </w:tc>
        <w:tc>
          <w:tcPr>
            <w:tcW w:w="2599" w:type="dxa"/>
            <w:tcBorders>
              <w:tl2br w:val="nil"/>
              <w:tr2bl w:val="nil"/>
            </w:tcBorders>
            <w:vAlign w:val="center"/>
          </w:tcPr>
          <w:p>
            <w:pPr>
              <w:spacing w:line="240" w:lineRule="auto"/>
              <w:jc w:val="center"/>
            </w:pPr>
            <w:r>
              <w:t>地表水环境</w:t>
            </w:r>
          </w:p>
        </w:tc>
        <w:tc>
          <w:tcPr>
            <w:tcW w:w="2363" w:type="dxa"/>
            <w:tcBorders>
              <w:tl2br w:val="nil"/>
              <w:tr2bl w:val="nil"/>
            </w:tcBorders>
            <w:vAlign w:val="center"/>
          </w:tcPr>
          <w:p>
            <w:pPr>
              <w:spacing w:line="240" w:lineRule="auto"/>
              <w:jc w:val="center"/>
            </w:pPr>
            <w:r>
              <w:t>–1</w:t>
            </w:r>
          </w:p>
        </w:tc>
        <w:tc>
          <w:tcPr>
            <w:tcW w:w="2326" w:type="dxa"/>
            <w:tcBorders>
              <w:tl2br w:val="nil"/>
              <w:tr2bl w:val="nil"/>
            </w:tcBorders>
            <w:vAlign w:val="center"/>
          </w:tcPr>
          <w:p>
            <w:pPr>
              <w:spacing w:line="240" w:lineRule="auto"/>
              <w:jc w:val="center"/>
            </w:pPr>
            <w: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432" w:type="dxa"/>
            <w:vMerge w:val="continue"/>
            <w:tcBorders>
              <w:tl2br w:val="nil"/>
              <w:tr2bl w:val="nil"/>
            </w:tcBorders>
            <w:vAlign w:val="center"/>
          </w:tcPr>
          <w:p>
            <w:pPr>
              <w:spacing w:line="240" w:lineRule="auto"/>
              <w:jc w:val="center"/>
            </w:pPr>
          </w:p>
        </w:tc>
        <w:tc>
          <w:tcPr>
            <w:tcW w:w="2599" w:type="dxa"/>
            <w:tcBorders>
              <w:tl2br w:val="nil"/>
              <w:tr2bl w:val="nil"/>
            </w:tcBorders>
            <w:vAlign w:val="center"/>
          </w:tcPr>
          <w:p>
            <w:pPr>
              <w:spacing w:line="240" w:lineRule="auto"/>
              <w:jc w:val="center"/>
            </w:pPr>
            <w:r>
              <w:t>空气环境</w:t>
            </w:r>
          </w:p>
        </w:tc>
        <w:tc>
          <w:tcPr>
            <w:tcW w:w="2363" w:type="dxa"/>
            <w:tcBorders>
              <w:tl2br w:val="nil"/>
              <w:tr2bl w:val="nil"/>
            </w:tcBorders>
            <w:vAlign w:val="center"/>
          </w:tcPr>
          <w:p>
            <w:pPr>
              <w:spacing w:line="240" w:lineRule="auto"/>
              <w:jc w:val="center"/>
            </w:pPr>
            <w:r>
              <w:t>–1</w:t>
            </w:r>
          </w:p>
        </w:tc>
        <w:tc>
          <w:tcPr>
            <w:tcW w:w="2326" w:type="dxa"/>
            <w:tcBorders>
              <w:tl2br w:val="nil"/>
              <w:tr2bl w:val="nil"/>
            </w:tcBorders>
            <w:vAlign w:val="center"/>
          </w:tcPr>
          <w:p>
            <w:pPr>
              <w:spacing w:line="240" w:lineRule="auto"/>
              <w:jc w:val="center"/>
            </w:pP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432" w:type="dxa"/>
            <w:vMerge w:val="continue"/>
            <w:tcBorders>
              <w:tl2br w:val="nil"/>
              <w:tr2bl w:val="nil"/>
            </w:tcBorders>
            <w:vAlign w:val="center"/>
          </w:tcPr>
          <w:p>
            <w:pPr>
              <w:spacing w:line="240" w:lineRule="auto"/>
              <w:jc w:val="center"/>
            </w:pPr>
          </w:p>
        </w:tc>
        <w:tc>
          <w:tcPr>
            <w:tcW w:w="2599" w:type="dxa"/>
            <w:tcBorders>
              <w:tl2br w:val="nil"/>
              <w:tr2bl w:val="nil"/>
            </w:tcBorders>
            <w:vAlign w:val="center"/>
          </w:tcPr>
          <w:p>
            <w:pPr>
              <w:spacing w:line="240" w:lineRule="auto"/>
              <w:jc w:val="center"/>
            </w:pPr>
            <w:r>
              <w:t>声环境</w:t>
            </w:r>
          </w:p>
        </w:tc>
        <w:tc>
          <w:tcPr>
            <w:tcW w:w="2363" w:type="dxa"/>
            <w:tcBorders>
              <w:tl2br w:val="nil"/>
              <w:tr2bl w:val="nil"/>
            </w:tcBorders>
            <w:vAlign w:val="center"/>
          </w:tcPr>
          <w:p>
            <w:pPr>
              <w:spacing w:line="240" w:lineRule="auto"/>
              <w:jc w:val="center"/>
            </w:pPr>
            <w:r>
              <w:t>–2</w:t>
            </w:r>
          </w:p>
        </w:tc>
        <w:tc>
          <w:tcPr>
            <w:tcW w:w="2326" w:type="dxa"/>
            <w:tcBorders>
              <w:tl2br w:val="nil"/>
              <w:tr2bl w:val="nil"/>
            </w:tcBorders>
            <w:vAlign w:val="center"/>
          </w:tcPr>
          <w:p>
            <w:pPr>
              <w:spacing w:line="240" w:lineRule="auto"/>
              <w:jc w:val="center"/>
            </w:pP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432" w:type="dxa"/>
            <w:vMerge w:val="restart"/>
            <w:tcBorders>
              <w:tl2br w:val="nil"/>
              <w:tr2bl w:val="nil"/>
            </w:tcBorders>
            <w:vAlign w:val="center"/>
          </w:tcPr>
          <w:p>
            <w:pPr>
              <w:spacing w:line="240" w:lineRule="auto"/>
              <w:jc w:val="center"/>
            </w:pPr>
            <w:r>
              <w:t>社会环境</w:t>
            </w:r>
          </w:p>
        </w:tc>
        <w:tc>
          <w:tcPr>
            <w:tcW w:w="2599" w:type="dxa"/>
            <w:tcBorders>
              <w:tl2br w:val="nil"/>
              <w:tr2bl w:val="nil"/>
            </w:tcBorders>
            <w:vAlign w:val="center"/>
          </w:tcPr>
          <w:p>
            <w:pPr>
              <w:spacing w:line="240" w:lineRule="auto"/>
              <w:jc w:val="center"/>
            </w:pPr>
            <w:r>
              <w:t>生活质量</w:t>
            </w:r>
          </w:p>
        </w:tc>
        <w:tc>
          <w:tcPr>
            <w:tcW w:w="2363" w:type="dxa"/>
            <w:tcBorders>
              <w:tl2br w:val="nil"/>
              <w:tr2bl w:val="nil"/>
            </w:tcBorders>
            <w:vAlign w:val="center"/>
          </w:tcPr>
          <w:p>
            <w:pPr>
              <w:spacing w:line="240" w:lineRule="auto"/>
              <w:jc w:val="center"/>
            </w:pPr>
            <w:r>
              <w:t>–1</w:t>
            </w:r>
          </w:p>
        </w:tc>
        <w:tc>
          <w:tcPr>
            <w:tcW w:w="2326" w:type="dxa"/>
            <w:tcBorders>
              <w:tl2br w:val="nil"/>
              <w:tr2bl w:val="nil"/>
            </w:tcBorders>
            <w:vAlign w:val="center"/>
          </w:tcPr>
          <w:p>
            <w:pPr>
              <w:spacing w:line="240" w:lineRule="auto"/>
              <w:jc w:val="center"/>
            </w:pPr>
            <w: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432" w:type="dxa"/>
            <w:vMerge w:val="continue"/>
            <w:tcBorders>
              <w:tl2br w:val="nil"/>
              <w:tr2bl w:val="nil"/>
            </w:tcBorders>
            <w:vAlign w:val="center"/>
          </w:tcPr>
          <w:p>
            <w:pPr>
              <w:spacing w:line="240" w:lineRule="auto"/>
              <w:jc w:val="center"/>
            </w:pPr>
          </w:p>
        </w:tc>
        <w:tc>
          <w:tcPr>
            <w:tcW w:w="2599" w:type="dxa"/>
            <w:tcBorders>
              <w:tl2br w:val="nil"/>
              <w:tr2bl w:val="nil"/>
            </w:tcBorders>
            <w:vAlign w:val="center"/>
          </w:tcPr>
          <w:p>
            <w:pPr>
              <w:spacing w:line="240" w:lineRule="auto"/>
              <w:jc w:val="center"/>
            </w:pPr>
            <w:r>
              <w:t>经济发展</w:t>
            </w:r>
          </w:p>
        </w:tc>
        <w:tc>
          <w:tcPr>
            <w:tcW w:w="2363" w:type="dxa"/>
            <w:tcBorders>
              <w:tl2br w:val="nil"/>
              <w:tr2bl w:val="nil"/>
            </w:tcBorders>
            <w:vAlign w:val="center"/>
          </w:tcPr>
          <w:p>
            <w:pPr>
              <w:spacing w:line="240" w:lineRule="auto"/>
              <w:jc w:val="center"/>
            </w:pPr>
            <w:r>
              <w:t>+1</w:t>
            </w:r>
          </w:p>
        </w:tc>
        <w:tc>
          <w:tcPr>
            <w:tcW w:w="2326" w:type="dxa"/>
            <w:tcBorders>
              <w:tl2br w:val="nil"/>
              <w:tr2bl w:val="nil"/>
            </w:tcBorders>
            <w:vAlign w:val="center"/>
          </w:tcPr>
          <w:p>
            <w:pPr>
              <w:spacing w:line="240" w:lineRule="auto"/>
              <w:jc w:val="center"/>
            </w:pPr>
            <w: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432" w:type="dxa"/>
            <w:vMerge w:val="continue"/>
            <w:tcBorders>
              <w:tl2br w:val="nil"/>
              <w:tr2bl w:val="nil"/>
            </w:tcBorders>
            <w:vAlign w:val="center"/>
          </w:tcPr>
          <w:p>
            <w:pPr>
              <w:spacing w:line="240" w:lineRule="auto"/>
              <w:jc w:val="center"/>
            </w:pPr>
          </w:p>
        </w:tc>
        <w:tc>
          <w:tcPr>
            <w:tcW w:w="2599" w:type="dxa"/>
            <w:tcBorders>
              <w:tl2br w:val="nil"/>
              <w:tr2bl w:val="nil"/>
            </w:tcBorders>
            <w:vAlign w:val="center"/>
          </w:tcPr>
          <w:p>
            <w:pPr>
              <w:spacing w:line="240" w:lineRule="auto"/>
              <w:jc w:val="center"/>
            </w:pPr>
            <w:r>
              <w:t>基础设施</w:t>
            </w:r>
          </w:p>
        </w:tc>
        <w:tc>
          <w:tcPr>
            <w:tcW w:w="2363" w:type="dxa"/>
            <w:tcBorders>
              <w:tl2br w:val="nil"/>
              <w:tr2bl w:val="nil"/>
            </w:tcBorders>
            <w:vAlign w:val="center"/>
          </w:tcPr>
          <w:p>
            <w:pPr>
              <w:spacing w:line="240" w:lineRule="auto"/>
              <w:jc w:val="center"/>
            </w:pPr>
            <w:r>
              <w:t>+1</w:t>
            </w:r>
          </w:p>
        </w:tc>
        <w:tc>
          <w:tcPr>
            <w:tcW w:w="2326" w:type="dxa"/>
            <w:tcBorders>
              <w:tl2br w:val="nil"/>
              <w:tr2bl w:val="nil"/>
            </w:tcBorders>
            <w:vAlign w:val="center"/>
          </w:tcPr>
          <w:p>
            <w:pPr>
              <w:spacing w:line="240" w:lineRule="auto"/>
              <w:jc w:val="center"/>
            </w:pPr>
            <w: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432" w:type="dxa"/>
            <w:vMerge w:val="continue"/>
            <w:tcBorders>
              <w:tl2br w:val="nil"/>
              <w:tr2bl w:val="nil"/>
            </w:tcBorders>
            <w:vAlign w:val="center"/>
          </w:tcPr>
          <w:p>
            <w:pPr>
              <w:spacing w:line="240" w:lineRule="auto"/>
              <w:jc w:val="center"/>
            </w:pPr>
          </w:p>
        </w:tc>
        <w:tc>
          <w:tcPr>
            <w:tcW w:w="2599" w:type="dxa"/>
            <w:tcBorders>
              <w:tl2br w:val="nil"/>
              <w:tr2bl w:val="nil"/>
            </w:tcBorders>
            <w:vAlign w:val="center"/>
          </w:tcPr>
          <w:p>
            <w:pPr>
              <w:spacing w:line="240" w:lineRule="auto"/>
              <w:jc w:val="center"/>
            </w:pPr>
            <w:r>
              <w:t>地区发展</w:t>
            </w:r>
          </w:p>
        </w:tc>
        <w:tc>
          <w:tcPr>
            <w:tcW w:w="2363" w:type="dxa"/>
            <w:tcBorders>
              <w:tl2br w:val="nil"/>
              <w:tr2bl w:val="nil"/>
            </w:tcBorders>
            <w:vAlign w:val="center"/>
          </w:tcPr>
          <w:p>
            <w:pPr>
              <w:spacing w:line="240" w:lineRule="auto"/>
              <w:jc w:val="center"/>
            </w:pPr>
            <w:r>
              <w:t>+1</w:t>
            </w:r>
          </w:p>
        </w:tc>
        <w:tc>
          <w:tcPr>
            <w:tcW w:w="2326" w:type="dxa"/>
            <w:tcBorders>
              <w:tl2br w:val="nil"/>
              <w:tr2bl w:val="nil"/>
            </w:tcBorders>
            <w:vAlign w:val="center"/>
          </w:tcPr>
          <w:p>
            <w:pPr>
              <w:spacing w:line="240" w:lineRule="auto"/>
              <w:jc w:val="center"/>
            </w:pPr>
            <w: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1432" w:type="dxa"/>
            <w:vMerge w:val="continue"/>
            <w:tcBorders>
              <w:tl2br w:val="nil"/>
              <w:tr2bl w:val="nil"/>
            </w:tcBorders>
            <w:vAlign w:val="center"/>
          </w:tcPr>
          <w:p>
            <w:pPr>
              <w:spacing w:line="240" w:lineRule="auto"/>
              <w:jc w:val="center"/>
            </w:pPr>
          </w:p>
        </w:tc>
        <w:tc>
          <w:tcPr>
            <w:tcW w:w="2599" w:type="dxa"/>
            <w:tcBorders>
              <w:tl2br w:val="nil"/>
              <w:tr2bl w:val="nil"/>
            </w:tcBorders>
            <w:vAlign w:val="center"/>
          </w:tcPr>
          <w:p>
            <w:pPr>
              <w:spacing w:line="240" w:lineRule="auto"/>
              <w:jc w:val="center"/>
            </w:pPr>
            <w:r>
              <w:t>第三产业</w:t>
            </w:r>
          </w:p>
        </w:tc>
        <w:tc>
          <w:tcPr>
            <w:tcW w:w="2363" w:type="dxa"/>
            <w:tcBorders>
              <w:tl2br w:val="nil"/>
              <w:tr2bl w:val="nil"/>
            </w:tcBorders>
            <w:vAlign w:val="center"/>
          </w:tcPr>
          <w:p>
            <w:pPr>
              <w:spacing w:line="240" w:lineRule="auto"/>
              <w:jc w:val="center"/>
            </w:pPr>
            <w:r>
              <w:t>+1</w:t>
            </w:r>
          </w:p>
        </w:tc>
        <w:tc>
          <w:tcPr>
            <w:tcW w:w="2326" w:type="dxa"/>
            <w:tcBorders>
              <w:tl2br w:val="nil"/>
              <w:tr2bl w:val="nil"/>
            </w:tcBorders>
            <w:vAlign w:val="center"/>
          </w:tcPr>
          <w:p>
            <w:pPr>
              <w:spacing w:line="240" w:lineRule="auto"/>
              <w:jc w:val="center"/>
            </w:pPr>
            <w:r>
              <w:t>+2</w:t>
            </w:r>
          </w:p>
        </w:tc>
      </w:tr>
    </w:tbl>
    <w:p>
      <w:r>
        <w:t>注：表中数字表示影响程序，1为轻度，2为中度，3为重度；空白表示基本无影响；+、–分别表示有利、不利影响。</w:t>
      </w:r>
    </w:p>
    <w:p>
      <w:pPr>
        <w:ind w:firstLine="482" w:firstLineChars="200"/>
        <w:rPr>
          <w:b/>
          <w:sz w:val="24"/>
        </w:rPr>
      </w:pPr>
      <w:bookmarkStart w:id="109" w:name="_Toc324866611"/>
      <w:bookmarkStart w:id="110" w:name="_Toc313554293"/>
      <w:bookmarkStart w:id="111" w:name="_Toc260230034"/>
      <w:r>
        <w:rPr>
          <w:b/>
          <w:sz w:val="24"/>
        </w:rPr>
        <w:t>1.</w:t>
      </w:r>
      <w:r>
        <w:rPr>
          <w:rFonts w:hint="eastAsia"/>
          <w:b/>
          <w:sz w:val="24"/>
        </w:rPr>
        <w:t>7</w:t>
      </w:r>
      <w:r>
        <w:rPr>
          <w:b/>
          <w:sz w:val="24"/>
        </w:rPr>
        <w:t>.3环境影响识别</w:t>
      </w:r>
      <w:bookmarkEnd w:id="109"/>
      <w:bookmarkEnd w:id="110"/>
      <w:bookmarkEnd w:id="111"/>
    </w:p>
    <w:p>
      <w:pPr>
        <w:ind w:firstLine="480" w:firstLineChars="200"/>
        <w:rPr>
          <w:sz w:val="24"/>
        </w:rPr>
      </w:pPr>
      <w:bookmarkStart w:id="112" w:name="_Toc260230035"/>
      <w:r>
        <w:rPr>
          <w:sz w:val="24"/>
        </w:rPr>
        <w:t>1、主要环境问题识别</w:t>
      </w:r>
      <w:bookmarkEnd w:id="112"/>
    </w:p>
    <w:p>
      <w:pPr>
        <w:ind w:firstLine="480" w:firstLineChars="200"/>
        <w:rPr>
          <w:sz w:val="24"/>
        </w:rPr>
      </w:pPr>
      <w:r>
        <w:rPr>
          <w:sz w:val="24"/>
        </w:rPr>
        <w:t>根据以上环境要素影响分析结果，可识别出</w:t>
      </w:r>
      <w:r>
        <w:rPr>
          <w:rFonts w:hint="eastAsia"/>
          <w:sz w:val="24"/>
          <w:lang w:eastAsia="zh-CN"/>
        </w:rPr>
        <w:t>本项目</w:t>
      </w:r>
      <w:r>
        <w:rPr>
          <w:sz w:val="24"/>
        </w:rPr>
        <w:t>施工期、建成后营运期的主要环境问题为：</w:t>
      </w:r>
    </w:p>
    <w:p>
      <w:pPr>
        <w:ind w:firstLine="480" w:firstLineChars="200"/>
        <w:rPr>
          <w:sz w:val="24"/>
        </w:rPr>
      </w:pPr>
      <w:r>
        <w:rPr>
          <w:sz w:val="24"/>
        </w:rPr>
        <w:t>（1）施工机械噪声及运输车辆噪声对周围地区声环境的影响；</w:t>
      </w:r>
    </w:p>
    <w:p>
      <w:pPr>
        <w:ind w:firstLine="480" w:firstLineChars="200"/>
        <w:rPr>
          <w:sz w:val="24"/>
        </w:rPr>
      </w:pPr>
      <w:r>
        <w:rPr>
          <w:sz w:val="24"/>
        </w:rPr>
        <w:t>（2）施工期过程的各种扬尘、粉尘对区域环境空气的影响；</w:t>
      </w:r>
    </w:p>
    <w:p>
      <w:pPr>
        <w:ind w:firstLine="480" w:firstLineChars="200"/>
        <w:rPr>
          <w:sz w:val="24"/>
        </w:rPr>
      </w:pPr>
      <w:r>
        <w:rPr>
          <w:sz w:val="24"/>
        </w:rPr>
        <w:t>（3）施工期污水排放对地表水环境的影响；</w:t>
      </w:r>
    </w:p>
    <w:p>
      <w:pPr>
        <w:tabs>
          <w:tab w:val="left" w:pos="7344"/>
        </w:tabs>
        <w:ind w:firstLine="480" w:firstLineChars="200"/>
        <w:rPr>
          <w:sz w:val="24"/>
        </w:rPr>
      </w:pPr>
      <w:r>
        <w:rPr>
          <w:sz w:val="24"/>
        </w:rPr>
        <w:t>（4）运营后的生产废水和生活污水对地表水环境的影响；</w:t>
      </w:r>
      <w:r>
        <w:rPr>
          <w:sz w:val="24"/>
        </w:rPr>
        <w:tab/>
      </w:r>
    </w:p>
    <w:p>
      <w:pPr>
        <w:ind w:firstLine="480" w:firstLineChars="200"/>
        <w:rPr>
          <w:sz w:val="24"/>
        </w:rPr>
      </w:pPr>
      <w:r>
        <w:rPr>
          <w:sz w:val="24"/>
        </w:rPr>
        <w:t>（5）运营后设备噪声对周围声环境的影响；</w:t>
      </w:r>
    </w:p>
    <w:p>
      <w:pPr>
        <w:ind w:firstLine="480" w:firstLineChars="200"/>
        <w:rPr>
          <w:sz w:val="24"/>
        </w:rPr>
      </w:pPr>
      <w:r>
        <w:rPr>
          <w:sz w:val="24"/>
        </w:rPr>
        <w:t>（6）对社会经济环境的影响。</w:t>
      </w:r>
    </w:p>
    <w:p>
      <w:pPr>
        <w:ind w:firstLine="480" w:firstLineChars="200"/>
        <w:rPr>
          <w:sz w:val="24"/>
        </w:rPr>
      </w:pPr>
      <w:bookmarkStart w:id="113" w:name="_Toc260230036"/>
      <w:r>
        <w:rPr>
          <w:sz w:val="24"/>
        </w:rPr>
        <w:t>2、评价因子确定</w:t>
      </w:r>
      <w:bookmarkEnd w:id="113"/>
    </w:p>
    <w:p>
      <w:pPr>
        <w:ind w:firstLine="480" w:firstLineChars="200"/>
        <w:rPr>
          <w:sz w:val="24"/>
        </w:rPr>
      </w:pPr>
      <w:r>
        <w:rPr>
          <w:sz w:val="24"/>
        </w:rPr>
        <w:t>根据项目排污特点及工程污染源分析，在对项目营运期环境影响初步识别的基础上，对环境影响因子进行筛选，确定下列环境影响评价因子：</w:t>
      </w:r>
    </w:p>
    <w:p>
      <w:pPr>
        <w:ind w:firstLine="470" w:firstLineChars="196"/>
        <w:rPr>
          <w:bCs/>
          <w:sz w:val="24"/>
          <w:szCs w:val="24"/>
        </w:rPr>
      </w:pPr>
      <w:r>
        <w:rPr>
          <w:bCs/>
          <w:sz w:val="24"/>
          <w:szCs w:val="24"/>
        </w:rPr>
        <w:t>（1）地表水环境</w:t>
      </w:r>
    </w:p>
    <w:p>
      <w:pPr>
        <w:ind w:firstLine="480" w:firstLineChars="200"/>
        <w:rPr>
          <w:sz w:val="24"/>
          <w:szCs w:val="24"/>
          <w:highlight w:val="yellow"/>
        </w:rPr>
      </w:pPr>
      <w:r>
        <w:rPr>
          <w:snapToGrid w:val="0"/>
          <w:sz w:val="24"/>
          <w:szCs w:val="24"/>
        </w:rPr>
        <w:t>现状评价因子：</w:t>
      </w:r>
      <w:r>
        <w:rPr>
          <w:sz w:val="24"/>
          <w:szCs w:val="24"/>
          <w:lang w:val="zh-CN"/>
        </w:rPr>
        <w:t>pH、COD、BOD</w:t>
      </w:r>
      <w:r>
        <w:rPr>
          <w:sz w:val="24"/>
          <w:szCs w:val="24"/>
          <w:vertAlign w:val="subscript"/>
          <w:lang w:val="zh-CN"/>
        </w:rPr>
        <w:t>5</w:t>
      </w:r>
      <w:r>
        <w:rPr>
          <w:sz w:val="24"/>
          <w:szCs w:val="24"/>
          <w:lang w:val="zh-CN"/>
        </w:rPr>
        <w:t>、NH</w:t>
      </w:r>
      <w:r>
        <w:rPr>
          <w:sz w:val="24"/>
          <w:szCs w:val="24"/>
          <w:vertAlign w:val="subscript"/>
          <w:lang w:val="zh-CN"/>
        </w:rPr>
        <w:t>3</w:t>
      </w:r>
      <w:r>
        <w:rPr>
          <w:sz w:val="24"/>
          <w:szCs w:val="24"/>
          <w:lang w:val="zh-CN"/>
        </w:rPr>
        <w:t>-N</w:t>
      </w:r>
      <w:r>
        <w:rPr>
          <w:rFonts w:hint="eastAsia"/>
          <w:sz w:val="24"/>
          <w:szCs w:val="24"/>
          <w:lang w:val="zh-CN"/>
        </w:rPr>
        <w:t>、</w:t>
      </w:r>
      <w:r>
        <w:rPr>
          <w:rFonts w:hint="eastAsia"/>
          <w:sz w:val="24"/>
          <w:szCs w:val="24"/>
        </w:rPr>
        <w:t>SS</w:t>
      </w:r>
      <w:r>
        <w:rPr>
          <w:sz w:val="24"/>
          <w:szCs w:val="24"/>
        </w:rPr>
        <w:t>。</w:t>
      </w:r>
    </w:p>
    <w:p>
      <w:pPr>
        <w:ind w:firstLine="470" w:firstLineChars="196"/>
        <w:rPr>
          <w:bCs/>
          <w:sz w:val="24"/>
          <w:szCs w:val="24"/>
        </w:rPr>
      </w:pPr>
      <w:r>
        <w:rPr>
          <w:bCs/>
          <w:sz w:val="24"/>
          <w:szCs w:val="24"/>
        </w:rPr>
        <w:t>（2）环境空气</w:t>
      </w:r>
    </w:p>
    <w:p>
      <w:pPr>
        <w:ind w:firstLine="480" w:firstLineChars="200"/>
        <w:rPr>
          <w:sz w:val="24"/>
          <w:szCs w:val="24"/>
        </w:rPr>
      </w:pPr>
      <w:r>
        <w:rPr>
          <w:snapToGrid w:val="0"/>
          <w:sz w:val="24"/>
          <w:szCs w:val="24"/>
        </w:rPr>
        <w:t>①现状评价因子：SO</w:t>
      </w:r>
      <w:r>
        <w:rPr>
          <w:snapToGrid w:val="0"/>
          <w:sz w:val="24"/>
          <w:szCs w:val="24"/>
          <w:vertAlign w:val="subscript"/>
        </w:rPr>
        <w:t>2</w:t>
      </w:r>
      <w:r>
        <w:rPr>
          <w:snapToGrid w:val="0"/>
          <w:sz w:val="24"/>
          <w:szCs w:val="24"/>
        </w:rPr>
        <w:t>、</w:t>
      </w:r>
      <w:r>
        <w:rPr>
          <w:sz w:val="24"/>
          <w:szCs w:val="24"/>
        </w:rPr>
        <w:t>NO</w:t>
      </w:r>
      <w:r>
        <w:rPr>
          <w:sz w:val="24"/>
          <w:szCs w:val="24"/>
          <w:vertAlign w:val="subscript"/>
        </w:rPr>
        <w:t>2</w:t>
      </w:r>
      <w:r>
        <w:rPr>
          <w:sz w:val="24"/>
          <w:szCs w:val="24"/>
        </w:rPr>
        <w:t>、PM</w:t>
      </w:r>
      <w:r>
        <w:rPr>
          <w:sz w:val="24"/>
          <w:szCs w:val="24"/>
          <w:vertAlign w:val="subscript"/>
        </w:rPr>
        <w:t>10</w:t>
      </w:r>
      <w:r>
        <w:rPr>
          <w:sz w:val="24"/>
          <w:szCs w:val="24"/>
        </w:rPr>
        <w:t>、PM</w:t>
      </w:r>
      <w:r>
        <w:rPr>
          <w:sz w:val="24"/>
          <w:szCs w:val="24"/>
          <w:vertAlign w:val="subscript"/>
        </w:rPr>
        <w:t>2.5</w:t>
      </w:r>
      <w:r>
        <w:rPr>
          <w:sz w:val="24"/>
          <w:szCs w:val="24"/>
        </w:rPr>
        <w:t>、CO、</w:t>
      </w:r>
      <w:r>
        <w:rPr>
          <w:sz w:val="24"/>
        </w:rPr>
        <w:t>O</w:t>
      </w:r>
      <w:r>
        <w:rPr>
          <w:sz w:val="24"/>
          <w:vertAlign w:val="subscript"/>
        </w:rPr>
        <w:t>3</w:t>
      </w:r>
      <w:r>
        <w:rPr>
          <w:sz w:val="24"/>
          <w:szCs w:val="24"/>
        </w:rPr>
        <w:t>。</w:t>
      </w:r>
    </w:p>
    <w:p>
      <w:pPr>
        <w:pStyle w:val="10"/>
        <w:keepNext w:val="0"/>
        <w:keepLines w:val="0"/>
        <w:pageBreakBefore w:val="0"/>
        <w:widowControl w:val="0"/>
        <w:kinsoku/>
        <w:wordWrap/>
        <w:overflowPunct/>
        <w:topLinePunct w:val="0"/>
        <w:bidi w:val="0"/>
        <w:adjustRightInd w:val="0"/>
        <w:spacing w:line="360" w:lineRule="auto"/>
        <w:ind w:firstLine="480" w:firstLineChars="200"/>
        <w:textAlignment w:val="auto"/>
        <w:rPr>
          <w:color w:val="FF0000"/>
          <w:sz w:val="24"/>
          <w:szCs w:val="24"/>
          <w:highlight w:val="none"/>
        </w:rPr>
      </w:pPr>
      <w:r>
        <w:rPr>
          <w:snapToGrid w:val="0"/>
          <w:sz w:val="24"/>
          <w:szCs w:val="24"/>
          <w:highlight w:val="none"/>
        </w:rPr>
        <w:t>②预测评价因子：</w:t>
      </w:r>
      <w:r>
        <w:rPr>
          <w:sz w:val="24"/>
          <w:szCs w:val="24"/>
          <w:highlight w:val="none"/>
        </w:rPr>
        <w:t>NH</w:t>
      </w:r>
      <w:r>
        <w:rPr>
          <w:sz w:val="24"/>
          <w:szCs w:val="24"/>
          <w:highlight w:val="none"/>
          <w:vertAlign w:val="subscript"/>
        </w:rPr>
        <w:t>3</w:t>
      </w:r>
      <w:r>
        <w:rPr>
          <w:sz w:val="24"/>
          <w:szCs w:val="24"/>
          <w:highlight w:val="none"/>
        </w:rPr>
        <w:t>、H</w:t>
      </w:r>
      <w:r>
        <w:rPr>
          <w:sz w:val="24"/>
          <w:szCs w:val="24"/>
          <w:highlight w:val="none"/>
          <w:vertAlign w:val="subscript"/>
        </w:rPr>
        <w:t>2</w:t>
      </w:r>
      <w:r>
        <w:rPr>
          <w:sz w:val="24"/>
          <w:szCs w:val="24"/>
          <w:highlight w:val="none"/>
        </w:rPr>
        <w:t>S。</w:t>
      </w:r>
    </w:p>
    <w:p>
      <w:pPr>
        <w:keepNext w:val="0"/>
        <w:keepLines w:val="0"/>
        <w:pageBreakBefore w:val="0"/>
        <w:widowControl w:val="0"/>
        <w:kinsoku/>
        <w:wordWrap/>
        <w:overflowPunct/>
        <w:topLinePunct w:val="0"/>
        <w:bidi w:val="0"/>
        <w:adjustRightInd w:val="0"/>
        <w:spacing w:line="360" w:lineRule="auto"/>
        <w:ind w:firstLine="470" w:firstLineChars="196"/>
        <w:textAlignment w:val="auto"/>
        <w:rPr>
          <w:bCs/>
          <w:sz w:val="24"/>
          <w:szCs w:val="24"/>
        </w:rPr>
      </w:pPr>
      <w:r>
        <w:rPr>
          <w:bCs/>
          <w:sz w:val="24"/>
          <w:szCs w:val="24"/>
        </w:rPr>
        <w:t>（3）声环境</w:t>
      </w:r>
    </w:p>
    <w:p>
      <w:pPr>
        <w:keepNext w:val="0"/>
        <w:keepLines w:val="0"/>
        <w:pageBreakBefore w:val="0"/>
        <w:widowControl w:val="0"/>
        <w:kinsoku/>
        <w:wordWrap/>
        <w:overflowPunct/>
        <w:topLinePunct w:val="0"/>
        <w:bidi w:val="0"/>
        <w:adjustRightInd w:val="0"/>
        <w:spacing w:line="360" w:lineRule="auto"/>
        <w:ind w:firstLine="480" w:firstLineChars="200"/>
        <w:textAlignment w:val="auto"/>
        <w:rPr>
          <w:snapToGrid w:val="0"/>
          <w:sz w:val="24"/>
          <w:szCs w:val="24"/>
        </w:rPr>
      </w:pPr>
      <w:r>
        <w:rPr>
          <w:snapToGrid w:val="0"/>
          <w:sz w:val="24"/>
          <w:szCs w:val="24"/>
        </w:rPr>
        <w:t>①现状评价因子：等效连续A声级。</w:t>
      </w:r>
    </w:p>
    <w:p>
      <w:pPr>
        <w:keepNext w:val="0"/>
        <w:keepLines w:val="0"/>
        <w:pageBreakBefore w:val="0"/>
        <w:widowControl w:val="0"/>
        <w:kinsoku/>
        <w:wordWrap/>
        <w:overflowPunct/>
        <w:topLinePunct w:val="0"/>
        <w:bidi w:val="0"/>
        <w:adjustRightInd w:val="0"/>
        <w:spacing w:line="360" w:lineRule="auto"/>
        <w:ind w:firstLine="480" w:firstLineChars="200"/>
        <w:textAlignment w:val="auto"/>
        <w:rPr>
          <w:snapToGrid w:val="0"/>
          <w:sz w:val="24"/>
          <w:szCs w:val="24"/>
        </w:rPr>
      </w:pPr>
      <w:r>
        <w:rPr>
          <w:snapToGrid w:val="0"/>
          <w:sz w:val="24"/>
          <w:szCs w:val="24"/>
        </w:rPr>
        <w:t>②预测评价因子：等效连续A声级。</w:t>
      </w:r>
    </w:p>
    <w:p>
      <w:pPr>
        <w:keepNext w:val="0"/>
        <w:keepLines w:val="0"/>
        <w:pageBreakBefore w:val="0"/>
        <w:widowControl w:val="0"/>
        <w:numPr>
          <w:ilvl w:val="0"/>
          <w:numId w:val="2"/>
        </w:numPr>
        <w:kinsoku/>
        <w:wordWrap/>
        <w:overflowPunct/>
        <w:topLinePunct w:val="0"/>
        <w:bidi w:val="0"/>
        <w:adjustRightInd w:val="0"/>
        <w:spacing w:line="360" w:lineRule="auto"/>
        <w:ind w:firstLine="480" w:firstLineChars="200"/>
        <w:textAlignment w:val="auto"/>
        <w:rPr>
          <w:rFonts w:hint="eastAsia"/>
          <w:sz w:val="24"/>
          <w:lang w:val="en-US" w:eastAsia="zh-CN"/>
        </w:rPr>
      </w:pPr>
      <w:r>
        <w:rPr>
          <w:rFonts w:hint="eastAsia"/>
          <w:sz w:val="24"/>
          <w:lang w:val="en-US" w:eastAsia="zh-CN"/>
        </w:rPr>
        <w:t>地下水环境</w:t>
      </w:r>
    </w:p>
    <w:p>
      <w:pPr>
        <w:pStyle w:val="36"/>
        <w:keepNext w:val="0"/>
        <w:keepLines w:val="0"/>
        <w:pageBreakBefore w:val="0"/>
        <w:widowControl w:val="0"/>
        <w:numPr>
          <w:ilvl w:val="0"/>
          <w:numId w:val="0"/>
        </w:numPr>
        <w:kinsoku/>
        <w:wordWrap/>
        <w:overflowPunct/>
        <w:topLinePunct w:val="0"/>
        <w:bidi w:val="0"/>
        <w:adjustRightInd w:val="0"/>
        <w:spacing w:line="360" w:lineRule="auto"/>
        <w:textAlignment w:val="auto"/>
        <w:rPr>
          <w:rFonts w:hint="default"/>
          <w:lang w:val="en-US" w:eastAsia="zh-CN"/>
        </w:rPr>
      </w:pPr>
      <w:r>
        <w:rPr>
          <w:rFonts w:hint="eastAsia"/>
          <w:lang w:val="en-US" w:eastAsia="zh-CN"/>
        </w:rPr>
        <w:t xml:space="preserve">    现状评价因子：</w:t>
      </w:r>
      <w:r>
        <w:rPr>
          <w:rFonts w:hint="default" w:ascii="Times New Roman" w:hAnsi="Times New Roman" w:eastAsia="宋体" w:cs="Times New Roman"/>
          <w:kern w:val="2"/>
          <w:sz w:val="24"/>
          <w:szCs w:val="24"/>
          <w:lang w:val="en-US" w:eastAsia="zh-CN" w:bidi="ar-SA"/>
        </w:rPr>
        <w:t>pH、氨氮、硝酸盐、亚硝酸盐、挥发性酚类、氰化物、砷、汞、铬（六价）、总硬度、铅、氟、镉、铁、锰、溶解性总固体、耗氧量、硫酸盐、氯化物。</w:t>
      </w:r>
    </w:p>
    <w:p>
      <w:pPr>
        <w:keepNext w:val="0"/>
        <w:keepLines w:val="0"/>
        <w:pageBreakBefore w:val="0"/>
        <w:widowControl w:val="0"/>
        <w:kinsoku/>
        <w:wordWrap/>
        <w:overflowPunct/>
        <w:topLinePunct w:val="0"/>
        <w:bidi w:val="0"/>
        <w:adjustRightInd w:val="0"/>
        <w:spacing w:line="360" w:lineRule="auto"/>
        <w:ind w:firstLine="480" w:firstLineChars="200"/>
        <w:textAlignment w:val="auto"/>
        <w:rPr>
          <w:sz w:val="24"/>
        </w:rPr>
      </w:pPr>
      <w:r>
        <w:rPr>
          <w:rFonts w:hint="eastAsia"/>
          <w:sz w:val="24"/>
          <w:lang w:eastAsia="zh-CN"/>
        </w:rPr>
        <w:t>（</w:t>
      </w:r>
      <w:r>
        <w:rPr>
          <w:rFonts w:hint="eastAsia"/>
          <w:sz w:val="24"/>
          <w:lang w:val="en-US" w:eastAsia="zh-CN"/>
        </w:rPr>
        <w:t>5</w:t>
      </w:r>
      <w:r>
        <w:rPr>
          <w:rFonts w:hint="eastAsia"/>
          <w:sz w:val="24"/>
          <w:lang w:eastAsia="zh-CN"/>
        </w:rPr>
        <w:t>）</w:t>
      </w:r>
      <w:r>
        <w:rPr>
          <w:sz w:val="24"/>
        </w:rPr>
        <w:t>固体废物</w:t>
      </w:r>
    </w:p>
    <w:p>
      <w:pPr>
        <w:keepNext w:val="0"/>
        <w:keepLines w:val="0"/>
        <w:pageBreakBefore w:val="0"/>
        <w:widowControl w:val="0"/>
        <w:kinsoku/>
        <w:wordWrap/>
        <w:overflowPunct/>
        <w:topLinePunct w:val="0"/>
        <w:bidi w:val="0"/>
        <w:adjustRightInd w:val="0"/>
        <w:spacing w:line="360" w:lineRule="auto"/>
        <w:ind w:firstLine="480" w:firstLineChars="200"/>
        <w:textAlignment w:val="auto"/>
        <w:rPr>
          <w:sz w:val="24"/>
        </w:rPr>
      </w:pPr>
      <w:r>
        <w:rPr>
          <w:sz w:val="24"/>
        </w:rPr>
        <w:t>项目在运行过程中，所产生的固体废物的种类、数量及处理处置措施，分析其对环境可能产生的影响程度。</w:t>
      </w:r>
    </w:p>
    <w:bookmarkEnd w:id="90"/>
    <w:p>
      <w:pPr>
        <w:pStyle w:val="5"/>
        <w:rPr>
          <w:sz w:val="24"/>
          <w:szCs w:val="24"/>
        </w:rPr>
      </w:pPr>
      <w:bookmarkStart w:id="114" w:name="_Toc5819_WPSOffice_Level2"/>
      <w:bookmarkStart w:id="115" w:name="_Toc532395286"/>
      <w:r>
        <w:rPr>
          <w:sz w:val="24"/>
          <w:szCs w:val="24"/>
        </w:rPr>
        <w:t>1.</w:t>
      </w:r>
      <w:r>
        <w:rPr>
          <w:rFonts w:hint="eastAsia"/>
          <w:sz w:val="24"/>
          <w:szCs w:val="24"/>
        </w:rPr>
        <w:t>8</w:t>
      </w:r>
      <w:r>
        <w:rPr>
          <w:sz w:val="24"/>
          <w:szCs w:val="24"/>
        </w:rPr>
        <w:t xml:space="preserve"> 评价等级</w:t>
      </w:r>
      <w:bookmarkEnd w:id="114"/>
      <w:bookmarkEnd w:id="115"/>
    </w:p>
    <w:p>
      <w:pPr>
        <w:adjustRightInd/>
        <w:snapToGrid/>
        <w:rPr>
          <w:b/>
          <w:sz w:val="24"/>
          <w:szCs w:val="24"/>
        </w:rPr>
      </w:pPr>
      <w:bookmarkStart w:id="116" w:name="_Toc519871907"/>
      <w:r>
        <w:rPr>
          <w:b/>
          <w:sz w:val="24"/>
          <w:szCs w:val="24"/>
        </w:rPr>
        <w:t>1.</w:t>
      </w:r>
      <w:r>
        <w:rPr>
          <w:rFonts w:hint="eastAsia"/>
          <w:b/>
          <w:sz w:val="24"/>
          <w:szCs w:val="24"/>
        </w:rPr>
        <w:t>8</w:t>
      </w:r>
      <w:r>
        <w:rPr>
          <w:b/>
          <w:sz w:val="24"/>
          <w:szCs w:val="24"/>
        </w:rPr>
        <w:t>.1 评价等级</w:t>
      </w:r>
      <w:bookmarkEnd w:id="116"/>
    </w:p>
    <w:p>
      <w:pPr>
        <w:ind w:firstLine="480" w:firstLineChars="200"/>
        <w:rPr>
          <w:sz w:val="24"/>
          <w:szCs w:val="24"/>
        </w:rPr>
      </w:pPr>
      <w:r>
        <w:rPr>
          <w:sz w:val="24"/>
          <w:szCs w:val="24"/>
        </w:rPr>
        <w:t>根据本项目污染物排放性质、特征、项目所在地区的地形特点和环境功能区划，按照《环境影响评价技术导则》（HJ2.1-2016、HJ2.2-2018、HJ2.3-2018、HJ2.4-2009、HJ610-2016、HJ169-2018）所规定的方法，确定本次环境影响评价等级和评价范围。</w:t>
      </w:r>
    </w:p>
    <w:p>
      <w:pPr>
        <w:ind w:firstLine="480" w:firstLineChars="200"/>
        <w:rPr>
          <w:sz w:val="24"/>
          <w:szCs w:val="24"/>
        </w:rPr>
      </w:pPr>
      <w:r>
        <w:rPr>
          <w:sz w:val="24"/>
          <w:szCs w:val="24"/>
        </w:rPr>
        <w:t>（1）大气环境影响评价工作等级</w:t>
      </w:r>
    </w:p>
    <w:p>
      <w:pPr>
        <w:ind w:firstLine="480" w:firstLineChars="200"/>
        <w:rPr>
          <w:sz w:val="24"/>
          <w:szCs w:val="24"/>
        </w:rPr>
      </w:pPr>
      <w:r>
        <w:rPr>
          <w:sz w:val="24"/>
          <w:szCs w:val="24"/>
        </w:rPr>
        <w:t>按照《环境影响评价技术导则 大气环境》（HJ2.2-2018）规定，分别计算每一种污染物的最大地面浓度占标率Pi（第i个污染物），及第i个污染物的地面浓度达标准限值10%时所对应的最远距离D</w:t>
      </w:r>
      <w:r>
        <w:rPr>
          <w:sz w:val="24"/>
          <w:szCs w:val="24"/>
          <w:vertAlign w:val="subscript"/>
        </w:rPr>
        <w:t>10%</w:t>
      </w:r>
      <w:r>
        <w:rPr>
          <w:sz w:val="24"/>
          <w:szCs w:val="24"/>
        </w:rPr>
        <w:t>，其中Pi定义为：</w:t>
      </w:r>
    </w:p>
    <w:p>
      <w:pPr>
        <w:ind w:firstLine="480" w:firstLineChars="200"/>
        <w:jc w:val="center"/>
        <w:rPr>
          <w:sz w:val="24"/>
          <w:szCs w:val="24"/>
        </w:rPr>
      </w:pPr>
      <w:r>
        <w:rPr>
          <w:sz w:val="24"/>
          <w:szCs w:val="24"/>
        </w:rPr>
        <w:t>Pi＝（C</w:t>
      </w:r>
      <w:r>
        <w:rPr>
          <w:sz w:val="24"/>
          <w:szCs w:val="24"/>
          <w:vertAlign w:val="subscript"/>
        </w:rPr>
        <w:t>i</w:t>
      </w:r>
      <w:r>
        <w:rPr>
          <w:sz w:val="24"/>
          <w:szCs w:val="24"/>
        </w:rPr>
        <w:t>/C</w:t>
      </w:r>
      <w:r>
        <w:rPr>
          <w:sz w:val="24"/>
          <w:szCs w:val="24"/>
          <w:vertAlign w:val="subscript"/>
        </w:rPr>
        <w:t>0i</w:t>
      </w:r>
      <w:r>
        <w:rPr>
          <w:sz w:val="24"/>
          <w:szCs w:val="24"/>
        </w:rPr>
        <w:t>）×100%</w:t>
      </w:r>
    </w:p>
    <w:p>
      <w:pPr>
        <w:rPr>
          <w:sz w:val="24"/>
          <w:szCs w:val="24"/>
        </w:rPr>
      </w:pPr>
      <w:r>
        <w:rPr>
          <w:sz w:val="24"/>
          <w:szCs w:val="24"/>
        </w:rPr>
        <w:t>式中：P</w:t>
      </w:r>
      <w:r>
        <w:rPr>
          <w:sz w:val="24"/>
          <w:szCs w:val="24"/>
          <w:vertAlign w:val="subscript"/>
        </w:rPr>
        <w:t>i</w:t>
      </w:r>
      <w:r>
        <w:rPr>
          <w:sz w:val="24"/>
          <w:szCs w:val="24"/>
        </w:rPr>
        <w:t>－第i个污染物的最大地面浓度占标率，%；</w:t>
      </w:r>
    </w:p>
    <w:p>
      <w:pPr>
        <w:ind w:firstLine="720" w:firstLineChars="300"/>
        <w:rPr>
          <w:sz w:val="24"/>
          <w:szCs w:val="24"/>
        </w:rPr>
      </w:pPr>
      <w:r>
        <w:rPr>
          <w:sz w:val="24"/>
          <w:szCs w:val="24"/>
        </w:rPr>
        <w:t>C</w:t>
      </w:r>
      <w:r>
        <w:rPr>
          <w:sz w:val="24"/>
          <w:szCs w:val="24"/>
          <w:vertAlign w:val="subscript"/>
        </w:rPr>
        <w:t>i</w:t>
      </w:r>
      <w:r>
        <w:rPr>
          <w:sz w:val="24"/>
          <w:szCs w:val="24"/>
        </w:rPr>
        <w:t>－采用估算模式计算出的第i个污染物的最大</w:t>
      </w:r>
      <w:r>
        <w:rPr>
          <w:rFonts w:hint="eastAsia"/>
          <w:sz w:val="24"/>
          <w:szCs w:val="24"/>
        </w:rPr>
        <w:t>1h地面空气质量</w:t>
      </w:r>
      <w:r>
        <w:rPr>
          <w:sz w:val="24"/>
          <w:szCs w:val="24"/>
        </w:rPr>
        <w:t>浓度，</w:t>
      </w:r>
      <w:r>
        <w:t>μg</w:t>
      </w:r>
      <w:r>
        <w:rPr>
          <w:sz w:val="24"/>
          <w:szCs w:val="24"/>
        </w:rPr>
        <w:t>/m</w:t>
      </w:r>
      <w:r>
        <w:rPr>
          <w:sz w:val="24"/>
          <w:szCs w:val="24"/>
          <w:vertAlign w:val="superscript"/>
        </w:rPr>
        <w:t>3</w:t>
      </w:r>
      <w:r>
        <w:rPr>
          <w:sz w:val="24"/>
          <w:szCs w:val="24"/>
        </w:rPr>
        <w:t>；</w:t>
      </w:r>
    </w:p>
    <w:p>
      <w:pPr>
        <w:ind w:firstLine="720" w:firstLineChars="300"/>
        <w:rPr>
          <w:sz w:val="24"/>
          <w:szCs w:val="24"/>
        </w:rPr>
      </w:pPr>
      <w:r>
        <w:rPr>
          <w:sz w:val="24"/>
          <w:szCs w:val="24"/>
        </w:rPr>
        <w:t>C</w:t>
      </w:r>
      <w:r>
        <w:rPr>
          <w:sz w:val="24"/>
          <w:szCs w:val="24"/>
          <w:vertAlign w:val="subscript"/>
        </w:rPr>
        <w:t>0i</w:t>
      </w:r>
      <w:r>
        <w:rPr>
          <w:sz w:val="24"/>
          <w:szCs w:val="24"/>
        </w:rPr>
        <w:t>－第i个污染物的环境空气质量标准，</w:t>
      </w:r>
      <w:r>
        <w:t>μg</w:t>
      </w:r>
      <w:r>
        <w:rPr>
          <w:sz w:val="24"/>
          <w:szCs w:val="24"/>
        </w:rPr>
        <w:t>/m</w:t>
      </w:r>
      <w:r>
        <w:rPr>
          <w:sz w:val="24"/>
          <w:szCs w:val="24"/>
          <w:vertAlign w:val="superscript"/>
        </w:rPr>
        <w:t>3</w:t>
      </w:r>
      <w:r>
        <w:rPr>
          <w:sz w:val="24"/>
          <w:szCs w:val="24"/>
        </w:rPr>
        <w:t>；</w:t>
      </w:r>
    </w:p>
    <w:p>
      <w:pPr>
        <w:ind w:firstLine="720" w:firstLineChars="300"/>
        <w:rPr>
          <w:b/>
          <w:bCs/>
          <w:sz w:val="24"/>
          <w:szCs w:val="24"/>
        </w:rPr>
      </w:pPr>
      <w:r>
        <w:rPr>
          <w:sz w:val="24"/>
          <w:szCs w:val="24"/>
        </w:rPr>
        <w:t>C</w:t>
      </w:r>
      <w:r>
        <w:rPr>
          <w:sz w:val="24"/>
          <w:szCs w:val="24"/>
          <w:vertAlign w:val="subscript"/>
        </w:rPr>
        <w:t>0i</w:t>
      </w:r>
      <w:r>
        <w:rPr>
          <w:sz w:val="24"/>
          <w:szCs w:val="24"/>
        </w:rPr>
        <w:t>一般选用GB3095中1h平均质量浓度的二次浓度限值，如项目位于一类环境空气功能区，应选择相应的一级浓度限值；对该标准中未包含的污染物，使用5.2确定的各评价因子1h平均质量浓度限值。对仅有8h平均质量浓度限值、日平均质量浓度限值或年平均质量浓度限值的，可分别按2倍、3倍、6倍折算为1h平均质量浓度限值。对GB3095及地方环境质量标准中未包含的污染物，可参照《环境影响评价技术导则 大气环境》（HJ 2.2—2018）附录D中的浓度限值。</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sz w:val="24"/>
          <w:szCs w:val="24"/>
        </w:rPr>
      </w:pPr>
      <w:r>
        <w:rPr>
          <w:b/>
          <w:bCs/>
          <w:sz w:val="24"/>
          <w:szCs w:val="24"/>
        </w:rPr>
        <w:t>表1</w:t>
      </w:r>
      <w:r>
        <w:rPr>
          <w:rFonts w:hint="eastAsia"/>
          <w:b/>
          <w:bCs/>
          <w:sz w:val="24"/>
          <w:szCs w:val="24"/>
          <w:lang w:val="en-US" w:eastAsia="zh-CN"/>
        </w:rPr>
        <w:t>.</w:t>
      </w:r>
      <w:r>
        <w:rPr>
          <w:rFonts w:hint="eastAsia"/>
          <w:b/>
          <w:bCs/>
          <w:sz w:val="24"/>
          <w:szCs w:val="24"/>
        </w:rPr>
        <w:t>8</w:t>
      </w:r>
      <w:r>
        <w:rPr>
          <w:b/>
          <w:bCs/>
          <w:sz w:val="24"/>
          <w:szCs w:val="24"/>
        </w:rPr>
        <w:t>-1  评价工作等级一览表</w:t>
      </w:r>
    </w:p>
    <w:tbl>
      <w:tblPr>
        <w:tblStyle w:val="22"/>
        <w:tblW w:w="883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50"/>
        <w:gridCol w:w="47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050" w:type="dxa"/>
            <w:vAlign w:val="center"/>
          </w:tcPr>
          <w:p>
            <w:pPr>
              <w:spacing w:line="240" w:lineRule="auto"/>
              <w:jc w:val="center"/>
            </w:pPr>
            <w:r>
              <w:t>评价工作等级</w:t>
            </w:r>
          </w:p>
        </w:tc>
        <w:tc>
          <w:tcPr>
            <w:tcW w:w="4784" w:type="dxa"/>
            <w:vAlign w:val="center"/>
          </w:tcPr>
          <w:p>
            <w:pPr>
              <w:spacing w:line="240" w:lineRule="auto"/>
              <w:ind w:firstLine="357"/>
              <w:jc w:val="center"/>
            </w:pPr>
            <w:r>
              <w:t>评价工作等级判据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050" w:type="dxa"/>
            <w:vAlign w:val="center"/>
          </w:tcPr>
          <w:p>
            <w:pPr>
              <w:spacing w:line="240" w:lineRule="auto"/>
              <w:jc w:val="center"/>
            </w:pPr>
            <w:r>
              <w:t>一级</w:t>
            </w:r>
          </w:p>
        </w:tc>
        <w:tc>
          <w:tcPr>
            <w:tcW w:w="4784" w:type="dxa"/>
            <w:vAlign w:val="center"/>
          </w:tcPr>
          <w:p>
            <w:pPr>
              <w:spacing w:line="240" w:lineRule="auto"/>
              <w:ind w:firstLine="357"/>
              <w:jc w:val="center"/>
            </w:pPr>
            <w:r>
              <w:t>P</w:t>
            </w:r>
            <w:r>
              <w:rPr>
                <w:vertAlign w:val="subscript"/>
              </w:rPr>
              <w:t>max</w:t>
            </w:r>
            <w: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050" w:type="dxa"/>
            <w:vAlign w:val="center"/>
          </w:tcPr>
          <w:p>
            <w:pPr>
              <w:spacing w:line="240" w:lineRule="auto"/>
              <w:jc w:val="center"/>
            </w:pPr>
            <w:r>
              <w:t>二级</w:t>
            </w:r>
          </w:p>
        </w:tc>
        <w:tc>
          <w:tcPr>
            <w:tcW w:w="4784" w:type="dxa"/>
            <w:vAlign w:val="center"/>
          </w:tcPr>
          <w:p>
            <w:pPr>
              <w:spacing w:line="240" w:lineRule="auto"/>
              <w:ind w:firstLine="357"/>
              <w:jc w:val="center"/>
            </w:pPr>
            <w:r>
              <w:t>1%</w:t>
            </w:r>
            <w:r>
              <w:rPr>
                <w:rFonts w:ascii="Arial" w:hAnsi="Arial" w:cs="Arial"/>
              </w:rPr>
              <w:t>≤</w:t>
            </w:r>
            <w:r>
              <w:t>P</w:t>
            </w:r>
            <w:r>
              <w:rPr>
                <w:vertAlign w:val="subscript"/>
              </w:rPr>
              <w:t>max</w:t>
            </w:r>
            <w:r>
              <w:t>&lt;10%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4050" w:type="dxa"/>
            <w:vAlign w:val="center"/>
          </w:tcPr>
          <w:p>
            <w:pPr>
              <w:spacing w:line="240" w:lineRule="auto"/>
              <w:jc w:val="center"/>
            </w:pPr>
            <w:r>
              <w:t>三级</w:t>
            </w:r>
          </w:p>
        </w:tc>
        <w:tc>
          <w:tcPr>
            <w:tcW w:w="4784" w:type="dxa"/>
            <w:vAlign w:val="center"/>
          </w:tcPr>
          <w:p>
            <w:pPr>
              <w:spacing w:line="240" w:lineRule="auto"/>
              <w:ind w:firstLine="357"/>
              <w:jc w:val="center"/>
            </w:pPr>
            <w:r>
              <w:t>P</w:t>
            </w:r>
            <w:r>
              <w:rPr>
                <w:vertAlign w:val="subscript"/>
              </w:rPr>
              <w:t>max</w:t>
            </w:r>
            <w:r>
              <w:t>&lt;1%</w:t>
            </w:r>
          </w:p>
        </w:tc>
      </w:tr>
    </w:tbl>
    <w:p>
      <w:pPr>
        <w:ind w:firstLine="480" w:firstLineChars="200"/>
        <w:rPr>
          <w:iCs/>
          <w:sz w:val="24"/>
          <w:szCs w:val="24"/>
        </w:rPr>
      </w:pPr>
      <w:r>
        <w:rPr>
          <w:sz w:val="24"/>
          <w:szCs w:val="24"/>
        </w:rPr>
        <w:t>根据工程分析及相关参数</w:t>
      </w:r>
      <w:r>
        <w:rPr>
          <w:sz w:val="24"/>
          <w:szCs w:val="24"/>
          <w:highlight w:val="none"/>
        </w:rPr>
        <w:t>，选取</w:t>
      </w:r>
      <w:r>
        <w:rPr>
          <w:rFonts w:hint="eastAsia"/>
          <w:sz w:val="24"/>
          <w:szCs w:val="24"/>
          <w:highlight w:val="none"/>
        </w:rPr>
        <w:t>NH</w:t>
      </w:r>
      <w:r>
        <w:rPr>
          <w:rFonts w:hint="eastAsia"/>
          <w:sz w:val="24"/>
          <w:szCs w:val="24"/>
          <w:highlight w:val="none"/>
          <w:vertAlign w:val="subscript"/>
        </w:rPr>
        <w:t>3</w:t>
      </w:r>
      <w:r>
        <w:rPr>
          <w:rFonts w:hint="eastAsia"/>
          <w:sz w:val="24"/>
          <w:szCs w:val="24"/>
          <w:highlight w:val="none"/>
          <w:lang w:eastAsia="zh-CN"/>
        </w:rPr>
        <w:t>和</w:t>
      </w:r>
      <w:r>
        <w:rPr>
          <w:rFonts w:hint="eastAsia"/>
          <w:sz w:val="24"/>
          <w:szCs w:val="24"/>
          <w:highlight w:val="none"/>
        </w:rPr>
        <w:t>H</w:t>
      </w:r>
      <w:r>
        <w:rPr>
          <w:rFonts w:hint="eastAsia"/>
          <w:sz w:val="24"/>
          <w:szCs w:val="24"/>
          <w:highlight w:val="none"/>
          <w:vertAlign w:val="subscript"/>
        </w:rPr>
        <w:t>2</w:t>
      </w:r>
      <w:r>
        <w:rPr>
          <w:rFonts w:hint="eastAsia"/>
          <w:sz w:val="24"/>
          <w:szCs w:val="24"/>
          <w:highlight w:val="none"/>
        </w:rPr>
        <w:t>S</w:t>
      </w:r>
      <w:r>
        <w:rPr>
          <w:sz w:val="24"/>
          <w:szCs w:val="24"/>
          <w:highlight w:val="none"/>
        </w:rPr>
        <w:t>作为预测因子，</w:t>
      </w:r>
      <w:r>
        <w:rPr>
          <w:sz w:val="24"/>
          <w:szCs w:val="24"/>
        </w:rPr>
        <w:t>采用《环境影响评价技术导则大气环境》（HJ2.2-2018）中推荐的大气估算模式分别计算最大地面质量浓度占标率P</w:t>
      </w:r>
      <w:r>
        <w:rPr>
          <w:sz w:val="24"/>
          <w:szCs w:val="24"/>
          <w:vertAlign w:val="subscript"/>
        </w:rPr>
        <w:t>max</w:t>
      </w:r>
      <w:r>
        <w:rPr>
          <w:iCs/>
          <w:sz w:val="24"/>
          <w:szCs w:val="24"/>
        </w:rPr>
        <w:t>计算结果见下表：</w:t>
      </w:r>
    </w:p>
    <w:p>
      <w:pPr>
        <w:spacing w:line="24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表1</w:t>
      </w:r>
      <w:r>
        <w:rPr>
          <w:rFonts w:hint="eastAsia"/>
          <w:b/>
          <w:bCs/>
          <w:color w:val="000000" w:themeColor="text1"/>
          <w:sz w:val="24"/>
          <w:szCs w:val="24"/>
          <w:lang w:val="en-US" w:eastAsia="zh-CN"/>
          <w14:textFill>
            <w14:solidFill>
              <w14:schemeClr w14:val="tx1"/>
            </w14:solidFill>
          </w14:textFill>
        </w:rPr>
        <w:t>.</w:t>
      </w:r>
      <w:r>
        <w:rPr>
          <w:rFonts w:hint="eastAsia"/>
          <w:b/>
          <w:bCs/>
          <w:color w:val="000000" w:themeColor="text1"/>
          <w:sz w:val="24"/>
          <w:szCs w:val="24"/>
          <w14:textFill>
            <w14:solidFill>
              <w14:schemeClr w14:val="tx1"/>
            </w14:solidFill>
          </w14:textFill>
        </w:rPr>
        <w:t>8</w:t>
      </w:r>
      <w:r>
        <w:rPr>
          <w:b/>
          <w:bCs/>
          <w:color w:val="000000" w:themeColor="text1"/>
          <w:sz w:val="24"/>
          <w:szCs w:val="24"/>
          <w14:textFill>
            <w14:solidFill>
              <w14:schemeClr w14:val="tx1"/>
            </w14:solidFill>
          </w14:textFill>
        </w:rPr>
        <w:t>-2  评价工作等级计算结果一览表</w:t>
      </w:r>
    </w:p>
    <w:tbl>
      <w:tblPr>
        <w:tblStyle w:val="22"/>
        <w:tblW w:w="867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1875"/>
        <w:gridCol w:w="2805"/>
        <w:gridCol w:w="20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blHeader/>
        </w:trPr>
        <w:tc>
          <w:tcPr>
            <w:tcW w:w="1928" w:type="dxa"/>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sz w:val="21"/>
                <w:szCs w:val="21"/>
                <w:highlight w:val="none"/>
              </w:rPr>
            </w:pPr>
            <w:r>
              <w:rPr>
                <w:rFonts w:hint="eastAsia" w:ascii="Times New Roman" w:hAnsi="Times New Roman" w:cs="Times New Roman"/>
                <w:sz w:val="21"/>
                <w:szCs w:val="21"/>
                <w:highlight w:val="none"/>
              </w:rPr>
              <w:t>污染源</w:t>
            </w:r>
          </w:p>
        </w:tc>
        <w:tc>
          <w:tcPr>
            <w:tcW w:w="1875" w:type="dxa"/>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sz w:val="21"/>
                <w:szCs w:val="21"/>
                <w:highlight w:val="none"/>
              </w:rPr>
            </w:pPr>
            <w:r>
              <w:rPr>
                <w:rFonts w:hint="eastAsia" w:ascii="Times New Roman" w:hAnsi="Times New Roman" w:cs="Times New Roman"/>
                <w:sz w:val="21"/>
                <w:szCs w:val="21"/>
                <w:highlight w:val="none"/>
              </w:rPr>
              <w:t>污染因子</w:t>
            </w:r>
          </w:p>
        </w:tc>
        <w:tc>
          <w:tcPr>
            <w:tcW w:w="2805" w:type="dxa"/>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sz w:val="21"/>
                <w:szCs w:val="21"/>
                <w:highlight w:val="none"/>
              </w:rPr>
            </w:pPr>
            <w:r>
              <w:rPr>
                <w:rFonts w:ascii="Times New Roman" w:hAnsi="Times New Roman" w:cs="Times New Roman"/>
                <w:sz w:val="21"/>
                <w:szCs w:val="21"/>
                <w:highlight w:val="none"/>
              </w:rPr>
              <w:t>最大</w:t>
            </w:r>
            <w:r>
              <w:rPr>
                <w:rFonts w:hint="eastAsia" w:ascii="Times New Roman" w:hAnsi="Times New Roman" w:cs="Times New Roman"/>
                <w:sz w:val="21"/>
                <w:szCs w:val="21"/>
                <w:highlight w:val="none"/>
              </w:rPr>
              <w:t>质量</w:t>
            </w:r>
            <w:r>
              <w:rPr>
                <w:rFonts w:ascii="Times New Roman" w:hAnsi="Times New Roman" w:cs="Times New Roman"/>
                <w:sz w:val="21"/>
                <w:szCs w:val="21"/>
                <w:highlight w:val="none"/>
              </w:rPr>
              <w:t>浓度</w:t>
            </w:r>
            <w:r>
              <w:rPr>
                <w:rFonts w:hint="eastAsia" w:ascii="Times New Roman" w:hAnsi="Times New Roman" w:cs="Times New Roman"/>
                <w:sz w:val="21"/>
                <w:szCs w:val="21"/>
                <w:highlight w:val="none"/>
              </w:rPr>
              <w:t>（</w:t>
            </w:r>
            <w:r>
              <w:rPr>
                <w:rFonts w:ascii="Times New Roman" w:hAnsi="Times New Roman" w:cs="Times New Roman"/>
                <w:sz w:val="21"/>
                <w:szCs w:val="21"/>
                <w:highlight w:val="none"/>
              </w:rPr>
              <w:t>μg/m</w:t>
            </w:r>
            <w:r>
              <w:rPr>
                <w:rFonts w:ascii="Times New Roman" w:hAnsi="Times New Roman" w:cs="Times New Roman"/>
                <w:sz w:val="21"/>
                <w:szCs w:val="21"/>
                <w:highlight w:val="none"/>
                <w:vertAlign w:val="superscript"/>
              </w:rPr>
              <w:t>3</w:t>
            </w:r>
            <w:r>
              <w:rPr>
                <w:rFonts w:hint="eastAsia" w:ascii="Times New Roman" w:hAnsi="Times New Roman" w:cs="Times New Roman"/>
                <w:sz w:val="21"/>
                <w:szCs w:val="21"/>
                <w:highlight w:val="none"/>
              </w:rPr>
              <w:t>）</w:t>
            </w:r>
          </w:p>
        </w:tc>
        <w:tc>
          <w:tcPr>
            <w:tcW w:w="2070" w:type="dxa"/>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sz w:val="21"/>
                <w:szCs w:val="21"/>
                <w:highlight w:val="none"/>
              </w:rPr>
            </w:pPr>
            <w:r>
              <w:rPr>
                <w:rFonts w:ascii="Times New Roman" w:hAnsi="Times New Roman" w:cs="Times New Roman"/>
                <w:sz w:val="21"/>
                <w:szCs w:val="21"/>
                <w:highlight w:val="none"/>
              </w:rPr>
              <w:t>最大占标率</w:t>
            </w:r>
            <w:r>
              <w:rPr>
                <w:rFonts w:hint="eastAsia" w:ascii="Times New Roman" w:hAnsi="Times New Roman" w:cs="Times New Roman"/>
                <w:sz w:val="21"/>
                <w:szCs w:val="21"/>
                <w:highlight w:val="none"/>
              </w:rPr>
              <w:t>（</w:t>
            </w:r>
            <w:r>
              <w:rPr>
                <w:rFonts w:ascii="Times New Roman" w:hAnsi="Times New Roman" w:cs="Times New Roman"/>
                <w:sz w:val="21"/>
                <w:szCs w:val="21"/>
                <w:highlight w:val="none"/>
              </w:rPr>
              <w:t>%</w:t>
            </w:r>
            <w:r>
              <w:rPr>
                <w:rFonts w:hint="eastAsia" w:ascii="Times New Roman" w:hAnsi="Times New Roman" w:cs="Times New Roman"/>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tblHeader/>
        </w:trPr>
        <w:tc>
          <w:tcPr>
            <w:tcW w:w="1928" w:type="dxa"/>
            <w:vMerge w:val="restart"/>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sz w:val="21"/>
                <w:szCs w:val="21"/>
                <w:highlight w:val="none"/>
              </w:rPr>
            </w:pPr>
            <w:r>
              <w:rPr>
                <w:rFonts w:hint="eastAsia" w:ascii="Times New Roman" w:hAnsi="Times New Roman" w:cs="Times New Roman"/>
                <w:sz w:val="21"/>
                <w:szCs w:val="21"/>
                <w:highlight w:val="none"/>
              </w:rPr>
              <w:t>污水处理站</w:t>
            </w:r>
          </w:p>
        </w:tc>
        <w:tc>
          <w:tcPr>
            <w:tcW w:w="18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kern w:val="0"/>
                <w:sz w:val="21"/>
                <w:szCs w:val="21"/>
                <w:highlight w:val="none"/>
              </w:rPr>
            </w:pPr>
            <w:r>
              <w:rPr>
                <w:rFonts w:hint="eastAsia"/>
                <w:sz w:val="21"/>
                <w:szCs w:val="21"/>
                <w:highlight w:val="none"/>
              </w:rPr>
              <w:t>NH</w:t>
            </w:r>
            <w:r>
              <w:rPr>
                <w:rFonts w:hint="eastAsia"/>
                <w:sz w:val="21"/>
                <w:szCs w:val="21"/>
                <w:highlight w:val="none"/>
                <w:vertAlign w:val="subscript"/>
              </w:rPr>
              <w:t>3</w:t>
            </w:r>
          </w:p>
        </w:tc>
        <w:tc>
          <w:tcPr>
            <w:tcW w:w="28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kern w:val="0"/>
                <w:sz w:val="21"/>
                <w:szCs w:val="21"/>
                <w:highlight w:val="none"/>
                <w:lang w:val="en-US" w:eastAsia="zh-CN"/>
              </w:rPr>
            </w:pPr>
            <w:r>
              <w:rPr>
                <w:sz w:val="21"/>
                <w:szCs w:val="21"/>
                <w:highlight w:val="none"/>
              </w:rPr>
              <w:t>1.0154</w:t>
            </w:r>
          </w:p>
        </w:tc>
        <w:tc>
          <w:tcPr>
            <w:tcW w:w="207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rPr>
            </w:pPr>
            <w:r>
              <w:rPr>
                <w:sz w:val="21"/>
                <w:szCs w:val="21"/>
                <w:highlight w:val="none"/>
              </w:rPr>
              <w:t>0.5077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tblHeader/>
        </w:trPr>
        <w:tc>
          <w:tcPr>
            <w:tcW w:w="1928" w:type="dxa"/>
            <w:vMerge w:val="continue"/>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sz w:val="21"/>
                <w:szCs w:val="21"/>
                <w:highlight w:val="none"/>
              </w:rPr>
            </w:pPr>
          </w:p>
        </w:tc>
        <w:tc>
          <w:tcPr>
            <w:tcW w:w="18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kern w:val="0"/>
                <w:sz w:val="21"/>
                <w:szCs w:val="21"/>
                <w:highlight w:val="none"/>
              </w:rPr>
            </w:pPr>
            <w:r>
              <w:rPr>
                <w:rFonts w:hint="eastAsia"/>
                <w:kern w:val="0"/>
                <w:sz w:val="21"/>
                <w:szCs w:val="21"/>
                <w:highlight w:val="none"/>
              </w:rPr>
              <w:t>H</w:t>
            </w:r>
            <w:r>
              <w:rPr>
                <w:rFonts w:hint="eastAsia"/>
                <w:kern w:val="0"/>
                <w:sz w:val="21"/>
                <w:szCs w:val="21"/>
                <w:highlight w:val="none"/>
                <w:vertAlign w:val="subscript"/>
              </w:rPr>
              <w:t>2</w:t>
            </w:r>
            <w:r>
              <w:rPr>
                <w:rFonts w:hint="eastAsia"/>
                <w:kern w:val="0"/>
                <w:sz w:val="21"/>
                <w:szCs w:val="21"/>
                <w:highlight w:val="none"/>
              </w:rPr>
              <w:t>S</w:t>
            </w:r>
          </w:p>
        </w:tc>
        <w:tc>
          <w:tcPr>
            <w:tcW w:w="28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rPr>
            </w:pPr>
            <w:r>
              <w:rPr>
                <w:sz w:val="21"/>
                <w:szCs w:val="21"/>
                <w:highlight w:val="none"/>
              </w:rPr>
              <w:t>0.0457</w:t>
            </w:r>
          </w:p>
        </w:tc>
        <w:tc>
          <w:tcPr>
            <w:tcW w:w="207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rPr>
            </w:pPr>
            <w:r>
              <w:rPr>
                <w:sz w:val="21"/>
                <w:szCs w:val="21"/>
                <w:highlight w:val="none"/>
              </w:rPr>
              <w:t>0.4569</w:t>
            </w:r>
          </w:p>
        </w:tc>
      </w:tr>
    </w:tbl>
    <w:p>
      <w:pPr>
        <w:pStyle w:val="2"/>
        <w:spacing w:line="360" w:lineRule="auto"/>
        <w:ind w:firstLine="480"/>
        <w:rPr>
          <w:sz w:val="24"/>
        </w:rPr>
      </w:pPr>
      <w:r>
        <w:rPr>
          <w:sz w:val="24"/>
        </w:rPr>
        <w:t>根据《环境影响评价技术导则 大气环境》（HJ2.2-2018），结合项目废气污染源估算结果，确定项目大气环境评价等级为</w:t>
      </w:r>
      <w:r>
        <w:rPr>
          <w:rFonts w:hint="eastAsia"/>
          <w:sz w:val="24"/>
          <w:lang w:eastAsia="zh-CN"/>
        </w:rPr>
        <w:t>三</w:t>
      </w:r>
      <w:r>
        <w:rPr>
          <w:sz w:val="24"/>
        </w:rPr>
        <w:t>级</w:t>
      </w:r>
      <w:r>
        <w:rPr>
          <w:rFonts w:hint="eastAsia"/>
          <w:sz w:val="24"/>
        </w:rPr>
        <w:t>。</w:t>
      </w:r>
    </w:p>
    <w:p>
      <w:pPr>
        <w:ind w:firstLine="480" w:firstLineChars="200"/>
        <w:rPr>
          <w:sz w:val="24"/>
          <w:szCs w:val="24"/>
        </w:rPr>
      </w:pPr>
      <w:r>
        <w:rPr>
          <w:sz w:val="24"/>
          <w:szCs w:val="24"/>
        </w:rPr>
        <w:t>（2）地表水环境影响评价工作等级</w:t>
      </w:r>
    </w:p>
    <w:p>
      <w:pPr>
        <w:ind w:firstLine="480" w:firstLineChars="200"/>
        <w:rPr>
          <w:kern w:val="0"/>
          <w:sz w:val="24"/>
        </w:rPr>
      </w:pPr>
      <w:r>
        <w:rPr>
          <w:kern w:val="0"/>
          <w:sz w:val="24"/>
        </w:rPr>
        <w:t>地表水评价工作等级的划分是由建设项目的污水</w:t>
      </w:r>
      <w:r>
        <w:rPr>
          <w:rFonts w:hint="eastAsia"/>
          <w:kern w:val="0"/>
          <w:sz w:val="24"/>
        </w:rPr>
        <w:t>方式、</w:t>
      </w:r>
      <w:r>
        <w:rPr>
          <w:kern w:val="0"/>
          <w:sz w:val="24"/>
        </w:rPr>
        <w:t>排放量</w:t>
      </w:r>
      <w:r>
        <w:rPr>
          <w:rFonts w:hint="eastAsia"/>
          <w:kern w:val="0"/>
          <w:sz w:val="24"/>
        </w:rPr>
        <w:t>或影响情况</w:t>
      </w:r>
      <w:r>
        <w:rPr>
          <w:kern w:val="0"/>
          <w:sz w:val="24"/>
        </w:rPr>
        <w:t>、受纳水体</w:t>
      </w:r>
      <w:r>
        <w:rPr>
          <w:rFonts w:hint="eastAsia"/>
          <w:kern w:val="0"/>
          <w:sz w:val="24"/>
        </w:rPr>
        <w:t>环境质量、水环境保护目标等综合确定</w:t>
      </w:r>
      <w:r>
        <w:rPr>
          <w:kern w:val="0"/>
          <w:sz w:val="24"/>
        </w:rPr>
        <w:t>的。</w:t>
      </w:r>
      <w:r>
        <w:rPr>
          <w:rFonts w:hint="eastAsia"/>
          <w:kern w:val="0"/>
          <w:sz w:val="24"/>
        </w:rPr>
        <w:t>本项目</w:t>
      </w:r>
      <w:r>
        <w:rPr>
          <w:sz w:val="24"/>
          <w:szCs w:val="24"/>
        </w:rPr>
        <w:t>废水经处理达到</w:t>
      </w:r>
      <w:r>
        <w:rPr>
          <w:rFonts w:hint="default" w:ascii="Times New Roman" w:hAnsi="Times New Roman" w:cs="Times New Roman"/>
          <w:color w:val="auto"/>
          <w:kern w:val="0"/>
          <w:sz w:val="24"/>
        </w:rPr>
        <w:t>《污水综合排放标准》（GB8978-1996）表4中三级标准</w:t>
      </w:r>
      <w:r>
        <w:rPr>
          <w:rFonts w:hint="eastAsia" w:ascii="Times New Roman" w:hAnsi="Times New Roman" w:cs="Times New Roman"/>
          <w:color w:val="auto"/>
          <w:kern w:val="0"/>
          <w:sz w:val="24"/>
          <w:lang w:eastAsia="zh-CN"/>
        </w:rPr>
        <w:t>后</w:t>
      </w:r>
      <w:r>
        <w:rPr>
          <w:rFonts w:hint="default" w:ascii="Times New Roman" w:hAnsi="Times New Roman" w:cs="Times New Roman"/>
          <w:color w:val="auto"/>
          <w:kern w:val="0"/>
          <w:sz w:val="24"/>
        </w:rPr>
        <w:t>纳入</w:t>
      </w:r>
      <w:r>
        <w:rPr>
          <w:rFonts w:hint="eastAsia" w:ascii="Times New Roman" w:hAnsi="Times New Roman" w:eastAsia="宋体" w:cs="Times New Roman"/>
          <w:color w:val="auto"/>
          <w:kern w:val="0"/>
          <w:sz w:val="24"/>
          <w:lang w:eastAsia="zh-CN"/>
        </w:rPr>
        <w:t>城北</w:t>
      </w:r>
      <w:r>
        <w:rPr>
          <w:rFonts w:hint="default" w:ascii="Times New Roman" w:hAnsi="Times New Roman" w:cs="Times New Roman"/>
          <w:color w:val="auto"/>
          <w:kern w:val="0"/>
          <w:sz w:val="24"/>
        </w:rPr>
        <w:t>污水处理厂处理</w:t>
      </w:r>
      <w:r>
        <w:rPr>
          <w:rFonts w:hint="eastAsia" w:ascii="Times New Roman" w:hAnsi="Times New Roman" w:eastAsia="宋体" w:cs="Times New Roman"/>
          <w:color w:val="auto"/>
          <w:kern w:val="0"/>
          <w:sz w:val="24"/>
          <w:lang w:eastAsia="zh-CN"/>
        </w:rPr>
        <w:t>达标后排入淠河</w:t>
      </w:r>
      <w:r>
        <w:rPr>
          <w:rFonts w:hint="eastAsia"/>
          <w:sz w:val="24"/>
          <w:szCs w:val="24"/>
        </w:rPr>
        <w:t>。</w:t>
      </w:r>
      <w:r>
        <w:rPr>
          <w:kern w:val="0"/>
          <w:sz w:val="24"/>
        </w:rPr>
        <w:t>地表水评价级别判定依据见下表：</w:t>
      </w:r>
    </w:p>
    <w:p>
      <w:pPr>
        <w:widowControl/>
        <w:spacing w:line="240" w:lineRule="auto"/>
        <w:jc w:val="center"/>
        <w:rPr>
          <w:b/>
          <w:kern w:val="0"/>
          <w:sz w:val="24"/>
          <w:szCs w:val="24"/>
        </w:rPr>
      </w:pPr>
      <w:r>
        <w:rPr>
          <w:b/>
          <w:kern w:val="0"/>
          <w:sz w:val="24"/>
          <w:szCs w:val="24"/>
        </w:rPr>
        <w:t>表1</w:t>
      </w:r>
      <w:r>
        <w:rPr>
          <w:rFonts w:hint="eastAsia"/>
          <w:b/>
          <w:kern w:val="0"/>
          <w:sz w:val="24"/>
          <w:szCs w:val="24"/>
          <w:lang w:val="en-US" w:eastAsia="zh-CN"/>
        </w:rPr>
        <w:t>.</w:t>
      </w:r>
      <w:r>
        <w:rPr>
          <w:rFonts w:hint="eastAsia"/>
          <w:b/>
          <w:kern w:val="0"/>
          <w:sz w:val="24"/>
          <w:szCs w:val="24"/>
        </w:rPr>
        <w:t>8</w:t>
      </w:r>
      <w:r>
        <w:rPr>
          <w:b/>
          <w:kern w:val="0"/>
          <w:sz w:val="24"/>
          <w:szCs w:val="24"/>
        </w:rPr>
        <w:t>-3  水污染影响型建设项目评价等级判定</w:t>
      </w:r>
    </w:p>
    <w:tbl>
      <w:tblPr>
        <w:tblStyle w:val="22"/>
        <w:tblW w:w="863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2392"/>
        <w:gridCol w:w="2683"/>
        <w:gridCol w:w="35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451" w:hRule="exact"/>
          <w:jc w:val="center"/>
        </w:trPr>
        <w:tc>
          <w:tcPr>
            <w:tcW w:w="2392" w:type="dxa"/>
            <w:vMerge w:val="restart"/>
            <w:tcBorders>
              <w:tl2br w:val="nil"/>
              <w:tr2bl w:val="nil"/>
            </w:tcBorders>
            <w:shd w:val="clear" w:color="auto" w:fill="FFFFFF"/>
            <w:vAlign w:val="center"/>
          </w:tcPr>
          <w:p>
            <w:pPr>
              <w:spacing w:line="240" w:lineRule="auto"/>
              <w:jc w:val="center"/>
              <w:rPr>
                <w:rFonts w:eastAsiaTheme="minorEastAsia"/>
              </w:rPr>
            </w:pPr>
            <w:r>
              <w:rPr>
                <w:rFonts w:eastAsiaTheme="minorEastAsia"/>
              </w:rPr>
              <w:t>评价等级</w:t>
            </w:r>
          </w:p>
        </w:tc>
        <w:tc>
          <w:tcPr>
            <w:tcW w:w="6246" w:type="dxa"/>
            <w:gridSpan w:val="2"/>
            <w:tcBorders>
              <w:tl2br w:val="nil"/>
              <w:tr2bl w:val="nil"/>
            </w:tcBorders>
            <w:shd w:val="clear" w:color="auto" w:fill="FFFFFF"/>
            <w:vAlign w:val="center"/>
          </w:tcPr>
          <w:p>
            <w:pPr>
              <w:spacing w:line="240" w:lineRule="auto"/>
              <w:jc w:val="center"/>
              <w:rPr>
                <w:rFonts w:eastAsiaTheme="minorEastAsia"/>
              </w:rPr>
            </w:pPr>
            <w:r>
              <w:rPr>
                <w:rFonts w:eastAsiaTheme="minorEastAsia"/>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739" w:hRule="exact"/>
          <w:jc w:val="center"/>
        </w:trPr>
        <w:tc>
          <w:tcPr>
            <w:tcW w:w="2392" w:type="dxa"/>
            <w:vMerge w:val="continue"/>
            <w:tcBorders>
              <w:tl2br w:val="nil"/>
              <w:tr2bl w:val="nil"/>
            </w:tcBorders>
            <w:shd w:val="clear" w:color="auto" w:fill="FFFFFF"/>
            <w:vAlign w:val="center"/>
          </w:tcPr>
          <w:p>
            <w:pPr>
              <w:spacing w:line="240" w:lineRule="auto"/>
              <w:jc w:val="center"/>
              <w:rPr>
                <w:rFonts w:eastAsiaTheme="minorEastAsia"/>
              </w:rPr>
            </w:pPr>
          </w:p>
        </w:tc>
        <w:tc>
          <w:tcPr>
            <w:tcW w:w="2683" w:type="dxa"/>
            <w:tcBorders>
              <w:tl2br w:val="nil"/>
              <w:tr2bl w:val="nil"/>
            </w:tcBorders>
            <w:shd w:val="clear" w:color="auto" w:fill="FFFFFF"/>
            <w:vAlign w:val="center"/>
          </w:tcPr>
          <w:p>
            <w:pPr>
              <w:spacing w:line="240" w:lineRule="auto"/>
              <w:jc w:val="center"/>
              <w:rPr>
                <w:rFonts w:eastAsiaTheme="minorEastAsia"/>
              </w:rPr>
            </w:pPr>
            <w:r>
              <w:rPr>
                <w:rFonts w:eastAsiaTheme="minorEastAsia"/>
              </w:rPr>
              <w:t>排放方式</w:t>
            </w:r>
          </w:p>
        </w:tc>
        <w:tc>
          <w:tcPr>
            <w:tcW w:w="3563" w:type="dxa"/>
            <w:tcBorders>
              <w:tl2br w:val="nil"/>
              <w:tr2bl w:val="nil"/>
            </w:tcBorders>
            <w:shd w:val="clear" w:color="auto" w:fill="FFFFFF"/>
            <w:vAlign w:val="center"/>
          </w:tcPr>
          <w:p>
            <w:pPr>
              <w:spacing w:line="240" w:lineRule="auto"/>
              <w:jc w:val="center"/>
              <w:rPr>
                <w:rFonts w:eastAsiaTheme="minorEastAsia"/>
              </w:rPr>
            </w:pPr>
            <w:r>
              <w:rPr>
                <w:rFonts w:eastAsiaTheme="minorEastAsia"/>
              </w:rPr>
              <w:t xml:space="preserve">废水排放量Q </w:t>
            </w:r>
            <w:r>
              <w:rPr>
                <w:rFonts w:eastAsiaTheme="minorEastAsia"/>
                <w:lang w:val="zh-TW"/>
              </w:rPr>
              <w:t xml:space="preserve">/ </w:t>
            </w:r>
            <w:r>
              <w:rPr>
                <w:rFonts w:hint="eastAsia" w:eastAsiaTheme="minorEastAsia"/>
              </w:rPr>
              <w:t>（</w:t>
            </w:r>
            <w:r>
              <w:rPr>
                <w:rFonts w:eastAsiaTheme="minorEastAsia"/>
              </w:rPr>
              <w:t>m</w:t>
            </w:r>
            <w:r>
              <w:rPr>
                <w:rFonts w:eastAsiaTheme="minorEastAsia"/>
                <w:vertAlign w:val="superscript"/>
              </w:rPr>
              <w:t>3</w:t>
            </w:r>
            <w:r>
              <w:rPr>
                <w:rFonts w:eastAsiaTheme="minorEastAsia"/>
              </w:rPr>
              <w:t>/d</w:t>
            </w:r>
            <w:r>
              <w:rPr>
                <w:rFonts w:hint="eastAsia" w:eastAsiaTheme="minorEastAsia"/>
              </w:rPr>
              <w:t>）</w:t>
            </w:r>
            <w:r>
              <w:rPr>
                <w:rFonts w:eastAsiaTheme="minorEastAsia"/>
                <w:lang w:val="zh-TW"/>
              </w:rPr>
              <w:t>;</w:t>
            </w:r>
          </w:p>
          <w:p>
            <w:pPr>
              <w:spacing w:line="240" w:lineRule="auto"/>
              <w:jc w:val="center"/>
              <w:rPr>
                <w:rFonts w:eastAsiaTheme="minorEastAsia"/>
              </w:rPr>
            </w:pPr>
            <w:r>
              <w:rPr>
                <w:rFonts w:eastAsiaTheme="minorEastAsia"/>
              </w:rPr>
              <w:t>水污染物当量数W</w:t>
            </w:r>
            <w:r>
              <w:rPr>
                <w:rFonts w:eastAsiaTheme="minorEastAsia"/>
                <w:lang w:val="zh-TW"/>
              </w:rPr>
              <w:t xml:space="preserve"> / </w:t>
            </w:r>
            <w:r>
              <w:rPr>
                <w:rFonts w:hint="eastAsia" w:eastAsiaTheme="minorEastAsia"/>
                <w:lang w:val="zh-TW"/>
              </w:rPr>
              <w:t>（</w:t>
            </w:r>
            <w:r>
              <w:rPr>
                <w:rFonts w:eastAsiaTheme="minorEastAsia"/>
              </w:rPr>
              <w:t>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84" w:hRule="exact"/>
          <w:jc w:val="center"/>
        </w:trPr>
        <w:tc>
          <w:tcPr>
            <w:tcW w:w="2392" w:type="dxa"/>
            <w:tcBorders>
              <w:tl2br w:val="nil"/>
              <w:tr2bl w:val="nil"/>
            </w:tcBorders>
            <w:shd w:val="clear" w:color="auto" w:fill="FFFFFF"/>
            <w:vAlign w:val="center"/>
          </w:tcPr>
          <w:p>
            <w:pPr>
              <w:spacing w:line="240" w:lineRule="auto"/>
              <w:jc w:val="center"/>
              <w:rPr>
                <w:rFonts w:eastAsiaTheme="minorEastAsia"/>
              </w:rPr>
            </w:pPr>
            <w:r>
              <w:rPr>
                <w:rFonts w:eastAsiaTheme="minorEastAsia"/>
              </w:rPr>
              <w:t>一级</w:t>
            </w:r>
          </w:p>
        </w:tc>
        <w:tc>
          <w:tcPr>
            <w:tcW w:w="2683" w:type="dxa"/>
            <w:tcBorders>
              <w:tl2br w:val="nil"/>
              <w:tr2bl w:val="nil"/>
            </w:tcBorders>
            <w:shd w:val="clear" w:color="auto" w:fill="FFFFFF"/>
            <w:vAlign w:val="center"/>
          </w:tcPr>
          <w:p>
            <w:pPr>
              <w:spacing w:line="240" w:lineRule="auto"/>
              <w:jc w:val="center"/>
              <w:rPr>
                <w:rFonts w:eastAsiaTheme="minorEastAsia"/>
              </w:rPr>
            </w:pPr>
            <w:r>
              <w:rPr>
                <w:rFonts w:eastAsiaTheme="minorEastAsia"/>
              </w:rPr>
              <w:t>直接排放</w:t>
            </w:r>
          </w:p>
        </w:tc>
        <w:tc>
          <w:tcPr>
            <w:tcW w:w="3563" w:type="dxa"/>
            <w:tcBorders>
              <w:tl2br w:val="nil"/>
              <w:tr2bl w:val="nil"/>
            </w:tcBorders>
            <w:shd w:val="clear" w:color="auto" w:fill="FFFFFF"/>
            <w:vAlign w:val="center"/>
          </w:tcPr>
          <w:p>
            <w:pPr>
              <w:spacing w:line="240" w:lineRule="auto"/>
              <w:jc w:val="center"/>
              <w:rPr>
                <w:rFonts w:eastAsiaTheme="minorEastAsia"/>
              </w:rPr>
            </w:pPr>
            <w:r>
              <w:t>Q≧</w:t>
            </w:r>
            <w:r>
              <w:rPr>
                <w:rFonts w:eastAsiaTheme="minorEastAsia"/>
                <w:lang w:val="zh-TW"/>
              </w:rPr>
              <w:t xml:space="preserve">20000 </w:t>
            </w:r>
            <w:r>
              <w:rPr>
                <w:rFonts w:eastAsiaTheme="minorEastAsia"/>
              </w:rPr>
              <w:t>或W</w:t>
            </w:r>
            <w:r>
              <w:t>≧</w:t>
            </w:r>
            <w:r>
              <w:rPr>
                <w:rFonts w:eastAsiaTheme="minorEastAsia"/>
                <w:lang w:val="zh-TW"/>
              </w:rPr>
              <w:t>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74" w:hRule="exact"/>
          <w:jc w:val="center"/>
        </w:trPr>
        <w:tc>
          <w:tcPr>
            <w:tcW w:w="2392" w:type="dxa"/>
            <w:tcBorders>
              <w:tl2br w:val="nil"/>
              <w:tr2bl w:val="nil"/>
            </w:tcBorders>
            <w:shd w:val="clear" w:color="auto" w:fill="FFFFFF"/>
            <w:vAlign w:val="center"/>
          </w:tcPr>
          <w:p>
            <w:pPr>
              <w:spacing w:line="240" w:lineRule="auto"/>
              <w:jc w:val="center"/>
              <w:rPr>
                <w:rFonts w:eastAsiaTheme="minorEastAsia"/>
              </w:rPr>
            </w:pPr>
            <w:r>
              <w:rPr>
                <w:rFonts w:eastAsiaTheme="minorEastAsia"/>
              </w:rPr>
              <w:t>二级</w:t>
            </w:r>
          </w:p>
        </w:tc>
        <w:tc>
          <w:tcPr>
            <w:tcW w:w="2683" w:type="dxa"/>
            <w:tcBorders>
              <w:tl2br w:val="nil"/>
              <w:tr2bl w:val="nil"/>
            </w:tcBorders>
            <w:shd w:val="clear" w:color="auto" w:fill="FFFFFF"/>
            <w:vAlign w:val="center"/>
          </w:tcPr>
          <w:p>
            <w:pPr>
              <w:spacing w:line="240" w:lineRule="auto"/>
              <w:jc w:val="center"/>
              <w:rPr>
                <w:rFonts w:eastAsiaTheme="minorEastAsia"/>
              </w:rPr>
            </w:pPr>
            <w:r>
              <w:rPr>
                <w:rFonts w:eastAsiaTheme="minorEastAsia"/>
              </w:rPr>
              <w:t>直接排放</w:t>
            </w:r>
          </w:p>
        </w:tc>
        <w:tc>
          <w:tcPr>
            <w:tcW w:w="3563" w:type="dxa"/>
            <w:tcBorders>
              <w:tl2br w:val="nil"/>
              <w:tr2bl w:val="nil"/>
            </w:tcBorders>
            <w:shd w:val="clear" w:color="auto" w:fill="FFFFFF"/>
            <w:vAlign w:val="center"/>
          </w:tcPr>
          <w:p>
            <w:pPr>
              <w:spacing w:line="240" w:lineRule="auto"/>
              <w:jc w:val="center"/>
              <w:rPr>
                <w:rFonts w:eastAsiaTheme="minorEastAsia"/>
              </w:rPr>
            </w:pPr>
            <w:r>
              <w:rPr>
                <w:rFonts w:eastAsiaTheme="minorEastAsia"/>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74" w:hRule="exact"/>
          <w:jc w:val="center"/>
        </w:trPr>
        <w:tc>
          <w:tcPr>
            <w:tcW w:w="2392" w:type="dxa"/>
            <w:tcBorders>
              <w:tl2br w:val="nil"/>
              <w:tr2bl w:val="nil"/>
            </w:tcBorders>
            <w:shd w:val="clear" w:color="auto" w:fill="FFFFFF"/>
            <w:vAlign w:val="center"/>
          </w:tcPr>
          <w:p>
            <w:pPr>
              <w:spacing w:line="240" w:lineRule="auto"/>
              <w:jc w:val="center"/>
              <w:rPr>
                <w:rFonts w:eastAsiaTheme="minorEastAsia"/>
              </w:rPr>
            </w:pPr>
            <w:r>
              <w:rPr>
                <w:rFonts w:eastAsiaTheme="minorEastAsia"/>
              </w:rPr>
              <w:t>三级A</w:t>
            </w:r>
          </w:p>
        </w:tc>
        <w:tc>
          <w:tcPr>
            <w:tcW w:w="2683" w:type="dxa"/>
            <w:tcBorders>
              <w:tl2br w:val="nil"/>
              <w:tr2bl w:val="nil"/>
            </w:tcBorders>
            <w:shd w:val="clear" w:color="auto" w:fill="FFFFFF"/>
            <w:vAlign w:val="center"/>
          </w:tcPr>
          <w:p>
            <w:pPr>
              <w:spacing w:line="240" w:lineRule="auto"/>
              <w:jc w:val="center"/>
              <w:rPr>
                <w:rFonts w:eastAsiaTheme="minorEastAsia"/>
              </w:rPr>
            </w:pPr>
            <w:r>
              <w:rPr>
                <w:rFonts w:eastAsiaTheme="minorEastAsia"/>
              </w:rPr>
              <w:t>直接排放</w:t>
            </w:r>
          </w:p>
        </w:tc>
        <w:tc>
          <w:tcPr>
            <w:tcW w:w="3563" w:type="dxa"/>
            <w:tcBorders>
              <w:tl2br w:val="nil"/>
              <w:tr2bl w:val="nil"/>
            </w:tcBorders>
            <w:shd w:val="clear" w:color="auto" w:fill="FFFFFF"/>
            <w:vAlign w:val="center"/>
          </w:tcPr>
          <w:p>
            <w:pPr>
              <w:spacing w:line="240" w:lineRule="auto"/>
              <w:jc w:val="center"/>
              <w:rPr>
                <w:rFonts w:eastAsiaTheme="minorEastAsia"/>
              </w:rPr>
            </w:pPr>
            <w:r>
              <w:rPr>
                <w:rFonts w:eastAsiaTheme="minorEastAsia"/>
              </w:rPr>
              <w:t>Q</w:t>
            </w:r>
            <w:r>
              <w:rPr>
                <w:rFonts w:eastAsiaTheme="minorEastAsia"/>
                <w:lang w:val="zh-TW"/>
              </w:rPr>
              <w:t xml:space="preserve">&lt;200 </w:t>
            </w:r>
            <w:r>
              <w:rPr>
                <w:rFonts w:eastAsiaTheme="minorEastAsia"/>
              </w:rPr>
              <w:t>且W</w:t>
            </w:r>
            <w:r>
              <w:rPr>
                <w:rFonts w:eastAsiaTheme="minorEastAsia"/>
                <w:lang w:val="zh-TW"/>
              </w:rPr>
              <w:t>&lt;6000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79" w:hRule="exact"/>
          <w:jc w:val="center"/>
        </w:trPr>
        <w:tc>
          <w:tcPr>
            <w:tcW w:w="2392" w:type="dxa"/>
            <w:tcBorders>
              <w:tl2br w:val="nil"/>
              <w:tr2bl w:val="nil"/>
            </w:tcBorders>
            <w:shd w:val="clear" w:color="auto" w:fill="D7D7D7" w:themeFill="background1" w:themeFillShade="D8"/>
            <w:vAlign w:val="center"/>
          </w:tcPr>
          <w:p>
            <w:pPr>
              <w:spacing w:line="240" w:lineRule="auto"/>
              <w:jc w:val="center"/>
              <w:rPr>
                <w:rFonts w:eastAsiaTheme="minorEastAsia"/>
              </w:rPr>
            </w:pPr>
            <w:r>
              <w:rPr>
                <w:rFonts w:eastAsiaTheme="minorEastAsia"/>
              </w:rPr>
              <w:t>三级B</w:t>
            </w:r>
          </w:p>
        </w:tc>
        <w:tc>
          <w:tcPr>
            <w:tcW w:w="2683" w:type="dxa"/>
            <w:tcBorders>
              <w:tl2br w:val="nil"/>
              <w:tr2bl w:val="nil"/>
            </w:tcBorders>
            <w:shd w:val="clear" w:color="auto" w:fill="D7D7D7" w:themeFill="background1" w:themeFillShade="D8"/>
            <w:vAlign w:val="center"/>
          </w:tcPr>
          <w:p>
            <w:pPr>
              <w:spacing w:line="240" w:lineRule="auto"/>
              <w:jc w:val="center"/>
              <w:rPr>
                <w:rFonts w:eastAsiaTheme="minorEastAsia"/>
              </w:rPr>
            </w:pPr>
            <w:r>
              <w:rPr>
                <w:rFonts w:eastAsiaTheme="minorEastAsia"/>
              </w:rPr>
              <w:t>间接排放</w:t>
            </w:r>
          </w:p>
        </w:tc>
        <w:tc>
          <w:tcPr>
            <w:tcW w:w="3563" w:type="dxa"/>
            <w:tcBorders>
              <w:tl2br w:val="nil"/>
              <w:tr2bl w:val="nil"/>
            </w:tcBorders>
            <w:shd w:val="clear" w:color="auto" w:fill="D7D7D7" w:themeFill="background1" w:themeFillShade="D8"/>
            <w:vAlign w:val="center"/>
          </w:tcPr>
          <w:p>
            <w:pPr>
              <w:spacing w:line="240" w:lineRule="auto"/>
              <w:jc w:val="center"/>
              <w:rPr>
                <w:rFonts w:eastAsiaTheme="minorEastAsia"/>
              </w:rPr>
            </w:pPr>
            <w:r>
              <w:rPr>
                <w:rFonts w:eastAsiaTheme="minorEastAsia"/>
              </w:rPr>
              <w:t>—</w:t>
            </w:r>
          </w:p>
        </w:tc>
      </w:tr>
    </w:tbl>
    <w:p>
      <w:pPr>
        <w:ind w:firstLine="480" w:firstLineChars="200"/>
        <w:rPr>
          <w:sz w:val="24"/>
          <w:szCs w:val="24"/>
        </w:rPr>
      </w:pPr>
      <w:r>
        <w:rPr>
          <w:sz w:val="24"/>
          <w:szCs w:val="24"/>
        </w:rPr>
        <w:t>对照《环境影响评价技术导则 地表水环境》（HJ2.3-2018），确定本次地表水环境影响评价等级为</w:t>
      </w:r>
      <w:r>
        <w:rPr>
          <w:rFonts w:hint="eastAsia"/>
          <w:sz w:val="24"/>
          <w:szCs w:val="24"/>
        </w:rPr>
        <w:t>三级B</w:t>
      </w:r>
      <w:r>
        <w:rPr>
          <w:sz w:val="24"/>
          <w:szCs w:val="24"/>
        </w:rPr>
        <w:t>。</w:t>
      </w:r>
    </w:p>
    <w:p>
      <w:pPr>
        <w:ind w:firstLine="480" w:firstLineChars="200"/>
        <w:rPr>
          <w:sz w:val="24"/>
          <w:szCs w:val="24"/>
        </w:rPr>
      </w:pPr>
      <w:r>
        <w:rPr>
          <w:sz w:val="24"/>
          <w:szCs w:val="24"/>
        </w:rPr>
        <w:t>（3）声环境评价工作等级</w:t>
      </w:r>
    </w:p>
    <w:p>
      <w:pPr>
        <w:ind w:firstLine="480" w:firstLineChars="200"/>
        <w:jc w:val="left"/>
        <w:rPr>
          <w:bCs/>
          <w:color w:val="FF0000"/>
          <w:sz w:val="24"/>
          <w:szCs w:val="24"/>
        </w:rPr>
      </w:pPr>
      <w:r>
        <w:rPr>
          <w:sz w:val="24"/>
          <w:szCs w:val="24"/>
        </w:rPr>
        <w:t>项目</w:t>
      </w:r>
      <w:r>
        <w:rPr>
          <w:rFonts w:hint="eastAsia"/>
          <w:sz w:val="24"/>
          <w:szCs w:val="24"/>
          <w:lang w:eastAsia="zh-CN"/>
        </w:rPr>
        <w:t>所在区域</w:t>
      </w:r>
      <w:r>
        <w:rPr>
          <w:sz w:val="24"/>
          <w:szCs w:val="24"/>
        </w:rPr>
        <w:t>属于《声环境质量标准》（GB3096-2008）中的</w:t>
      </w:r>
      <w:r>
        <w:rPr>
          <w:rFonts w:hint="eastAsia"/>
          <w:sz w:val="24"/>
          <w:szCs w:val="24"/>
          <w:lang w:val="en-US" w:eastAsia="zh-CN"/>
        </w:rPr>
        <w:t>3</w:t>
      </w:r>
      <w:r>
        <w:rPr>
          <w:sz w:val="24"/>
          <w:szCs w:val="24"/>
        </w:rPr>
        <w:t>类声环境功能区，</w:t>
      </w:r>
      <w:r>
        <w:rPr>
          <w:bCs/>
          <w:sz w:val="24"/>
          <w:szCs w:val="24"/>
        </w:rPr>
        <w:t>根据《环境影响评价技术导则声环境》（HJ2.4-2009）相关规定，</w:t>
      </w:r>
      <w:r>
        <w:rPr>
          <w:sz w:val="24"/>
          <w:szCs w:val="24"/>
        </w:rPr>
        <w:t>确定本次声环境评价定为</w:t>
      </w:r>
      <w:r>
        <w:rPr>
          <w:rFonts w:hint="eastAsia"/>
          <w:sz w:val="24"/>
          <w:szCs w:val="24"/>
          <w:lang w:eastAsia="zh-CN"/>
        </w:rPr>
        <w:t>三</w:t>
      </w:r>
      <w:r>
        <w:rPr>
          <w:sz w:val="24"/>
          <w:szCs w:val="24"/>
        </w:rPr>
        <w:t>级。</w:t>
      </w:r>
    </w:p>
    <w:p>
      <w:pPr>
        <w:spacing w:line="240" w:lineRule="auto"/>
        <w:jc w:val="center"/>
        <w:rPr>
          <w:b/>
          <w:sz w:val="24"/>
          <w:szCs w:val="24"/>
        </w:rPr>
      </w:pPr>
      <w:r>
        <w:rPr>
          <w:b/>
          <w:sz w:val="24"/>
          <w:szCs w:val="24"/>
        </w:rPr>
        <w:t>表1</w:t>
      </w:r>
      <w:r>
        <w:rPr>
          <w:rFonts w:hint="eastAsia"/>
          <w:b/>
          <w:sz w:val="24"/>
          <w:szCs w:val="24"/>
          <w:lang w:val="en-US" w:eastAsia="zh-CN"/>
        </w:rPr>
        <w:t>.</w:t>
      </w:r>
      <w:r>
        <w:rPr>
          <w:rFonts w:hint="eastAsia"/>
          <w:b/>
          <w:sz w:val="24"/>
          <w:szCs w:val="24"/>
        </w:rPr>
        <w:t>8</w:t>
      </w:r>
      <w:r>
        <w:rPr>
          <w:b/>
          <w:sz w:val="24"/>
          <w:szCs w:val="24"/>
        </w:rPr>
        <w:t>-4  声环境影响评价工作等级划分依据表</w:t>
      </w:r>
    </w:p>
    <w:tbl>
      <w:tblPr>
        <w:tblStyle w:val="22"/>
        <w:tblW w:w="8722"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067"/>
        <w:gridCol w:w="665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90" w:hRule="atLeast"/>
          <w:jc w:val="center"/>
        </w:trPr>
        <w:tc>
          <w:tcPr>
            <w:tcW w:w="2067" w:type="dxa"/>
            <w:vAlign w:val="center"/>
          </w:tcPr>
          <w:p>
            <w:pPr>
              <w:widowControl/>
              <w:spacing w:line="240" w:lineRule="auto"/>
              <w:jc w:val="center"/>
              <w:rPr>
                <w:kern w:val="0"/>
              </w:rPr>
            </w:pPr>
            <w:r>
              <w:rPr>
                <w:kern w:val="0"/>
              </w:rPr>
              <w:t>评价工作等级</w:t>
            </w:r>
          </w:p>
        </w:tc>
        <w:tc>
          <w:tcPr>
            <w:tcW w:w="6655" w:type="dxa"/>
            <w:vAlign w:val="center"/>
          </w:tcPr>
          <w:p>
            <w:pPr>
              <w:widowControl/>
              <w:spacing w:line="240" w:lineRule="auto"/>
              <w:jc w:val="center"/>
              <w:rPr>
                <w:kern w:val="0"/>
              </w:rPr>
            </w:pPr>
            <w:r>
              <w:rPr>
                <w:kern w:val="0"/>
              </w:rPr>
              <w:t>评价工作分级判据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4" w:hRule="atLeast"/>
          <w:jc w:val="center"/>
        </w:trPr>
        <w:tc>
          <w:tcPr>
            <w:tcW w:w="2067" w:type="dxa"/>
            <w:vAlign w:val="center"/>
          </w:tcPr>
          <w:p>
            <w:pPr>
              <w:widowControl/>
              <w:spacing w:line="240" w:lineRule="auto"/>
              <w:jc w:val="center"/>
              <w:rPr>
                <w:kern w:val="0"/>
              </w:rPr>
            </w:pPr>
            <w:r>
              <w:rPr>
                <w:kern w:val="0"/>
              </w:rPr>
              <w:t>一级</w:t>
            </w:r>
          </w:p>
        </w:tc>
        <w:tc>
          <w:tcPr>
            <w:tcW w:w="6655" w:type="dxa"/>
            <w:vAlign w:val="center"/>
          </w:tcPr>
          <w:p>
            <w:pPr>
              <w:widowControl/>
              <w:spacing w:line="240" w:lineRule="auto"/>
              <w:jc w:val="center"/>
              <w:rPr>
                <w:iCs/>
                <w:kern w:val="0"/>
              </w:rPr>
            </w:pPr>
            <w:r>
              <w:rPr>
                <w:iCs/>
                <w:kern w:val="0"/>
              </w:rPr>
              <w:t>评价范围内有适用于GB3096规定的0类声环境功能区域，以及对噪声有特别限制要求的保护区等敏感目标，或建设项目建设前后评价范围内敏感目标噪声级增高量达5dB（A）以上（不含5dB（A）），或受影响人口数量显著增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857" w:hRule="atLeast"/>
          <w:jc w:val="center"/>
        </w:trPr>
        <w:tc>
          <w:tcPr>
            <w:tcW w:w="2067" w:type="dxa"/>
            <w:tcBorders>
              <w:bottom w:val="single" w:color="000000" w:sz="4" w:space="0"/>
            </w:tcBorders>
            <w:shd w:val="clear" w:color="auto" w:fill="FFFFFF" w:themeFill="background1"/>
            <w:vAlign w:val="center"/>
          </w:tcPr>
          <w:p>
            <w:pPr>
              <w:widowControl/>
              <w:spacing w:line="240" w:lineRule="auto"/>
              <w:jc w:val="center"/>
              <w:rPr>
                <w:kern w:val="0"/>
              </w:rPr>
            </w:pPr>
            <w:r>
              <w:rPr>
                <w:kern w:val="0"/>
              </w:rPr>
              <w:t>二级</w:t>
            </w:r>
          </w:p>
        </w:tc>
        <w:tc>
          <w:tcPr>
            <w:tcW w:w="6655" w:type="dxa"/>
            <w:tcBorders>
              <w:bottom w:val="single" w:color="000000" w:sz="4" w:space="0"/>
            </w:tcBorders>
            <w:shd w:val="clear" w:color="auto" w:fill="FFFFFF" w:themeFill="background1"/>
            <w:vAlign w:val="center"/>
          </w:tcPr>
          <w:p>
            <w:pPr>
              <w:widowControl/>
              <w:spacing w:line="240" w:lineRule="auto"/>
              <w:jc w:val="center"/>
              <w:rPr>
                <w:kern w:val="0"/>
              </w:rPr>
            </w:pPr>
            <w:r>
              <w:rPr>
                <w:kern w:val="0"/>
              </w:rPr>
              <w:t>建设项目所处的声环境功能区为GB3096 规定的1类、2类地区，或建设项目建设前后评价范围内敏感目标噪声级增高量达3dB</w:t>
            </w:r>
            <w:r>
              <w:rPr>
                <w:iCs/>
                <w:kern w:val="0"/>
              </w:rPr>
              <w:t>（A）</w:t>
            </w:r>
            <w:r>
              <w:rPr>
                <w:kern w:val="0"/>
              </w:rPr>
              <w:t>～5dB</w:t>
            </w:r>
            <w:r>
              <w:rPr>
                <w:iCs/>
                <w:kern w:val="0"/>
              </w:rPr>
              <w:t>（A）</w:t>
            </w:r>
            <w:r>
              <w:rPr>
                <w:kern w:val="0"/>
              </w:rPr>
              <w:t>（含5dB</w:t>
            </w:r>
            <w:r>
              <w:rPr>
                <w:iCs/>
                <w:kern w:val="0"/>
              </w:rPr>
              <w:t>（A）</w:t>
            </w:r>
            <w:r>
              <w:rPr>
                <w:kern w:val="0"/>
              </w:rPr>
              <w:t>），或受噪声影响人口数量增加较多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20" w:hRule="atLeast"/>
          <w:jc w:val="center"/>
        </w:trPr>
        <w:tc>
          <w:tcPr>
            <w:tcW w:w="2067" w:type="dxa"/>
            <w:tcBorders>
              <w:top w:val="single" w:color="000000" w:sz="4" w:space="0"/>
              <w:bottom w:val="single" w:color="000000" w:sz="12" w:space="0"/>
            </w:tcBorders>
            <w:shd w:val="clear" w:color="auto" w:fill="BEBEBE" w:themeFill="background1" w:themeFillShade="BF"/>
            <w:vAlign w:val="center"/>
          </w:tcPr>
          <w:p>
            <w:pPr>
              <w:widowControl/>
              <w:spacing w:line="240" w:lineRule="auto"/>
              <w:jc w:val="center"/>
              <w:rPr>
                <w:kern w:val="0"/>
              </w:rPr>
            </w:pPr>
            <w:r>
              <w:rPr>
                <w:kern w:val="0"/>
              </w:rPr>
              <w:t>三级</w:t>
            </w:r>
          </w:p>
        </w:tc>
        <w:tc>
          <w:tcPr>
            <w:tcW w:w="6655" w:type="dxa"/>
            <w:tcBorders>
              <w:top w:val="single" w:color="000000" w:sz="4" w:space="0"/>
              <w:bottom w:val="single" w:color="000000" w:sz="12" w:space="0"/>
            </w:tcBorders>
            <w:shd w:val="clear" w:color="auto" w:fill="BEBEBE" w:themeFill="background1" w:themeFillShade="BF"/>
            <w:vAlign w:val="center"/>
          </w:tcPr>
          <w:p>
            <w:pPr>
              <w:widowControl/>
              <w:spacing w:line="240" w:lineRule="auto"/>
              <w:jc w:val="center"/>
              <w:rPr>
                <w:iCs/>
                <w:kern w:val="0"/>
              </w:rPr>
            </w:pPr>
            <w:r>
              <w:rPr>
                <w:iCs/>
                <w:kern w:val="0"/>
              </w:rPr>
              <w:t>建设项目所处的声环境功能区为GB3096 规定的3类、4 类地区，或建设项目建设前后评价范围内敏感目标噪声级增高量在3dB（A）以下（不含3dB（A）），且受影响人口数量变化不大</w:t>
            </w:r>
          </w:p>
        </w:tc>
      </w:tr>
    </w:tbl>
    <w:p>
      <w:pPr>
        <w:ind w:firstLine="480" w:firstLineChars="200"/>
        <w:rPr>
          <w:sz w:val="24"/>
          <w:szCs w:val="24"/>
        </w:rPr>
      </w:pPr>
      <w:r>
        <w:rPr>
          <w:sz w:val="24"/>
          <w:szCs w:val="24"/>
        </w:rPr>
        <w:t>（4）地下水环境评价工作等级</w:t>
      </w:r>
    </w:p>
    <w:p>
      <w:pPr>
        <w:ind w:firstLine="480" w:firstLineChars="200"/>
        <w:rPr>
          <w:sz w:val="24"/>
          <w:szCs w:val="24"/>
        </w:rPr>
      </w:pPr>
      <w:r>
        <w:rPr>
          <w:sz w:val="24"/>
          <w:szCs w:val="24"/>
        </w:rPr>
        <w:t>根据《环境影响评价技术导则 地下水环境》（HJ610-2016），本项目地下水环境影响评价项目类别为III类。</w:t>
      </w:r>
    </w:p>
    <w:p>
      <w:pPr>
        <w:ind w:firstLine="480" w:firstLineChars="200"/>
        <w:rPr>
          <w:sz w:val="24"/>
          <w:szCs w:val="24"/>
        </w:rPr>
      </w:pPr>
      <w:r>
        <w:rPr>
          <w:sz w:val="24"/>
          <w:szCs w:val="24"/>
        </w:rPr>
        <w:t>本项目对地下水的影响主要停留在生产运行阶段，影响程度为轻度；建设期对地下水的影响短暂，随施工的结束而停止；服务期满后，本项目废水污染物主要为非持久性污染物。根据《环境影响评价技术导则</w:t>
      </w:r>
      <w:r>
        <w:rPr>
          <w:rFonts w:hint="eastAsia"/>
          <w:sz w:val="24"/>
          <w:szCs w:val="24"/>
          <w:lang w:val="en-US" w:eastAsia="zh-CN"/>
        </w:rPr>
        <w:t xml:space="preserve"> </w:t>
      </w:r>
      <w:r>
        <w:rPr>
          <w:sz w:val="24"/>
          <w:szCs w:val="24"/>
        </w:rPr>
        <w:t>地下水环境》（HJ610-2016），地下水环境影响评价工作等级分级情况见表1</w:t>
      </w:r>
      <w:r>
        <w:rPr>
          <w:rFonts w:hint="eastAsia"/>
          <w:sz w:val="24"/>
          <w:szCs w:val="24"/>
          <w:lang w:val="en-US" w:eastAsia="zh-CN"/>
        </w:rPr>
        <w:t>.</w:t>
      </w:r>
      <w:r>
        <w:rPr>
          <w:rFonts w:hint="eastAsia"/>
          <w:sz w:val="24"/>
          <w:szCs w:val="24"/>
        </w:rPr>
        <w:t>8</w:t>
      </w:r>
      <w:r>
        <w:rPr>
          <w:sz w:val="24"/>
          <w:szCs w:val="24"/>
        </w:rPr>
        <w:t>-</w:t>
      </w:r>
      <w:r>
        <w:rPr>
          <w:rFonts w:hint="eastAsia"/>
          <w:sz w:val="24"/>
          <w:szCs w:val="24"/>
          <w:lang w:val="en-US" w:eastAsia="zh-CN"/>
        </w:rPr>
        <w:t>5</w:t>
      </w:r>
      <w:r>
        <w:rPr>
          <w:sz w:val="24"/>
          <w:szCs w:val="24"/>
        </w:rPr>
        <w:t>。</w:t>
      </w:r>
    </w:p>
    <w:p>
      <w:pPr>
        <w:spacing w:line="240" w:lineRule="auto"/>
        <w:jc w:val="center"/>
        <w:rPr>
          <w:b/>
          <w:bCs/>
          <w:sz w:val="24"/>
          <w:szCs w:val="24"/>
        </w:rPr>
      </w:pPr>
      <w:r>
        <w:rPr>
          <w:b/>
          <w:bCs/>
          <w:sz w:val="24"/>
          <w:szCs w:val="24"/>
        </w:rPr>
        <w:t>表1</w:t>
      </w:r>
      <w:r>
        <w:rPr>
          <w:rFonts w:hint="eastAsia"/>
          <w:b/>
          <w:bCs/>
          <w:sz w:val="24"/>
          <w:szCs w:val="24"/>
          <w:lang w:val="en-US" w:eastAsia="zh-CN"/>
        </w:rPr>
        <w:t>.</w:t>
      </w:r>
      <w:r>
        <w:rPr>
          <w:rFonts w:hint="eastAsia"/>
          <w:b/>
          <w:bCs/>
          <w:sz w:val="24"/>
          <w:szCs w:val="24"/>
        </w:rPr>
        <w:t>8</w:t>
      </w:r>
      <w:r>
        <w:rPr>
          <w:b/>
          <w:bCs/>
          <w:sz w:val="24"/>
          <w:szCs w:val="24"/>
        </w:rPr>
        <w:t>-</w:t>
      </w:r>
      <w:r>
        <w:rPr>
          <w:rFonts w:hint="eastAsia"/>
          <w:b/>
          <w:bCs/>
          <w:sz w:val="24"/>
          <w:szCs w:val="24"/>
          <w:lang w:val="en-US" w:eastAsia="zh-CN"/>
        </w:rPr>
        <w:t>5</w:t>
      </w:r>
      <w:r>
        <w:rPr>
          <w:b/>
          <w:bCs/>
          <w:sz w:val="24"/>
          <w:szCs w:val="24"/>
        </w:rPr>
        <w:t xml:space="preserve"> 地下水环境影响评价工作等级分级表</w:t>
      </w:r>
    </w:p>
    <w:tbl>
      <w:tblPr>
        <w:tblStyle w:val="23"/>
        <w:tblW w:w="859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69"/>
        <w:gridCol w:w="2080"/>
        <w:gridCol w:w="1633"/>
        <w:gridCol w:w="16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269" w:type="dxa"/>
            <w:tcBorders>
              <w:tl2br w:val="nil"/>
              <w:tr2bl w:val="nil"/>
            </w:tcBorders>
            <w:vAlign w:val="center"/>
          </w:tcPr>
          <w:p>
            <w:pPr>
              <w:spacing w:line="240" w:lineRule="auto"/>
              <w:ind w:left="1936" w:leftChars="522" w:hanging="840" w:hangingChars="400"/>
            </w:pPr>
            <w:r>
              <w:t>项目类别</w:t>
            </w:r>
          </w:p>
          <w:p>
            <w:pPr>
              <w:spacing w:line="240" w:lineRule="auto"/>
            </w:pPr>
            <w:r>
              <w:t>环境敏感程度</w:t>
            </w:r>
          </w:p>
        </w:tc>
        <w:tc>
          <w:tcPr>
            <w:tcW w:w="2080" w:type="dxa"/>
            <w:tcBorders>
              <w:tl2br w:val="nil"/>
              <w:tr2bl w:val="nil"/>
            </w:tcBorders>
            <w:vAlign w:val="center"/>
          </w:tcPr>
          <w:p>
            <w:pPr>
              <w:spacing w:line="240" w:lineRule="auto"/>
              <w:jc w:val="center"/>
            </w:pPr>
            <w:r>
              <w:t>Ⅰ类项目</w:t>
            </w:r>
          </w:p>
        </w:tc>
        <w:tc>
          <w:tcPr>
            <w:tcW w:w="1633" w:type="dxa"/>
            <w:tcBorders>
              <w:tl2br w:val="nil"/>
              <w:tr2bl w:val="nil"/>
            </w:tcBorders>
            <w:vAlign w:val="center"/>
          </w:tcPr>
          <w:p>
            <w:pPr>
              <w:spacing w:line="240" w:lineRule="auto"/>
              <w:jc w:val="center"/>
            </w:pPr>
            <w:r>
              <w:t>Ⅱ类项目</w:t>
            </w:r>
          </w:p>
        </w:tc>
        <w:tc>
          <w:tcPr>
            <w:tcW w:w="1613" w:type="dxa"/>
            <w:tcBorders>
              <w:tl2br w:val="nil"/>
              <w:tr2bl w:val="nil"/>
            </w:tcBorders>
            <w:vAlign w:val="center"/>
          </w:tcPr>
          <w:p>
            <w:pPr>
              <w:spacing w:line="240" w:lineRule="auto"/>
              <w:jc w:val="center"/>
            </w:pPr>
            <w:r>
              <w:t>Ⅲ类项目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269" w:type="dxa"/>
            <w:tcBorders>
              <w:tl2br w:val="nil"/>
              <w:tr2bl w:val="nil"/>
            </w:tcBorders>
            <w:vAlign w:val="center"/>
          </w:tcPr>
          <w:p>
            <w:pPr>
              <w:spacing w:line="240" w:lineRule="auto"/>
              <w:jc w:val="center"/>
            </w:pPr>
            <w:r>
              <w:t>敏感</w:t>
            </w:r>
          </w:p>
        </w:tc>
        <w:tc>
          <w:tcPr>
            <w:tcW w:w="2080" w:type="dxa"/>
            <w:tcBorders>
              <w:tl2br w:val="nil"/>
              <w:tr2bl w:val="nil"/>
            </w:tcBorders>
            <w:vAlign w:val="center"/>
          </w:tcPr>
          <w:p>
            <w:pPr>
              <w:spacing w:line="240" w:lineRule="auto"/>
              <w:jc w:val="center"/>
            </w:pPr>
            <w:r>
              <w:t>一</w:t>
            </w:r>
          </w:p>
        </w:tc>
        <w:tc>
          <w:tcPr>
            <w:tcW w:w="1633" w:type="dxa"/>
            <w:tcBorders>
              <w:tl2br w:val="nil"/>
              <w:tr2bl w:val="nil"/>
            </w:tcBorders>
            <w:vAlign w:val="center"/>
          </w:tcPr>
          <w:p>
            <w:pPr>
              <w:spacing w:line="240" w:lineRule="auto"/>
              <w:jc w:val="center"/>
            </w:pPr>
            <w:r>
              <w:t>一</w:t>
            </w:r>
          </w:p>
        </w:tc>
        <w:tc>
          <w:tcPr>
            <w:tcW w:w="1613" w:type="dxa"/>
            <w:tcBorders>
              <w:tl2br w:val="nil"/>
              <w:tr2bl w:val="nil"/>
            </w:tcBorders>
            <w:vAlign w:val="center"/>
          </w:tcPr>
          <w:p>
            <w:pPr>
              <w:spacing w:line="240" w:lineRule="auto"/>
              <w:jc w:val="center"/>
            </w:pPr>
            <w:r>
              <w:t>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269" w:type="dxa"/>
            <w:tcBorders>
              <w:tl2br w:val="nil"/>
              <w:tr2bl w:val="nil"/>
            </w:tcBorders>
            <w:vAlign w:val="center"/>
          </w:tcPr>
          <w:p>
            <w:pPr>
              <w:spacing w:line="240" w:lineRule="auto"/>
              <w:jc w:val="center"/>
            </w:pPr>
            <w:r>
              <w:t>较敏感</w:t>
            </w:r>
          </w:p>
        </w:tc>
        <w:tc>
          <w:tcPr>
            <w:tcW w:w="2080" w:type="dxa"/>
            <w:tcBorders>
              <w:tl2br w:val="nil"/>
              <w:tr2bl w:val="nil"/>
            </w:tcBorders>
            <w:vAlign w:val="center"/>
          </w:tcPr>
          <w:p>
            <w:pPr>
              <w:spacing w:line="240" w:lineRule="auto"/>
              <w:jc w:val="center"/>
            </w:pPr>
            <w:r>
              <w:t>一</w:t>
            </w:r>
          </w:p>
        </w:tc>
        <w:tc>
          <w:tcPr>
            <w:tcW w:w="1633" w:type="dxa"/>
            <w:tcBorders>
              <w:tl2br w:val="nil"/>
              <w:tr2bl w:val="nil"/>
            </w:tcBorders>
            <w:vAlign w:val="center"/>
          </w:tcPr>
          <w:p>
            <w:pPr>
              <w:spacing w:line="240" w:lineRule="auto"/>
              <w:jc w:val="center"/>
            </w:pPr>
            <w:r>
              <w:t>二</w:t>
            </w:r>
          </w:p>
        </w:tc>
        <w:tc>
          <w:tcPr>
            <w:tcW w:w="1613" w:type="dxa"/>
            <w:tcBorders>
              <w:tl2br w:val="nil"/>
              <w:tr2bl w:val="nil"/>
            </w:tcBorders>
            <w:vAlign w:val="center"/>
          </w:tcPr>
          <w:p>
            <w:pPr>
              <w:spacing w:line="240" w:lineRule="auto"/>
              <w:jc w:val="center"/>
            </w:pPr>
            <w:r>
              <w:t>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269" w:type="dxa"/>
            <w:tcBorders>
              <w:tl2br w:val="nil"/>
              <w:tr2bl w:val="nil"/>
            </w:tcBorders>
            <w:vAlign w:val="center"/>
          </w:tcPr>
          <w:p>
            <w:pPr>
              <w:spacing w:line="240" w:lineRule="auto"/>
              <w:jc w:val="center"/>
            </w:pPr>
            <w:r>
              <w:t>不敏感</w:t>
            </w:r>
          </w:p>
        </w:tc>
        <w:tc>
          <w:tcPr>
            <w:tcW w:w="2080" w:type="dxa"/>
            <w:tcBorders>
              <w:tl2br w:val="nil"/>
              <w:tr2bl w:val="nil"/>
            </w:tcBorders>
            <w:vAlign w:val="center"/>
          </w:tcPr>
          <w:p>
            <w:pPr>
              <w:spacing w:line="240" w:lineRule="auto"/>
              <w:jc w:val="center"/>
            </w:pPr>
            <w:r>
              <w:t>二</w:t>
            </w:r>
          </w:p>
        </w:tc>
        <w:tc>
          <w:tcPr>
            <w:tcW w:w="1633" w:type="dxa"/>
            <w:tcBorders>
              <w:tl2br w:val="nil"/>
              <w:tr2bl w:val="nil"/>
            </w:tcBorders>
            <w:vAlign w:val="center"/>
          </w:tcPr>
          <w:p>
            <w:pPr>
              <w:spacing w:line="240" w:lineRule="auto"/>
              <w:jc w:val="center"/>
            </w:pPr>
            <w:r>
              <w:t>三</w:t>
            </w:r>
          </w:p>
        </w:tc>
        <w:tc>
          <w:tcPr>
            <w:tcW w:w="1613" w:type="dxa"/>
            <w:tcBorders>
              <w:tl2br w:val="nil"/>
              <w:tr2bl w:val="nil"/>
            </w:tcBorders>
            <w:vAlign w:val="center"/>
          </w:tcPr>
          <w:p>
            <w:pPr>
              <w:spacing w:line="240" w:lineRule="auto"/>
              <w:jc w:val="center"/>
            </w:pPr>
            <w:r>
              <w:t>三</w:t>
            </w:r>
          </w:p>
        </w:tc>
      </w:tr>
    </w:tbl>
    <w:p>
      <w:pPr>
        <w:adjustRightInd/>
        <w:snapToGrid/>
        <w:ind w:firstLine="480" w:firstLineChars="200"/>
        <w:rPr>
          <w:sz w:val="24"/>
          <w:szCs w:val="24"/>
        </w:rPr>
      </w:pPr>
      <w:r>
        <w:rPr>
          <w:sz w:val="24"/>
          <w:szCs w:val="24"/>
        </w:rPr>
        <w:t>根据（HJ610-2016）表 1 中关于地下水敏感程度分级的规定，见表 1</w:t>
      </w:r>
      <w:r>
        <w:rPr>
          <w:rFonts w:hint="eastAsia"/>
          <w:sz w:val="24"/>
          <w:szCs w:val="24"/>
          <w:lang w:val="en-US" w:eastAsia="zh-CN"/>
        </w:rPr>
        <w:t>.</w:t>
      </w:r>
      <w:r>
        <w:rPr>
          <w:rFonts w:hint="eastAsia"/>
          <w:sz w:val="24"/>
          <w:szCs w:val="24"/>
        </w:rPr>
        <w:t>8</w:t>
      </w:r>
      <w:r>
        <w:rPr>
          <w:sz w:val="24"/>
          <w:szCs w:val="24"/>
        </w:rPr>
        <w:t>-</w:t>
      </w:r>
      <w:r>
        <w:rPr>
          <w:rFonts w:hint="eastAsia"/>
          <w:sz w:val="24"/>
          <w:szCs w:val="24"/>
          <w:lang w:val="en-US" w:eastAsia="zh-CN"/>
        </w:rPr>
        <w:t>6</w:t>
      </w:r>
      <w:r>
        <w:rPr>
          <w:sz w:val="24"/>
          <w:szCs w:val="24"/>
        </w:rPr>
        <w:t>。</w:t>
      </w:r>
    </w:p>
    <w:p>
      <w:pPr>
        <w:spacing w:line="240" w:lineRule="auto"/>
        <w:jc w:val="center"/>
        <w:rPr>
          <w:b/>
          <w:bCs/>
          <w:sz w:val="24"/>
          <w:szCs w:val="24"/>
        </w:rPr>
      </w:pPr>
      <w:r>
        <w:rPr>
          <w:b/>
          <w:bCs/>
          <w:sz w:val="24"/>
          <w:szCs w:val="24"/>
        </w:rPr>
        <w:t>表1</w:t>
      </w:r>
      <w:r>
        <w:rPr>
          <w:rFonts w:hint="eastAsia"/>
          <w:b/>
          <w:bCs/>
          <w:sz w:val="24"/>
          <w:szCs w:val="24"/>
          <w:lang w:val="en-US" w:eastAsia="zh-CN"/>
        </w:rPr>
        <w:t>.</w:t>
      </w:r>
      <w:r>
        <w:rPr>
          <w:rFonts w:hint="eastAsia"/>
          <w:b/>
          <w:bCs/>
          <w:sz w:val="24"/>
          <w:szCs w:val="24"/>
        </w:rPr>
        <w:t>8</w:t>
      </w:r>
      <w:r>
        <w:rPr>
          <w:b/>
          <w:bCs/>
          <w:sz w:val="24"/>
          <w:szCs w:val="24"/>
        </w:rPr>
        <w:t>-</w:t>
      </w:r>
      <w:r>
        <w:rPr>
          <w:rFonts w:hint="eastAsia"/>
          <w:b/>
          <w:bCs/>
          <w:sz w:val="24"/>
          <w:szCs w:val="24"/>
          <w:lang w:val="en-US" w:eastAsia="zh-CN"/>
        </w:rPr>
        <w:t>6</w:t>
      </w:r>
      <w:r>
        <w:rPr>
          <w:b/>
          <w:bCs/>
          <w:sz w:val="24"/>
          <w:szCs w:val="24"/>
        </w:rPr>
        <w:t xml:space="preserve"> 地下水环境敏感程度分级表</w:t>
      </w:r>
    </w:p>
    <w:tbl>
      <w:tblPr>
        <w:tblStyle w:val="23"/>
        <w:tblW w:w="859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74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15" w:type="dxa"/>
            <w:tcBorders>
              <w:tl2br w:val="nil"/>
              <w:tr2bl w:val="nil"/>
            </w:tcBorders>
            <w:vAlign w:val="center"/>
          </w:tcPr>
          <w:p>
            <w:pPr>
              <w:spacing w:line="240" w:lineRule="auto"/>
              <w:jc w:val="center"/>
            </w:pPr>
            <w:r>
              <w:t>敏感程度</w:t>
            </w:r>
          </w:p>
        </w:tc>
        <w:tc>
          <w:tcPr>
            <w:tcW w:w="7480" w:type="dxa"/>
            <w:tcBorders>
              <w:tl2br w:val="nil"/>
              <w:tr2bl w:val="nil"/>
            </w:tcBorders>
            <w:vAlign w:val="center"/>
          </w:tcPr>
          <w:p>
            <w:pPr>
              <w:spacing w:line="240" w:lineRule="auto"/>
              <w:jc w:val="center"/>
            </w:pPr>
            <w:r>
              <w:t>地下水环境敏感特征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15" w:type="dxa"/>
            <w:tcBorders>
              <w:tl2br w:val="nil"/>
              <w:tr2bl w:val="nil"/>
            </w:tcBorders>
            <w:vAlign w:val="center"/>
          </w:tcPr>
          <w:p>
            <w:pPr>
              <w:spacing w:line="240" w:lineRule="auto"/>
              <w:jc w:val="center"/>
            </w:pPr>
            <w:r>
              <w:t>敏感</w:t>
            </w:r>
          </w:p>
        </w:tc>
        <w:tc>
          <w:tcPr>
            <w:tcW w:w="7480" w:type="dxa"/>
            <w:tcBorders>
              <w:tl2br w:val="nil"/>
              <w:tr2bl w:val="nil"/>
            </w:tcBorders>
            <w:vAlign w:val="center"/>
          </w:tcPr>
          <w:p>
            <w:pPr>
              <w:spacing w:line="240" w:lineRule="auto"/>
              <w:jc w:val="center"/>
            </w:pPr>
            <w: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15" w:type="dxa"/>
            <w:tcBorders>
              <w:tl2br w:val="nil"/>
              <w:tr2bl w:val="nil"/>
            </w:tcBorders>
            <w:vAlign w:val="center"/>
          </w:tcPr>
          <w:p>
            <w:pPr>
              <w:spacing w:line="240" w:lineRule="auto"/>
              <w:jc w:val="center"/>
            </w:pPr>
            <w:r>
              <w:t>较敏感</w:t>
            </w:r>
          </w:p>
        </w:tc>
        <w:tc>
          <w:tcPr>
            <w:tcW w:w="7480" w:type="dxa"/>
            <w:tcBorders>
              <w:tl2br w:val="nil"/>
              <w:tr2bl w:val="nil"/>
            </w:tcBorders>
            <w:vAlign w:val="center"/>
          </w:tcPr>
          <w:p>
            <w:pPr>
              <w:spacing w:line="240" w:lineRule="auto"/>
              <w:jc w:val="center"/>
            </w:pPr>
            <w:r>
              <w:t>集中式饮用水水源（包括已建成的在用、备用、应急水源，在建和规划的饮用水水源）准保护区以外的补给径流区；未划定准保护区的集中式饮用水水源，在保护区 以外的补给径流区；分散式饮用水水源地；特殊地下水资源（如矿泉水、温泉等）保护区以外的分布区等其他未列入上述敏感分级的环境敏感区a。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15" w:type="dxa"/>
            <w:tcBorders>
              <w:tl2br w:val="nil"/>
              <w:tr2bl w:val="nil"/>
            </w:tcBorders>
            <w:shd w:val="clear" w:color="auto" w:fill="D7D7D7" w:themeFill="background1" w:themeFillShade="D8"/>
            <w:vAlign w:val="center"/>
          </w:tcPr>
          <w:p>
            <w:pPr>
              <w:spacing w:line="240" w:lineRule="auto"/>
              <w:jc w:val="center"/>
            </w:pPr>
            <w:r>
              <w:t>不敏感</w:t>
            </w:r>
          </w:p>
        </w:tc>
        <w:tc>
          <w:tcPr>
            <w:tcW w:w="7480" w:type="dxa"/>
            <w:tcBorders>
              <w:tl2br w:val="nil"/>
              <w:tr2bl w:val="nil"/>
            </w:tcBorders>
            <w:shd w:val="clear" w:color="auto" w:fill="D7D7D7" w:themeFill="background1" w:themeFillShade="D8"/>
            <w:vAlign w:val="center"/>
          </w:tcPr>
          <w:p>
            <w:pPr>
              <w:spacing w:line="240" w:lineRule="auto"/>
              <w:jc w:val="center"/>
            </w:pPr>
            <w:r>
              <w:t>上述地区之外的其他地区。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595" w:type="dxa"/>
            <w:gridSpan w:val="2"/>
            <w:tcBorders>
              <w:tl2br w:val="nil"/>
              <w:tr2bl w:val="nil"/>
            </w:tcBorders>
            <w:vAlign w:val="center"/>
          </w:tcPr>
          <w:p>
            <w:pPr>
              <w:spacing w:line="240" w:lineRule="auto"/>
              <w:jc w:val="center"/>
            </w:pPr>
            <w:r>
              <w:t>注：a“环境敏感区”是指《建设项目环境影响评价分类管理名录》中所界定的涉及地下水的环境敏感区。</w:t>
            </w:r>
          </w:p>
        </w:tc>
      </w:tr>
    </w:tbl>
    <w:p>
      <w:pPr>
        <w:adjustRightInd/>
        <w:snapToGrid/>
        <w:ind w:firstLine="480" w:firstLineChars="200"/>
        <w:rPr>
          <w:sz w:val="24"/>
          <w:szCs w:val="24"/>
        </w:rPr>
      </w:pPr>
      <w:r>
        <w:rPr>
          <w:sz w:val="24"/>
          <w:szCs w:val="24"/>
        </w:rPr>
        <w:t>本项目厂址位于六安市</w:t>
      </w:r>
      <w:r>
        <w:rPr>
          <w:rFonts w:hint="eastAsia"/>
          <w:sz w:val="24"/>
          <w:szCs w:val="24"/>
          <w:lang w:eastAsia="zh-CN"/>
        </w:rPr>
        <w:t>经济开发区</w:t>
      </w:r>
      <w:r>
        <w:rPr>
          <w:sz w:val="24"/>
          <w:szCs w:val="24"/>
        </w:rPr>
        <w:t>，厂址地下水环境敏感特征为不敏感，结合上表 1</w:t>
      </w:r>
      <w:r>
        <w:rPr>
          <w:rFonts w:hint="eastAsia"/>
          <w:sz w:val="24"/>
          <w:szCs w:val="24"/>
          <w:lang w:val="en-US" w:eastAsia="zh-CN"/>
        </w:rPr>
        <w:t>.</w:t>
      </w:r>
      <w:r>
        <w:rPr>
          <w:rFonts w:hint="eastAsia"/>
          <w:sz w:val="24"/>
          <w:szCs w:val="24"/>
        </w:rPr>
        <w:t>8</w:t>
      </w:r>
      <w:r>
        <w:rPr>
          <w:sz w:val="24"/>
          <w:szCs w:val="24"/>
        </w:rPr>
        <w:t>-6，本项目地下水评价等级为三级。</w:t>
      </w:r>
    </w:p>
    <w:p>
      <w:pPr>
        <w:adjustRightInd/>
        <w:snapToGrid/>
        <w:ind w:firstLine="480" w:firstLineChars="200"/>
        <w:rPr>
          <w:sz w:val="24"/>
          <w:szCs w:val="24"/>
        </w:rPr>
      </w:pPr>
      <w:r>
        <w:rPr>
          <w:sz w:val="24"/>
          <w:szCs w:val="24"/>
        </w:rPr>
        <w:t>（</w:t>
      </w:r>
      <w:r>
        <w:rPr>
          <w:rFonts w:hint="eastAsia"/>
          <w:sz w:val="24"/>
          <w:szCs w:val="24"/>
          <w:lang w:val="en-US" w:eastAsia="zh-CN"/>
        </w:rPr>
        <w:t>5</w:t>
      </w:r>
      <w:r>
        <w:rPr>
          <w:sz w:val="24"/>
          <w:szCs w:val="24"/>
        </w:rPr>
        <w:t>）环境风险评价等级</w:t>
      </w:r>
    </w:p>
    <w:p>
      <w:pPr>
        <w:pStyle w:val="5"/>
        <w:ind w:firstLine="480" w:firstLineChars="200"/>
        <w:rPr>
          <w:b w:val="0"/>
          <w:bCs w:val="0"/>
          <w:sz w:val="24"/>
          <w:szCs w:val="24"/>
        </w:rPr>
      </w:pPr>
      <w:bookmarkStart w:id="117" w:name="_Toc532395287"/>
      <w:r>
        <w:rPr>
          <w:b w:val="0"/>
          <w:bCs w:val="0"/>
          <w:sz w:val="24"/>
          <w:szCs w:val="24"/>
        </w:rPr>
        <w:t>根据《建设项目环境风险评价技术导则》（HJ169-2018）</w:t>
      </w:r>
      <w:r>
        <w:rPr>
          <w:rFonts w:hint="eastAsia"/>
          <w:b w:val="0"/>
          <w:bCs w:val="0"/>
          <w:sz w:val="24"/>
          <w:szCs w:val="24"/>
        </w:rPr>
        <w:t>，环境风险工作评价等级依据环境风险潜势判定，</w:t>
      </w:r>
      <w:r>
        <w:rPr>
          <w:b w:val="0"/>
          <w:bCs w:val="0"/>
          <w:sz w:val="24"/>
          <w:szCs w:val="24"/>
        </w:rPr>
        <w:t>判定依据见下表。</w:t>
      </w:r>
    </w:p>
    <w:p>
      <w:pPr>
        <w:pStyle w:val="5"/>
        <w:spacing w:line="240" w:lineRule="auto"/>
        <w:rPr>
          <w:sz w:val="24"/>
          <w:szCs w:val="24"/>
        </w:rPr>
      </w:pPr>
      <w:r>
        <w:rPr>
          <w:sz w:val="24"/>
          <w:szCs w:val="24"/>
        </w:rPr>
        <w:t xml:space="preserve">                        表1</w:t>
      </w:r>
      <w:r>
        <w:rPr>
          <w:rFonts w:hint="eastAsia"/>
          <w:sz w:val="24"/>
          <w:szCs w:val="24"/>
          <w:lang w:val="en-US" w:eastAsia="zh-CN"/>
        </w:rPr>
        <w:t>.</w:t>
      </w:r>
      <w:r>
        <w:rPr>
          <w:rFonts w:hint="eastAsia"/>
          <w:sz w:val="24"/>
          <w:szCs w:val="24"/>
        </w:rPr>
        <w:t>8</w:t>
      </w:r>
      <w:r>
        <w:rPr>
          <w:sz w:val="24"/>
          <w:szCs w:val="24"/>
        </w:rPr>
        <w:t>-</w:t>
      </w:r>
      <w:r>
        <w:rPr>
          <w:rFonts w:hint="eastAsia"/>
          <w:sz w:val="24"/>
          <w:szCs w:val="24"/>
          <w:lang w:val="en-US" w:eastAsia="zh-CN"/>
        </w:rPr>
        <w:t>7</w:t>
      </w:r>
      <w:r>
        <w:rPr>
          <w:sz w:val="24"/>
          <w:szCs w:val="24"/>
        </w:rPr>
        <w:t xml:space="preserve"> 评价工作等级划分</w:t>
      </w:r>
    </w:p>
    <w:tbl>
      <w:tblPr>
        <w:tblStyle w:val="23"/>
        <w:tblW w:w="883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1767"/>
        <w:gridCol w:w="1767"/>
        <w:gridCol w:w="1767"/>
        <w:gridCol w:w="17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66" w:type="dxa"/>
            <w:tcBorders>
              <w:tl2br w:val="nil"/>
              <w:tr2bl w:val="nil"/>
            </w:tcBorders>
            <w:vAlign w:val="center"/>
          </w:tcPr>
          <w:p>
            <w:pPr>
              <w:pStyle w:val="5"/>
              <w:spacing w:line="240" w:lineRule="auto"/>
              <w:jc w:val="center"/>
              <w:outlineLvl w:val="1"/>
              <w:rPr>
                <w:sz w:val="21"/>
                <w:szCs w:val="21"/>
              </w:rPr>
            </w:pPr>
            <w:r>
              <w:rPr>
                <w:b w:val="0"/>
                <w:bCs w:val="0"/>
                <w:sz w:val="21"/>
                <w:szCs w:val="21"/>
              </w:rPr>
              <w:t>环境风险潜势</w:t>
            </w:r>
          </w:p>
        </w:tc>
        <w:tc>
          <w:tcPr>
            <w:tcW w:w="1767" w:type="dxa"/>
            <w:tcBorders>
              <w:tl2br w:val="nil"/>
              <w:tr2bl w:val="nil"/>
            </w:tcBorders>
            <w:vAlign w:val="center"/>
          </w:tcPr>
          <w:p>
            <w:pPr>
              <w:pStyle w:val="5"/>
              <w:spacing w:line="240" w:lineRule="auto"/>
              <w:jc w:val="center"/>
              <w:outlineLvl w:val="1"/>
              <w:rPr>
                <w:sz w:val="21"/>
                <w:szCs w:val="21"/>
              </w:rPr>
            </w:pPr>
            <w:r>
              <w:rPr>
                <w:b w:val="0"/>
                <w:bCs w:val="0"/>
                <w:sz w:val="21"/>
                <w:szCs w:val="21"/>
              </w:rPr>
              <w:t>IV、IV</w:t>
            </w:r>
            <w:r>
              <w:rPr>
                <w:b w:val="0"/>
                <w:bCs w:val="0"/>
                <w:sz w:val="21"/>
                <w:szCs w:val="21"/>
                <w:vertAlign w:val="superscript"/>
              </w:rPr>
              <w:t>+</w:t>
            </w:r>
          </w:p>
        </w:tc>
        <w:tc>
          <w:tcPr>
            <w:tcW w:w="1767" w:type="dxa"/>
            <w:tcBorders>
              <w:tl2br w:val="nil"/>
              <w:tr2bl w:val="nil"/>
            </w:tcBorders>
            <w:vAlign w:val="center"/>
          </w:tcPr>
          <w:p>
            <w:pPr>
              <w:pStyle w:val="5"/>
              <w:spacing w:line="240" w:lineRule="auto"/>
              <w:jc w:val="center"/>
              <w:outlineLvl w:val="1"/>
              <w:rPr>
                <w:b w:val="0"/>
                <w:bCs w:val="0"/>
                <w:sz w:val="21"/>
                <w:szCs w:val="21"/>
              </w:rPr>
            </w:pPr>
            <w:r>
              <w:rPr>
                <w:b w:val="0"/>
                <w:bCs w:val="0"/>
                <w:sz w:val="21"/>
                <w:szCs w:val="21"/>
              </w:rPr>
              <w:t>III</w:t>
            </w:r>
          </w:p>
        </w:tc>
        <w:tc>
          <w:tcPr>
            <w:tcW w:w="1767" w:type="dxa"/>
            <w:tcBorders>
              <w:tl2br w:val="nil"/>
              <w:tr2bl w:val="nil"/>
            </w:tcBorders>
            <w:shd w:val="clear" w:color="auto" w:fill="auto"/>
            <w:vAlign w:val="center"/>
          </w:tcPr>
          <w:p>
            <w:pPr>
              <w:pStyle w:val="5"/>
              <w:spacing w:line="240" w:lineRule="auto"/>
              <w:jc w:val="center"/>
              <w:outlineLvl w:val="1"/>
              <w:rPr>
                <w:b w:val="0"/>
                <w:bCs w:val="0"/>
                <w:sz w:val="21"/>
                <w:szCs w:val="21"/>
              </w:rPr>
            </w:pPr>
            <w:r>
              <w:rPr>
                <w:b w:val="0"/>
                <w:bCs w:val="0"/>
                <w:sz w:val="21"/>
                <w:szCs w:val="21"/>
              </w:rPr>
              <w:t>II</w:t>
            </w:r>
          </w:p>
        </w:tc>
        <w:tc>
          <w:tcPr>
            <w:tcW w:w="1767" w:type="dxa"/>
            <w:tcBorders>
              <w:tl2br w:val="nil"/>
              <w:tr2bl w:val="nil"/>
            </w:tcBorders>
            <w:shd w:val="clear" w:color="auto" w:fill="D7D7D7" w:themeFill="background1" w:themeFillShade="D8"/>
            <w:vAlign w:val="center"/>
          </w:tcPr>
          <w:p>
            <w:pPr>
              <w:pStyle w:val="5"/>
              <w:spacing w:line="240" w:lineRule="auto"/>
              <w:jc w:val="center"/>
              <w:outlineLvl w:val="1"/>
              <w:rPr>
                <w:b w:val="0"/>
                <w:bCs w:val="0"/>
                <w:sz w:val="21"/>
                <w:szCs w:val="21"/>
              </w:rPr>
            </w:pPr>
            <w:r>
              <w:rPr>
                <w:b w:val="0"/>
                <w:bCs w:val="0"/>
                <w:sz w:val="21"/>
                <w:szCs w:val="21"/>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66" w:type="dxa"/>
            <w:tcBorders>
              <w:tl2br w:val="nil"/>
              <w:tr2bl w:val="nil"/>
            </w:tcBorders>
            <w:vAlign w:val="center"/>
          </w:tcPr>
          <w:p>
            <w:pPr>
              <w:pStyle w:val="5"/>
              <w:spacing w:line="240" w:lineRule="auto"/>
              <w:jc w:val="center"/>
              <w:outlineLvl w:val="1"/>
              <w:rPr>
                <w:sz w:val="21"/>
                <w:szCs w:val="21"/>
              </w:rPr>
            </w:pPr>
            <w:r>
              <w:rPr>
                <w:b w:val="0"/>
                <w:bCs w:val="0"/>
                <w:sz w:val="21"/>
                <w:szCs w:val="21"/>
              </w:rPr>
              <w:t>评价工作等级</w:t>
            </w:r>
          </w:p>
        </w:tc>
        <w:tc>
          <w:tcPr>
            <w:tcW w:w="1767" w:type="dxa"/>
            <w:tcBorders>
              <w:tl2br w:val="nil"/>
              <w:tr2bl w:val="nil"/>
            </w:tcBorders>
            <w:vAlign w:val="center"/>
          </w:tcPr>
          <w:p>
            <w:pPr>
              <w:pStyle w:val="5"/>
              <w:spacing w:line="240" w:lineRule="auto"/>
              <w:jc w:val="center"/>
              <w:outlineLvl w:val="1"/>
              <w:rPr>
                <w:sz w:val="21"/>
                <w:szCs w:val="21"/>
              </w:rPr>
            </w:pPr>
            <w:r>
              <w:rPr>
                <w:sz w:val="21"/>
                <w:szCs w:val="21"/>
              </w:rPr>
              <w:t>一</w:t>
            </w:r>
          </w:p>
        </w:tc>
        <w:tc>
          <w:tcPr>
            <w:tcW w:w="1767" w:type="dxa"/>
            <w:tcBorders>
              <w:tl2br w:val="nil"/>
              <w:tr2bl w:val="nil"/>
            </w:tcBorders>
            <w:vAlign w:val="center"/>
          </w:tcPr>
          <w:p>
            <w:pPr>
              <w:pStyle w:val="5"/>
              <w:spacing w:line="240" w:lineRule="auto"/>
              <w:jc w:val="center"/>
              <w:outlineLvl w:val="1"/>
              <w:rPr>
                <w:sz w:val="21"/>
                <w:szCs w:val="21"/>
              </w:rPr>
            </w:pPr>
            <w:r>
              <w:rPr>
                <w:sz w:val="21"/>
                <w:szCs w:val="21"/>
              </w:rPr>
              <w:t>二</w:t>
            </w:r>
          </w:p>
        </w:tc>
        <w:tc>
          <w:tcPr>
            <w:tcW w:w="1767" w:type="dxa"/>
            <w:tcBorders>
              <w:tl2br w:val="nil"/>
              <w:tr2bl w:val="nil"/>
            </w:tcBorders>
            <w:shd w:val="clear" w:color="auto" w:fill="auto"/>
            <w:vAlign w:val="center"/>
          </w:tcPr>
          <w:p>
            <w:pPr>
              <w:pStyle w:val="5"/>
              <w:spacing w:line="240" w:lineRule="auto"/>
              <w:jc w:val="center"/>
              <w:outlineLvl w:val="1"/>
              <w:rPr>
                <w:sz w:val="21"/>
                <w:szCs w:val="21"/>
              </w:rPr>
            </w:pPr>
            <w:r>
              <w:rPr>
                <w:sz w:val="21"/>
                <w:szCs w:val="21"/>
              </w:rPr>
              <w:t>三</w:t>
            </w:r>
          </w:p>
        </w:tc>
        <w:tc>
          <w:tcPr>
            <w:tcW w:w="1767" w:type="dxa"/>
            <w:tcBorders>
              <w:tl2br w:val="nil"/>
              <w:tr2bl w:val="nil"/>
            </w:tcBorders>
            <w:shd w:val="clear" w:color="auto" w:fill="D7D7D7" w:themeFill="background1" w:themeFillShade="D8"/>
            <w:vAlign w:val="center"/>
          </w:tcPr>
          <w:p>
            <w:pPr>
              <w:pStyle w:val="5"/>
              <w:spacing w:line="240" w:lineRule="auto"/>
              <w:jc w:val="center"/>
              <w:outlineLvl w:val="1"/>
              <w:rPr>
                <w:sz w:val="21"/>
                <w:szCs w:val="21"/>
              </w:rPr>
            </w:pPr>
            <w:r>
              <w:rPr>
                <w:b w:val="0"/>
                <w:bCs w:val="0"/>
                <w:sz w:val="21"/>
                <w:szCs w:val="21"/>
              </w:rPr>
              <w:t>简单分析</w:t>
            </w:r>
          </w:p>
        </w:tc>
      </w:tr>
    </w:tbl>
    <w:p>
      <w:pPr>
        <w:ind w:firstLine="480" w:firstLineChars="200"/>
        <w:jc w:val="left"/>
        <w:rPr>
          <w:sz w:val="24"/>
        </w:rPr>
      </w:pPr>
      <w:r>
        <w:rPr>
          <w:sz w:val="24"/>
        </w:rPr>
        <w:t>本项目潜在的环境风险主要包括：项目存在污水处理站事故排放的风险。生产过程中不产生和使用易燃易爆、有毒有害等危险物质。按照《建设项目环境风险评价技术导则》（HJ169-2018）附录B中重点关注的危险物质及临界量判别结果，项目环境风险潜势为Ⅰ，评价等级为简单分析。</w:t>
      </w:r>
    </w:p>
    <w:p>
      <w:pPr>
        <w:pStyle w:val="5"/>
        <w:rPr>
          <w:sz w:val="24"/>
          <w:szCs w:val="24"/>
        </w:rPr>
      </w:pPr>
      <w:bookmarkStart w:id="118" w:name="_Toc8839_WPSOffice_Level2"/>
      <w:r>
        <w:rPr>
          <w:sz w:val="24"/>
          <w:szCs w:val="24"/>
        </w:rPr>
        <w:t>1.</w:t>
      </w:r>
      <w:r>
        <w:rPr>
          <w:rFonts w:hint="eastAsia"/>
          <w:sz w:val="24"/>
          <w:szCs w:val="24"/>
        </w:rPr>
        <w:t xml:space="preserve">9 </w:t>
      </w:r>
      <w:r>
        <w:rPr>
          <w:sz w:val="24"/>
          <w:szCs w:val="24"/>
        </w:rPr>
        <w:t>评价范围</w:t>
      </w:r>
      <w:bookmarkEnd w:id="117"/>
      <w:bookmarkEnd w:id="118"/>
    </w:p>
    <w:p>
      <w:pPr>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（1）地表水环境影响评价范围</w:t>
      </w:r>
    </w:p>
    <w:p>
      <w:pPr>
        <w:rPr>
          <w:sz w:val="24"/>
        </w:rPr>
      </w:pP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 xml:space="preserve"> </w:t>
      </w:r>
      <w:r>
        <w:rPr>
          <w:sz w:val="24"/>
        </w:rPr>
        <w:t>排污口上游500</w:t>
      </w:r>
      <w:r>
        <w:rPr>
          <w:rFonts w:hint="eastAsia"/>
          <w:sz w:val="24"/>
        </w:rPr>
        <w:t>m</w:t>
      </w:r>
      <w:r>
        <w:rPr>
          <w:sz w:val="24"/>
        </w:rPr>
        <w:t>至污排污口下游</w:t>
      </w:r>
      <w:r>
        <w:rPr>
          <w:rFonts w:hint="eastAsia"/>
          <w:sz w:val="24"/>
        </w:rPr>
        <w:t>15</w:t>
      </w:r>
      <w:r>
        <w:rPr>
          <w:sz w:val="24"/>
        </w:rPr>
        <w:t>00</w:t>
      </w:r>
      <w:r>
        <w:rPr>
          <w:rFonts w:hint="eastAsia"/>
          <w:sz w:val="24"/>
        </w:rPr>
        <w:t>m</w:t>
      </w:r>
      <w:r>
        <w:rPr>
          <w:sz w:val="24"/>
        </w:rPr>
        <w:t>河段。</w:t>
      </w:r>
    </w:p>
    <w:p>
      <w:pPr>
        <w:ind w:firstLine="480" w:firstLineChars="200"/>
        <w:rPr>
          <w:color w:val="FF0000"/>
          <w:sz w:val="24"/>
          <w:szCs w:val="24"/>
        </w:rPr>
      </w:pPr>
      <w:r>
        <w:rPr>
          <w:color w:val="000000" w:themeColor="text1"/>
          <w:sz w:val="24"/>
          <w:szCs w:val="24"/>
          <w14:textFill>
            <w14:solidFill>
              <w14:schemeClr w14:val="tx1"/>
            </w14:solidFill>
          </w14:textFill>
        </w:rPr>
        <w:t>（2）大气环境影响评价范围</w:t>
      </w:r>
    </w:p>
    <w:p>
      <w:pPr>
        <w:ind w:firstLine="480" w:firstLineChars="200"/>
        <w:rPr>
          <w:sz w:val="24"/>
          <w:szCs w:val="24"/>
          <w:highlight w:val="none"/>
        </w:rPr>
      </w:pPr>
      <w:r>
        <w:rPr>
          <w:rFonts w:hint="eastAsia"/>
          <w:sz w:val="24"/>
          <w:szCs w:val="24"/>
          <w:highlight w:val="none"/>
        </w:rPr>
        <w:t>项目</w:t>
      </w:r>
      <w:r>
        <w:rPr>
          <w:sz w:val="24"/>
          <w:szCs w:val="24"/>
          <w:highlight w:val="none"/>
        </w:rPr>
        <w:t>大气环境影响评价</w:t>
      </w:r>
      <w:r>
        <w:rPr>
          <w:rFonts w:hint="eastAsia"/>
          <w:sz w:val="24"/>
          <w:szCs w:val="24"/>
          <w:highlight w:val="none"/>
          <w:lang w:eastAsia="zh-CN"/>
        </w:rPr>
        <w:t>等级是三级，可不设置评价范围</w:t>
      </w:r>
      <w:r>
        <w:rPr>
          <w:sz w:val="24"/>
          <w:szCs w:val="24"/>
          <w:highlight w:val="none"/>
        </w:rPr>
        <w:t>。</w:t>
      </w:r>
    </w:p>
    <w:p>
      <w:pPr>
        <w:rPr>
          <w:sz w:val="24"/>
          <w:szCs w:val="24"/>
        </w:rPr>
      </w:pPr>
      <w:r>
        <w:rPr>
          <w:sz w:val="24"/>
          <w:szCs w:val="24"/>
        </w:rPr>
        <w:t xml:space="preserve">  </w:t>
      </w:r>
      <w:r>
        <w:rPr>
          <w:rFonts w:hint="eastAsia"/>
          <w:sz w:val="24"/>
          <w:szCs w:val="24"/>
        </w:rPr>
        <w:t xml:space="preserve"> </w:t>
      </w:r>
      <w:r>
        <w:rPr>
          <w:sz w:val="24"/>
          <w:szCs w:val="24"/>
        </w:rPr>
        <w:t xml:space="preserve"> （3）声环境评价范围</w:t>
      </w:r>
    </w:p>
    <w:p>
      <w:pPr>
        <w:ind w:firstLine="480" w:firstLineChars="200"/>
        <w:rPr>
          <w:sz w:val="24"/>
          <w:szCs w:val="24"/>
        </w:rPr>
      </w:pPr>
      <w:r>
        <w:rPr>
          <w:sz w:val="24"/>
          <w:szCs w:val="24"/>
        </w:rPr>
        <w:t>本次</w:t>
      </w:r>
      <w:r>
        <w:rPr>
          <w:sz w:val="24"/>
        </w:rPr>
        <w:t>项目厂场界外1m以及周边200m范围内的敏感点。</w:t>
      </w:r>
    </w:p>
    <w:p>
      <w:pPr>
        <w:rPr>
          <w:sz w:val="24"/>
          <w:szCs w:val="24"/>
        </w:rPr>
      </w:pPr>
      <w:r>
        <w:rPr>
          <w:sz w:val="24"/>
          <w:szCs w:val="24"/>
        </w:rPr>
        <w:t xml:space="preserve">   </w:t>
      </w:r>
      <w:r>
        <w:rPr>
          <w:rFonts w:hint="eastAsia"/>
          <w:sz w:val="24"/>
          <w:szCs w:val="24"/>
        </w:rPr>
        <w:t xml:space="preserve"> </w:t>
      </w:r>
      <w:r>
        <w:rPr>
          <w:sz w:val="24"/>
          <w:szCs w:val="24"/>
        </w:rPr>
        <w:t>（4）地下水环境评价范围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sz w:val="24"/>
          <w:szCs w:val="24"/>
        </w:rPr>
        <w:t>项目所在区域周围6.0km</w:t>
      </w:r>
      <w:r>
        <w:rPr>
          <w:sz w:val="24"/>
          <w:szCs w:val="24"/>
          <w:vertAlign w:val="superscript"/>
        </w:rPr>
        <w:t>2</w:t>
      </w:r>
      <w:r>
        <w:rPr>
          <w:sz w:val="24"/>
          <w:szCs w:val="24"/>
        </w:rPr>
        <w:t>范围，即厂址上游1km、下游2km及两侧各1km范围内。</w:t>
      </w:r>
    </w:p>
    <w:p>
      <w:pPr>
        <w:pStyle w:val="5"/>
        <w:rPr>
          <w:sz w:val="24"/>
          <w:szCs w:val="24"/>
        </w:rPr>
      </w:pPr>
      <w:bookmarkStart w:id="119" w:name="_Toc532395285"/>
      <w:bookmarkStart w:id="120" w:name="_Toc18647_WPSOffice_Level2"/>
      <w:bookmarkStart w:id="121" w:name="_Toc532395288"/>
      <w:r>
        <w:rPr>
          <w:rFonts w:hint="eastAsia"/>
          <w:sz w:val="24"/>
          <w:szCs w:val="24"/>
        </w:rPr>
        <w:t>1.10</w:t>
      </w:r>
      <w:r>
        <w:rPr>
          <w:sz w:val="24"/>
          <w:szCs w:val="24"/>
        </w:rPr>
        <w:t xml:space="preserve"> 评价标准</w:t>
      </w:r>
      <w:bookmarkEnd w:id="119"/>
      <w:bookmarkEnd w:id="120"/>
    </w:p>
    <w:p>
      <w:pPr>
        <w:adjustRightInd/>
        <w:snapToGrid/>
        <w:rPr>
          <w:b/>
          <w:sz w:val="24"/>
          <w:szCs w:val="24"/>
        </w:rPr>
      </w:pPr>
      <w:r>
        <w:rPr>
          <w:rFonts w:hint="eastAsia"/>
          <w:b/>
          <w:sz w:val="24"/>
          <w:szCs w:val="24"/>
        </w:rPr>
        <w:t>1.10</w:t>
      </w:r>
      <w:r>
        <w:rPr>
          <w:b/>
          <w:sz w:val="24"/>
          <w:szCs w:val="24"/>
        </w:rPr>
        <w:t>.1 环境质量标准</w:t>
      </w:r>
    </w:p>
    <w:p>
      <w:pPr>
        <w:ind w:firstLine="480" w:firstLineChars="200"/>
        <w:rPr>
          <w:bCs/>
          <w:sz w:val="24"/>
          <w:szCs w:val="24"/>
        </w:rPr>
      </w:pPr>
      <w:r>
        <w:rPr>
          <w:bCs/>
          <w:sz w:val="24"/>
          <w:szCs w:val="24"/>
        </w:rPr>
        <w:t>（1）大气环境质量标准</w:t>
      </w:r>
    </w:p>
    <w:p>
      <w:pPr>
        <w:rPr>
          <w:kern w:val="0"/>
          <w:sz w:val="24"/>
          <w:szCs w:val="24"/>
        </w:rPr>
      </w:pPr>
      <w:r>
        <w:rPr>
          <w:kern w:val="0"/>
          <w:sz w:val="24"/>
          <w:szCs w:val="24"/>
        </w:rPr>
        <w:t xml:space="preserve">    项目区域环境空气执行《环境空气质量标准》（GB3095-2012）及2018年修改单中的二级标准限值；氨和硫化执行《环境影响评价技术导则 大气环境》（HJ2.2-2018）中附录D中“其他污染物空气质量浓度参考限值”。其标准限值见下表：</w:t>
      </w:r>
    </w:p>
    <w:p>
      <w:pPr>
        <w:spacing w:line="240" w:lineRule="auto"/>
        <w:jc w:val="center"/>
        <w:rPr>
          <w:b/>
          <w:kern w:val="0"/>
          <w:sz w:val="24"/>
          <w:szCs w:val="24"/>
        </w:rPr>
      </w:pPr>
    </w:p>
    <w:p>
      <w:pPr>
        <w:spacing w:line="240" w:lineRule="auto"/>
        <w:jc w:val="center"/>
        <w:rPr>
          <w:b/>
          <w:kern w:val="0"/>
          <w:sz w:val="24"/>
          <w:szCs w:val="24"/>
          <w:vertAlign w:val="superscript"/>
        </w:rPr>
      </w:pPr>
      <w:r>
        <w:rPr>
          <w:b/>
          <w:kern w:val="0"/>
          <w:sz w:val="24"/>
          <w:szCs w:val="24"/>
        </w:rPr>
        <w:t>表</w:t>
      </w:r>
      <w:r>
        <w:rPr>
          <w:rFonts w:hint="eastAsia"/>
          <w:b/>
          <w:kern w:val="0"/>
          <w:sz w:val="24"/>
          <w:szCs w:val="24"/>
        </w:rPr>
        <w:t>1</w:t>
      </w:r>
      <w:r>
        <w:rPr>
          <w:rFonts w:hint="eastAsia"/>
          <w:b/>
          <w:kern w:val="0"/>
          <w:sz w:val="24"/>
          <w:szCs w:val="24"/>
          <w:lang w:val="en-US" w:eastAsia="zh-CN"/>
        </w:rPr>
        <w:t>.</w:t>
      </w:r>
      <w:r>
        <w:rPr>
          <w:rFonts w:hint="eastAsia"/>
          <w:b/>
          <w:kern w:val="0"/>
          <w:sz w:val="24"/>
          <w:szCs w:val="24"/>
        </w:rPr>
        <w:t>10</w:t>
      </w:r>
      <w:r>
        <w:rPr>
          <w:b/>
          <w:kern w:val="0"/>
          <w:sz w:val="24"/>
          <w:szCs w:val="24"/>
        </w:rPr>
        <w:t>-1  环境空气质量标准限值</w:t>
      </w:r>
    </w:p>
    <w:tbl>
      <w:tblPr>
        <w:tblStyle w:val="22"/>
        <w:tblW w:w="8812"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
      <w:tblGrid>
        <w:gridCol w:w="2473"/>
        <w:gridCol w:w="1589"/>
        <w:gridCol w:w="2375"/>
        <w:gridCol w:w="237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tcBorders>
              <w:tl2br w:val="nil"/>
              <w:tr2bl w:val="nil"/>
            </w:tcBorders>
            <w:vAlign w:val="center"/>
          </w:tcPr>
          <w:p>
            <w:pPr>
              <w:spacing w:line="240" w:lineRule="auto"/>
              <w:jc w:val="center"/>
            </w:pPr>
            <w:r>
              <w:t>污染物项目</w:t>
            </w:r>
          </w:p>
        </w:tc>
        <w:tc>
          <w:tcPr>
            <w:tcW w:w="1589" w:type="dxa"/>
            <w:tcBorders>
              <w:tl2br w:val="nil"/>
              <w:tr2bl w:val="nil"/>
            </w:tcBorders>
            <w:vAlign w:val="center"/>
          </w:tcPr>
          <w:p>
            <w:pPr>
              <w:spacing w:line="240" w:lineRule="auto"/>
              <w:jc w:val="center"/>
            </w:pPr>
            <w:r>
              <w:t>平均时间</w:t>
            </w:r>
          </w:p>
        </w:tc>
        <w:tc>
          <w:tcPr>
            <w:tcW w:w="2375" w:type="dxa"/>
            <w:tcBorders>
              <w:tl2br w:val="nil"/>
              <w:tr2bl w:val="nil"/>
            </w:tcBorders>
            <w:vAlign w:val="center"/>
          </w:tcPr>
          <w:p>
            <w:pPr>
              <w:spacing w:line="240" w:lineRule="auto"/>
              <w:jc w:val="center"/>
            </w:pPr>
            <w:r>
              <w:t>浓度限值（μg/m</w:t>
            </w:r>
            <w:r>
              <w:rPr>
                <w:vertAlign w:val="superscript"/>
              </w:rPr>
              <w:t>3</w:t>
            </w:r>
            <w:r>
              <w:t>）</w:t>
            </w:r>
          </w:p>
        </w:tc>
        <w:tc>
          <w:tcPr>
            <w:tcW w:w="2375" w:type="dxa"/>
            <w:tcBorders>
              <w:tl2br w:val="nil"/>
              <w:tr2bl w:val="nil"/>
            </w:tcBorders>
            <w:vAlign w:val="center"/>
          </w:tcPr>
          <w:p>
            <w:pPr>
              <w:spacing w:line="240" w:lineRule="auto"/>
              <w:jc w:val="center"/>
            </w:pPr>
            <w:r>
              <w:t>执行标准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vMerge w:val="restart"/>
            <w:tcBorders>
              <w:tl2br w:val="nil"/>
              <w:tr2bl w:val="nil"/>
            </w:tcBorders>
            <w:vAlign w:val="center"/>
          </w:tcPr>
          <w:p>
            <w:pPr>
              <w:spacing w:line="240" w:lineRule="auto"/>
              <w:jc w:val="center"/>
            </w:pPr>
            <w:r>
              <w:t>SO</w:t>
            </w:r>
            <w:r>
              <w:rPr>
                <w:vertAlign w:val="subscript"/>
              </w:rPr>
              <w:t>2</w:t>
            </w:r>
          </w:p>
        </w:tc>
        <w:tc>
          <w:tcPr>
            <w:tcW w:w="1589" w:type="dxa"/>
            <w:tcBorders>
              <w:tl2br w:val="nil"/>
              <w:tr2bl w:val="nil"/>
            </w:tcBorders>
            <w:vAlign w:val="center"/>
          </w:tcPr>
          <w:p>
            <w:pPr>
              <w:spacing w:line="240" w:lineRule="auto"/>
              <w:jc w:val="center"/>
            </w:pPr>
            <w:r>
              <w:t>年平均</w:t>
            </w:r>
          </w:p>
        </w:tc>
        <w:tc>
          <w:tcPr>
            <w:tcW w:w="2375" w:type="dxa"/>
            <w:tcBorders>
              <w:tl2br w:val="nil"/>
              <w:tr2bl w:val="nil"/>
            </w:tcBorders>
            <w:vAlign w:val="center"/>
          </w:tcPr>
          <w:p>
            <w:pPr>
              <w:spacing w:line="240" w:lineRule="auto"/>
              <w:jc w:val="center"/>
            </w:pPr>
            <w:r>
              <w:t>60</w:t>
            </w:r>
          </w:p>
        </w:tc>
        <w:tc>
          <w:tcPr>
            <w:tcW w:w="2375" w:type="dxa"/>
            <w:vMerge w:val="restart"/>
            <w:tcBorders>
              <w:tl2br w:val="nil"/>
              <w:tr2bl w:val="nil"/>
            </w:tcBorders>
            <w:vAlign w:val="center"/>
          </w:tcPr>
          <w:p>
            <w:pPr>
              <w:spacing w:line="240" w:lineRule="auto"/>
              <w:jc w:val="center"/>
            </w:pPr>
            <w:r>
              <w:t>《环境空气质量标准》（GB3095-2012）中的二级标准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vMerge w:val="continue"/>
            <w:tcBorders>
              <w:tl2br w:val="nil"/>
              <w:tr2bl w:val="nil"/>
            </w:tcBorders>
            <w:vAlign w:val="center"/>
          </w:tcPr>
          <w:p>
            <w:pPr>
              <w:spacing w:line="240" w:lineRule="auto"/>
              <w:jc w:val="center"/>
            </w:pPr>
          </w:p>
        </w:tc>
        <w:tc>
          <w:tcPr>
            <w:tcW w:w="1589" w:type="dxa"/>
            <w:tcBorders>
              <w:tl2br w:val="nil"/>
              <w:tr2bl w:val="nil"/>
            </w:tcBorders>
            <w:vAlign w:val="center"/>
          </w:tcPr>
          <w:p>
            <w:pPr>
              <w:spacing w:line="240" w:lineRule="auto"/>
              <w:jc w:val="center"/>
            </w:pPr>
            <w:r>
              <w:t>24小时平均</w:t>
            </w:r>
          </w:p>
        </w:tc>
        <w:tc>
          <w:tcPr>
            <w:tcW w:w="2375" w:type="dxa"/>
            <w:tcBorders>
              <w:tl2br w:val="nil"/>
              <w:tr2bl w:val="nil"/>
            </w:tcBorders>
            <w:vAlign w:val="center"/>
          </w:tcPr>
          <w:p>
            <w:pPr>
              <w:spacing w:line="240" w:lineRule="auto"/>
              <w:jc w:val="center"/>
            </w:pPr>
            <w:r>
              <w:t>150</w:t>
            </w:r>
          </w:p>
        </w:tc>
        <w:tc>
          <w:tcPr>
            <w:tcW w:w="2375" w:type="dxa"/>
            <w:vMerge w:val="continue"/>
            <w:tcBorders>
              <w:tl2br w:val="nil"/>
              <w:tr2bl w:val="nil"/>
            </w:tcBorders>
            <w:vAlign w:val="center"/>
          </w:tcPr>
          <w:p>
            <w:pPr>
              <w:spacing w:line="240" w:lineRule="auto"/>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vMerge w:val="continue"/>
            <w:tcBorders>
              <w:tl2br w:val="nil"/>
              <w:tr2bl w:val="nil"/>
            </w:tcBorders>
            <w:vAlign w:val="center"/>
          </w:tcPr>
          <w:p>
            <w:pPr>
              <w:spacing w:line="240" w:lineRule="auto"/>
              <w:jc w:val="center"/>
            </w:pPr>
          </w:p>
        </w:tc>
        <w:tc>
          <w:tcPr>
            <w:tcW w:w="1589" w:type="dxa"/>
            <w:tcBorders>
              <w:tl2br w:val="nil"/>
              <w:tr2bl w:val="nil"/>
            </w:tcBorders>
            <w:vAlign w:val="center"/>
          </w:tcPr>
          <w:p>
            <w:pPr>
              <w:spacing w:line="240" w:lineRule="auto"/>
              <w:jc w:val="center"/>
            </w:pPr>
            <w:r>
              <w:t>1小时平均</w:t>
            </w:r>
          </w:p>
        </w:tc>
        <w:tc>
          <w:tcPr>
            <w:tcW w:w="2375" w:type="dxa"/>
            <w:tcBorders>
              <w:tl2br w:val="nil"/>
              <w:tr2bl w:val="nil"/>
            </w:tcBorders>
            <w:vAlign w:val="center"/>
          </w:tcPr>
          <w:p>
            <w:pPr>
              <w:spacing w:line="240" w:lineRule="auto"/>
              <w:jc w:val="center"/>
            </w:pPr>
            <w:r>
              <w:t>500</w:t>
            </w:r>
          </w:p>
        </w:tc>
        <w:tc>
          <w:tcPr>
            <w:tcW w:w="2375" w:type="dxa"/>
            <w:vMerge w:val="continue"/>
            <w:tcBorders>
              <w:tl2br w:val="nil"/>
              <w:tr2bl w:val="nil"/>
            </w:tcBorders>
            <w:vAlign w:val="center"/>
          </w:tcPr>
          <w:p>
            <w:pPr>
              <w:spacing w:line="240" w:lineRule="auto"/>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vMerge w:val="restart"/>
            <w:tcBorders>
              <w:tl2br w:val="nil"/>
              <w:tr2bl w:val="nil"/>
            </w:tcBorders>
            <w:vAlign w:val="center"/>
          </w:tcPr>
          <w:p>
            <w:pPr>
              <w:spacing w:line="240" w:lineRule="auto"/>
              <w:jc w:val="center"/>
            </w:pPr>
            <w:r>
              <w:t>NO</w:t>
            </w:r>
            <w:r>
              <w:rPr>
                <w:vertAlign w:val="subscript"/>
              </w:rPr>
              <w:t>2</w:t>
            </w:r>
          </w:p>
        </w:tc>
        <w:tc>
          <w:tcPr>
            <w:tcW w:w="1589" w:type="dxa"/>
            <w:tcBorders>
              <w:tl2br w:val="nil"/>
              <w:tr2bl w:val="nil"/>
            </w:tcBorders>
            <w:vAlign w:val="center"/>
          </w:tcPr>
          <w:p>
            <w:pPr>
              <w:spacing w:line="240" w:lineRule="auto"/>
              <w:jc w:val="center"/>
            </w:pPr>
            <w:r>
              <w:t>年平均</w:t>
            </w:r>
          </w:p>
        </w:tc>
        <w:tc>
          <w:tcPr>
            <w:tcW w:w="2375" w:type="dxa"/>
            <w:tcBorders>
              <w:tl2br w:val="nil"/>
              <w:tr2bl w:val="nil"/>
            </w:tcBorders>
            <w:vAlign w:val="center"/>
          </w:tcPr>
          <w:p>
            <w:pPr>
              <w:spacing w:line="240" w:lineRule="auto"/>
              <w:jc w:val="center"/>
            </w:pPr>
            <w:r>
              <w:t>40</w:t>
            </w:r>
          </w:p>
        </w:tc>
        <w:tc>
          <w:tcPr>
            <w:tcW w:w="2375" w:type="dxa"/>
            <w:vMerge w:val="continue"/>
            <w:tcBorders>
              <w:tl2br w:val="nil"/>
              <w:tr2bl w:val="nil"/>
            </w:tcBorders>
            <w:vAlign w:val="center"/>
          </w:tcPr>
          <w:p>
            <w:pPr>
              <w:spacing w:line="240" w:lineRule="auto"/>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vMerge w:val="continue"/>
            <w:tcBorders>
              <w:tl2br w:val="nil"/>
              <w:tr2bl w:val="nil"/>
            </w:tcBorders>
            <w:vAlign w:val="center"/>
          </w:tcPr>
          <w:p>
            <w:pPr>
              <w:spacing w:line="240" w:lineRule="auto"/>
              <w:jc w:val="center"/>
            </w:pPr>
          </w:p>
        </w:tc>
        <w:tc>
          <w:tcPr>
            <w:tcW w:w="1589" w:type="dxa"/>
            <w:tcBorders>
              <w:tl2br w:val="nil"/>
              <w:tr2bl w:val="nil"/>
            </w:tcBorders>
            <w:vAlign w:val="center"/>
          </w:tcPr>
          <w:p>
            <w:pPr>
              <w:spacing w:line="240" w:lineRule="auto"/>
              <w:jc w:val="center"/>
            </w:pPr>
            <w:r>
              <w:t>24小时平均</w:t>
            </w:r>
          </w:p>
        </w:tc>
        <w:tc>
          <w:tcPr>
            <w:tcW w:w="2375" w:type="dxa"/>
            <w:tcBorders>
              <w:tl2br w:val="nil"/>
              <w:tr2bl w:val="nil"/>
            </w:tcBorders>
            <w:vAlign w:val="center"/>
          </w:tcPr>
          <w:p>
            <w:pPr>
              <w:spacing w:line="240" w:lineRule="auto"/>
              <w:jc w:val="center"/>
            </w:pPr>
            <w:r>
              <w:t>80</w:t>
            </w:r>
          </w:p>
        </w:tc>
        <w:tc>
          <w:tcPr>
            <w:tcW w:w="2375" w:type="dxa"/>
            <w:vMerge w:val="continue"/>
            <w:tcBorders>
              <w:tl2br w:val="nil"/>
              <w:tr2bl w:val="nil"/>
            </w:tcBorders>
            <w:vAlign w:val="center"/>
          </w:tcPr>
          <w:p>
            <w:pPr>
              <w:spacing w:line="240" w:lineRule="auto"/>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vMerge w:val="continue"/>
            <w:tcBorders>
              <w:tl2br w:val="nil"/>
              <w:tr2bl w:val="nil"/>
            </w:tcBorders>
            <w:vAlign w:val="center"/>
          </w:tcPr>
          <w:p>
            <w:pPr>
              <w:spacing w:line="240" w:lineRule="auto"/>
              <w:jc w:val="center"/>
            </w:pPr>
          </w:p>
        </w:tc>
        <w:tc>
          <w:tcPr>
            <w:tcW w:w="1589" w:type="dxa"/>
            <w:tcBorders>
              <w:tl2br w:val="nil"/>
              <w:tr2bl w:val="nil"/>
            </w:tcBorders>
            <w:vAlign w:val="center"/>
          </w:tcPr>
          <w:p>
            <w:pPr>
              <w:spacing w:line="240" w:lineRule="auto"/>
              <w:jc w:val="center"/>
            </w:pPr>
            <w:r>
              <w:t>1小时平均</w:t>
            </w:r>
          </w:p>
        </w:tc>
        <w:tc>
          <w:tcPr>
            <w:tcW w:w="2375" w:type="dxa"/>
            <w:tcBorders>
              <w:tl2br w:val="nil"/>
              <w:tr2bl w:val="nil"/>
            </w:tcBorders>
            <w:vAlign w:val="center"/>
          </w:tcPr>
          <w:p>
            <w:pPr>
              <w:spacing w:line="240" w:lineRule="auto"/>
              <w:jc w:val="center"/>
            </w:pPr>
            <w:r>
              <w:t>200</w:t>
            </w:r>
          </w:p>
        </w:tc>
        <w:tc>
          <w:tcPr>
            <w:tcW w:w="2375" w:type="dxa"/>
            <w:vMerge w:val="continue"/>
            <w:tcBorders>
              <w:tl2br w:val="nil"/>
              <w:tr2bl w:val="nil"/>
            </w:tcBorders>
            <w:vAlign w:val="center"/>
          </w:tcPr>
          <w:p>
            <w:pPr>
              <w:spacing w:line="240" w:lineRule="auto"/>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vMerge w:val="restart"/>
            <w:tcBorders>
              <w:tl2br w:val="nil"/>
              <w:tr2bl w:val="nil"/>
            </w:tcBorders>
            <w:vAlign w:val="center"/>
          </w:tcPr>
          <w:p>
            <w:pPr>
              <w:spacing w:line="240" w:lineRule="auto"/>
              <w:jc w:val="center"/>
            </w:pPr>
            <w:r>
              <w:t>PM</w:t>
            </w:r>
            <w:r>
              <w:rPr>
                <w:vertAlign w:val="subscript"/>
              </w:rPr>
              <w:t>10</w:t>
            </w:r>
          </w:p>
        </w:tc>
        <w:tc>
          <w:tcPr>
            <w:tcW w:w="1589" w:type="dxa"/>
            <w:tcBorders>
              <w:tl2br w:val="nil"/>
              <w:tr2bl w:val="nil"/>
            </w:tcBorders>
            <w:vAlign w:val="center"/>
          </w:tcPr>
          <w:p>
            <w:pPr>
              <w:spacing w:line="240" w:lineRule="auto"/>
              <w:jc w:val="center"/>
            </w:pPr>
            <w:r>
              <w:t>年平均</w:t>
            </w:r>
          </w:p>
        </w:tc>
        <w:tc>
          <w:tcPr>
            <w:tcW w:w="2375" w:type="dxa"/>
            <w:tcBorders>
              <w:tl2br w:val="nil"/>
              <w:tr2bl w:val="nil"/>
            </w:tcBorders>
            <w:vAlign w:val="center"/>
          </w:tcPr>
          <w:p>
            <w:pPr>
              <w:spacing w:line="240" w:lineRule="auto"/>
              <w:jc w:val="center"/>
            </w:pPr>
            <w:r>
              <w:t>70</w:t>
            </w:r>
          </w:p>
        </w:tc>
        <w:tc>
          <w:tcPr>
            <w:tcW w:w="2375" w:type="dxa"/>
            <w:vMerge w:val="continue"/>
            <w:tcBorders>
              <w:tl2br w:val="nil"/>
              <w:tr2bl w:val="nil"/>
            </w:tcBorders>
            <w:vAlign w:val="center"/>
          </w:tcPr>
          <w:p>
            <w:pPr>
              <w:spacing w:line="240" w:lineRule="auto"/>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vMerge w:val="continue"/>
            <w:tcBorders>
              <w:tl2br w:val="nil"/>
              <w:tr2bl w:val="nil"/>
            </w:tcBorders>
            <w:vAlign w:val="center"/>
          </w:tcPr>
          <w:p>
            <w:pPr>
              <w:spacing w:line="240" w:lineRule="auto"/>
              <w:jc w:val="center"/>
            </w:pPr>
          </w:p>
        </w:tc>
        <w:tc>
          <w:tcPr>
            <w:tcW w:w="1589" w:type="dxa"/>
            <w:tcBorders>
              <w:tl2br w:val="nil"/>
              <w:tr2bl w:val="nil"/>
            </w:tcBorders>
            <w:vAlign w:val="center"/>
          </w:tcPr>
          <w:p>
            <w:pPr>
              <w:spacing w:line="240" w:lineRule="auto"/>
              <w:jc w:val="center"/>
            </w:pPr>
            <w:r>
              <w:t>24小时平均</w:t>
            </w:r>
          </w:p>
        </w:tc>
        <w:tc>
          <w:tcPr>
            <w:tcW w:w="2375" w:type="dxa"/>
            <w:tcBorders>
              <w:tl2br w:val="nil"/>
              <w:tr2bl w:val="nil"/>
            </w:tcBorders>
            <w:vAlign w:val="center"/>
          </w:tcPr>
          <w:p>
            <w:pPr>
              <w:spacing w:line="240" w:lineRule="auto"/>
              <w:jc w:val="center"/>
            </w:pPr>
            <w:r>
              <w:t>150</w:t>
            </w:r>
          </w:p>
        </w:tc>
        <w:tc>
          <w:tcPr>
            <w:tcW w:w="2375" w:type="dxa"/>
            <w:vMerge w:val="continue"/>
            <w:tcBorders>
              <w:tl2br w:val="nil"/>
              <w:tr2bl w:val="nil"/>
            </w:tcBorders>
            <w:vAlign w:val="center"/>
          </w:tcPr>
          <w:p>
            <w:pPr>
              <w:spacing w:line="240" w:lineRule="auto"/>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vMerge w:val="restart"/>
            <w:tcBorders>
              <w:tl2br w:val="nil"/>
              <w:tr2bl w:val="nil"/>
            </w:tcBorders>
            <w:vAlign w:val="center"/>
          </w:tcPr>
          <w:p>
            <w:pPr>
              <w:spacing w:line="240" w:lineRule="auto"/>
              <w:jc w:val="center"/>
            </w:pPr>
            <w:r>
              <w:t>PM</w:t>
            </w:r>
            <w:r>
              <w:rPr>
                <w:vertAlign w:val="subscript"/>
              </w:rPr>
              <w:t>2.5</w:t>
            </w:r>
          </w:p>
        </w:tc>
        <w:tc>
          <w:tcPr>
            <w:tcW w:w="1589" w:type="dxa"/>
            <w:tcBorders>
              <w:tl2br w:val="nil"/>
              <w:tr2bl w:val="nil"/>
            </w:tcBorders>
            <w:vAlign w:val="center"/>
          </w:tcPr>
          <w:p>
            <w:pPr>
              <w:spacing w:line="240" w:lineRule="auto"/>
              <w:jc w:val="center"/>
            </w:pPr>
            <w:r>
              <w:t>年平均</w:t>
            </w:r>
          </w:p>
        </w:tc>
        <w:tc>
          <w:tcPr>
            <w:tcW w:w="2375" w:type="dxa"/>
            <w:tcBorders>
              <w:tl2br w:val="nil"/>
              <w:tr2bl w:val="nil"/>
            </w:tcBorders>
            <w:vAlign w:val="center"/>
          </w:tcPr>
          <w:p>
            <w:pPr>
              <w:spacing w:line="240" w:lineRule="auto"/>
              <w:jc w:val="center"/>
            </w:pPr>
            <w:r>
              <w:t>35</w:t>
            </w:r>
          </w:p>
        </w:tc>
        <w:tc>
          <w:tcPr>
            <w:tcW w:w="2375" w:type="dxa"/>
            <w:vMerge w:val="continue"/>
            <w:tcBorders>
              <w:tl2br w:val="nil"/>
              <w:tr2bl w:val="nil"/>
            </w:tcBorders>
            <w:vAlign w:val="center"/>
          </w:tcPr>
          <w:p>
            <w:pPr>
              <w:spacing w:line="240" w:lineRule="auto"/>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vMerge w:val="continue"/>
            <w:tcBorders>
              <w:tl2br w:val="nil"/>
              <w:tr2bl w:val="nil"/>
            </w:tcBorders>
            <w:vAlign w:val="center"/>
          </w:tcPr>
          <w:p>
            <w:pPr>
              <w:spacing w:line="240" w:lineRule="auto"/>
              <w:jc w:val="center"/>
            </w:pPr>
          </w:p>
        </w:tc>
        <w:tc>
          <w:tcPr>
            <w:tcW w:w="1589" w:type="dxa"/>
            <w:tcBorders>
              <w:tl2br w:val="nil"/>
              <w:tr2bl w:val="nil"/>
            </w:tcBorders>
            <w:vAlign w:val="center"/>
          </w:tcPr>
          <w:p>
            <w:pPr>
              <w:spacing w:line="240" w:lineRule="auto"/>
              <w:jc w:val="center"/>
            </w:pPr>
            <w:r>
              <w:t>24小时平均</w:t>
            </w:r>
          </w:p>
        </w:tc>
        <w:tc>
          <w:tcPr>
            <w:tcW w:w="2375" w:type="dxa"/>
            <w:tcBorders>
              <w:tl2br w:val="nil"/>
              <w:tr2bl w:val="nil"/>
            </w:tcBorders>
            <w:vAlign w:val="center"/>
          </w:tcPr>
          <w:p>
            <w:pPr>
              <w:spacing w:line="240" w:lineRule="auto"/>
              <w:jc w:val="center"/>
            </w:pPr>
            <w:r>
              <w:t>75</w:t>
            </w:r>
          </w:p>
        </w:tc>
        <w:tc>
          <w:tcPr>
            <w:tcW w:w="2375" w:type="dxa"/>
            <w:vMerge w:val="continue"/>
            <w:tcBorders>
              <w:tl2br w:val="nil"/>
              <w:tr2bl w:val="nil"/>
            </w:tcBorders>
            <w:vAlign w:val="center"/>
          </w:tcPr>
          <w:p>
            <w:pPr>
              <w:spacing w:line="240" w:lineRule="auto"/>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vMerge w:val="restart"/>
            <w:tcBorders>
              <w:tl2br w:val="nil"/>
              <w:tr2bl w:val="nil"/>
            </w:tcBorders>
            <w:vAlign w:val="center"/>
          </w:tcPr>
          <w:p>
            <w:pPr>
              <w:spacing w:line="240" w:lineRule="auto"/>
              <w:jc w:val="center"/>
            </w:pPr>
            <w:r>
              <w:t>CO</w:t>
            </w:r>
          </w:p>
        </w:tc>
        <w:tc>
          <w:tcPr>
            <w:tcW w:w="1589" w:type="dxa"/>
            <w:tcBorders>
              <w:tl2br w:val="nil"/>
              <w:tr2bl w:val="nil"/>
            </w:tcBorders>
            <w:vAlign w:val="center"/>
          </w:tcPr>
          <w:p>
            <w:pPr>
              <w:spacing w:line="240" w:lineRule="auto"/>
              <w:jc w:val="center"/>
            </w:pPr>
            <w:r>
              <w:t>24小时平均</w:t>
            </w:r>
          </w:p>
        </w:tc>
        <w:tc>
          <w:tcPr>
            <w:tcW w:w="2375" w:type="dxa"/>
            <w:tcBorders>
              <w:tl2br w:val="nil"/>
              <w:tr2bl w:val="nil"/>
            </w:tcBorders>
            <w:vAlign w:val="center"/>
          </w:tcPr>
          <w:p>
            <w:pPr>
              <w:spacing w:line="240" w:lineRule="auto"/>
              <w:jc w:val="center"/>
            </w:pPr>
            <w:r>
              <w:t>4000</w:t>
            </w:r>
          </w:p>
        </w:tc>
        <w:tc>
          <w:tcPr>
            <w:tcW w:w="2375" w:type="dxa"/>
            <w:vMerge w:val="continue"/>
            <w:tcBorders>
              <w:tl2br w:val="nil"/>
              <w:tr2bl w:val="nil"/>
            </w:tcBorders>
            <w:vAlign w:val="center"/>
          </w:tcPr>
          <w:p>
            <w:pPr>
              <w:spacing w:line="240" w:lineRule="auto"/>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vMerge w:val="continue"/>
            <w:tcBorders>
              <w:tl2br w:val="nil"/>
              <w:tr2bl w:val="nil"/>
            </w:tcBorders>
            <w:vAlign w:val="center"/>
          </w:tcPr>
          <w:p>
            <w:pPr>
              <w:spacing w:line="240" w:lineRule="auto"/>
              <w:jc w:val="center"/>
            </w:pPr>
          </w:p>
        </w:tc>
        <w:tc>
          <w:tcPr>
            <w:tcW w:w="1589" w:type="dxa"/>
            <w:tcBorders>
              <w:tl2br w:val="nil"/>
              <w:tr2bl w:val="nil"/>
            </w:tcBorders>
            <w:vAlign w:val="center"/>
          </w:tcPr>
          <w:p>
            <w:pPr>
              <w:spacing w:line="240" w:lineRule="auto"/>
              <w:jc w:val="center"/>
            </w:pPr>
            <w:r>
              <w:t>1小时平均</w:t>
            </w:r>
          </w:p>
        </w:tc>
        <w:tc>
          <w:tcPr>
            <w:tcW w:w="2375" w:type="dxa"/>
            <w:tcBorders>
              <w:tl2br w:val="nil"/>
              <w:tr2bl w:val="nil"/>
            </w:tcBorders>
            <w:vAlign w:val="center"/>
          </w:tcPr>
          <w:p>
            <w:pPr>
              <w:spacing w:line="240" w:lineRule="auto"/>
              <w:jc w:val="center"/>
            </w:pPr>
            <w:r>
              <w:t>10000</w:t>
            </w:r>
          </w:p>
        </w:tc>
        <w:tc>
          <w:tcPr>
            <w:tcW w:w="2375" w:type="dxa"/>
            <w:vMerge w:val="continue"/>
            <w:tcBorders>
              <w:tl2br w:val="nil"/>
              <w:tr2bl w:val="nil"/>
            </w:tcBorders>
            <w:vAlign w:val="center"/>
          </w:tcPr>
          <w:p>
            <w:pPr>
              <w:spacing w:line="240" w:lineRule="auto"/>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vMerge w:val="restart"/>
            <w:tcBorders>
              <w:tl2br w:val="nil"/>
              <w:tr2bl w:val="nil"/>
            </w:tcBorders>
            <w:vAlign w:val="center"/>
          </w:tcPr>
          <w:p>
            <w:pPr>
              <w:spacing w:line="240" w:lineRule="auto"/>
              <w:jc w:val="center"/>
            </w:pPr>
            <w:r>
              <w:t>O</w:t>
            </w:r>
            <w:r>
              <w:rPr>
                <w:vertAlign w:val="subscript"/>
              </w:rPr>
              <w:t>3</w:t>
            </w:r>
          </w:p>
        </w:tc>
        <w:tc>
          <w:tcPr>
            <w:tcW w:w="1589" w:type="dxa"/>
            <w:tcBorders>
              <w:tl2br w:val="nil"/>
              <w:tr2bl w:val="nil"/>
            </w:tcBorders>
            <w:vAlign w:val="center"/>
          </w:tcPr>
          <w:p>
            <w:pPr>
              <w:spacing w:line="240" w:lineRule="auto"/>
              <w:jc w:val="center"/>
            </w:pPr>
            <w:r>
              <w:t>日最大8小时平均</w:t>
            </w:r>
          </w:p>
        </w:tc>
        <w:tc>
          <w:tcPr>
            <w:tcW w:w="2375" w:type="dxa"/>
            <w:tcBorders>
              <w:tl2br w:val="nil"/>
              <w:tr2bl w:val="nil"/>
            </w:tcBorders>
            <w:vAlign w:val="center"/>
          </w:tcPr>
          <w:p>
            <w:pPr>
              <w:spacing w:line="240" w:lineRule="auto"/>
              <w:jc w:val="center"/>
            </w:pPr>
            <w:r>
              <w:t>160</w:t>
            </w:r>
          </w:p>
        </w:tc>
        <w:tc>
          <w:tcPr>
            <w:tcW w:w="2375" w:type="dxa"/>
            <w:vMerge w:val="continue"/>
            <w:tcBorders>
              <w:tl2br w:val="nil"/>
              <w:tr2bl w:val="nil"/>
            </w:tcBorders>
            <w:vAlign w:val="center"/>
          </w:tcPr>
          <w:p>
            <w:pPr>
              <w:spacing w:line="240" w:lineRule="auto"/>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vMerge w:val="continue"/>
            <w:tcBorders>
              <w:tl2br w:val="nil"/>
              <w:tr2bl w:val="nil"/>
            </w:tcBorders>
            <w:vAlign w:val="center"/>
          </w:tcPr>
          <w:p>
            <w:pPr>
              <w:spacing w:line="240" w:lineRule="auto"/>
              <w:jc w:val="center"/>
            </w:pPr>
          </w:p>
        </w:tc>
        <w:tc>
          <w:tcPr>
            <w:tcW w:w="1589" w:type="dxa"/>
            <w:tcBorders>
              <w:tl2br w:val="nil"/>
              <w:tr2bl w:val="nil"/>
            </w:tcBorders>
            <w:vAlign w:val="center"/>
          </w:tcPr>
          <w:p>
            <w:pPr>
              <w:spacing w:line="240" w:lineRule="auto"/>
              <w:jc w:val="center"/>
            </w:pPr>
            <w:r>
              <w:t>1小时平均</w:t>
            </w:r>
          </w:p>
        </w:tc>
        <w:tc>
          <w:tcPr>
            <w:tcW w:w="2375" w:type="dxa"/>
            <w:tcBorders>
              <w:tl2br w:val="nil"/>
              <w:tr2bl w:val="nil"/>
            </w:tcBorders>
            <w:vAlign w:val="center"/>
          </w:tcPr>
          <w:p>
            <w:pPr>
              <w:spacing w:line="240" w:lineRule="auto"/>
              <w:jc w:val="center"/>
            </w:pPr>
            <w:r>
              <w:t>200</w:t>
            </w:r>
          </w:p>
        </w:tc>
        <w:tc>
          <w:tcPr>
            <w:tcW w:w="2375" w:type="dxa"/>
            <w:vMerge w:val="continue"/>
            <w:tcBorders>
              <w:tl2br w:val="nil"/>
              <w:tr2bl w:val="nil"/>
            </w:tcBorders>
            <w:vAlign w:val="center"/>
          </w:tcPr>
          <w:p>
            <w:pPr>
              <w:spacing w:line="240" w:lineRule="auto"/>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vMerge w:val="restart"/>
            <w:tcBorders>
              <w:tl2br w:val="nil"/>
              <w:tr2bl w:val="nil"/>
            </w:tcBorders>
            <w:vAlign w:val="center"/>
          </w:tcPr>
          <w:p>
            <w:pPr>
              <w:adjustRightInd/>
              <w:snapToGrid/>
              <w:spacing w:line="240" w:lineRule="auto"/>
              <w:jc w:val="center"/>
            </w:pPr>
            <w:r>
              <w:rPr>
                <w:bCs/>
                <w:color w:val="000000"/>
              </w:rPr>
              <w:t>TSP</w:t>
            </w:r>
          </w:p>
        </w:tc>
        <w:tc>
          <w:tcPr>
            <w:tcW w:w="1589" w:type="dxa"/>
            <w:tcBorders>
              <w:tl2br w:val="nil"/>
              <w:tr2bl w:val="nil"/>
            </w:tcBorders>
            <w:vAlign w:val="center"/>
          </w:tcPr>
          <w:p>
            <w:pPr>
              <w:pStyle w:val="13"/>
              <w:spacing w:line="240" w:lineRule="auto"/>
              <w:jc w:val="center"/>
              <w:rPr>
                <w:rFonts w:ascii="Times New Roman" w:hAnsi="Times New Roman"/>
              </w:rPr>
            </w:pPr>
            <w:r>
              <w:rPr>
                <w:rFonts w:ascii="Times New Roman" w:hAnsi="宋体"/>
                <w:bCs/>
              </w:rPr>
              <w:t>年平均</w:t>
            </w:r>
          </w:p>
        </w:tc>
        <w:tc>
          <w:tcPr>
            <w:tcW w:w="2375" w:type="dxa"/>
            <w:tcBorders>
              <w:tl2br w:val="nil"/>
              <w:tr2bl w:val="nil"/>
            </w:tcBorders>
            <w:vAlign w:val="center"/>
          </w:tcPr>
          <w:p>
            <w:pPr>
              <w:pStyle w:val="13"/>
              <w:spacing w:line="240" w:lineRule="auto"/>
              <w:jc w:val="center"/>
              <w:rPr>
                <w:rFonts w:ascii="Times New Roman" w:hAnsi="Times New Roman"/>
              </w:rPr>
            </w:pPr>
            <w:r>
              <w:rPr>
                <w:rFonts w:ascii="Times New Roman" w:hAnsi="Times New Roman"/>
                <w:bCs/>
                <w:color w:val="000000"/>
              </w:rPr>
              <w:t>200</w:t>
            </w:r>
          </w:p>
        </w:tc>
        <w:tc>
          <w:tcPr>
            <w:tcW w:w="2375" w:type="dxa"/>
            <w:vMerge w:val="continue"/>
            <w:tcBorders>
              <w:tl2br w:val="nil"/>
              <w:tr2bl w:val="nil"/>
            </w:tcBorders>
            <w:vAlign w:val="center"/>
          </w:tcPr>
          <w:p>
            <w:pPr>
              <w:spacing w:line="240" w:lineRule="auto"/>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vMerge w:val="continue"/>
            <w:tcBorders>
              <w:tl2br w:val="nil"/>
              <w:tr2bl w:val="nil"/>
            </w:tcBorders>
            <w:vAlign w:val="center"/>
          </w:tcPr>
          <w:p>
            <w:pPr>
              <w:adjustRightInd/>
              <w:snapToGrid/>
              <w:spacing w:line="240" w:lineRule="auto"/>
              <w:jc w:val="center"/>
            </w:pPr>
          </w:p>
        </w:tc>
        <w:tc>
          <w:tcPr>
            <w:tcW w:w="1589" w:type="dxa"/>
            <w:tcBorders>
              <w:tl2br w:val="nil"/>
              <w:tr2bl w:val="nil"/>
            </w:tcBorders>
            <w:vAlign w:val="center"/>
          </w:tcPr>
          <w:p>
            <w:pPr>
              <w:pStyle w:val="13"/>
              <w:spacing w:line="240" w:lineRule="auto"/>
              <w:jc w:val="center"/>
              <w:rPr>
                <w:rFonts w:ascii="Times New Roman" w:hAnsi="Times New Roman"/>
              </w:rPr>
            </w:pPr>
            <w:r>
              <w:rPr>
                <w:rFonts w:ascii="Times New Roman" w:hAnsi="Times New Roman"/>
                <w:bCs/>
              </w:rPr>
              <w:t>24</w:t>
            </w:r>
            <w:r>
              <w:rPr>
                <w:rFonts w:ascii="Times New Roman" w:hAnsi="宋体"/>
                <w:bCs/>
              </w:rPr>
              <w:t>小时平均</w:t>
            </w:r>
          </w:p>
        </w:tc>
        <w:tc>
          <w:tcPr>
            <w:tcW w:w="2375" w:type="dxa"/>
            <w:tcBorders>
              <w:tl2br w:val="nil"/>
              <w:tr2bl w:val="nil"/>
            </w:tcBorders>
            <w:vAlign w:val="center"/>
          </w:tcPr>
          <w:p>
            <w:pPr>
              <w:pStyle w:val="13"/>
              <w:spacing w:line="240" w:lineRule="auto"/>
              <w:jc w:val="center"/>
              <w:rPr>
                <w:rFonts w:ascii="Times New Roman" w:hAnsi="Times New Roman"/>
              </w:rPr>
            </w:pPr>
            <w:r>
              <w:rPr>
                <w:rFonts w:ascii="Times New Roman" w:hAnsi="Times New Roman"/>
                <w:bCs/>
                <w:color w:val="000000"/>
              </w:rPr>
              <w:t>300</w:t>
            </w:r>
          </w:p>
        </w:tc>
        <w:tc>
          <w:tcPr>
            <w:tcW w:w="2375" w:type="dxa"/>
            <w:vMerge w:val="continue"/>
            <w:tcBorders>
              <w:tl2br w:val="nil"/>
              <w:tr2bl w:val="nil"/>
            </w:tcBorders>
            <w:vAlign w:val="center"/>
          </w:tcPr>
          <w:p>
            <w:pPr>
              <w:spacing w:line="240" w:lineRule="auto"/>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vMerge w:val="restart"/>
            <w:tcBorders>
              <w:tl2br w:val="nil"/>
              <w:tr2bl w:val="nil"/>
            </w:tcBorders>
            <w:vAlign w:val="center"/>
          </w:tcPr>
          <w:p>
            <w:pPr>
              <w:adjustRightInd/>
              <w:snapToGrid/>
              <w:spacing w:line="240" w:lineRule="auto"/>
              <w:jc w:val="center"/>
            </w:pPr>
            <w:r>
              <w:rPr>
                <w:rFonts w:hint="eastAsia"/>
              </w:rPr>
              <w:t>NOx</w:t>
            </w:r>
          </w:p>
        </w:tc>
        <w:tc>
          <w:tcPr>
            <w:tcW w:w="1589" w:type="dxa"/>
            <w:tcBorders>
              <w:tl2br w:val="nil"/>
              <w:tr2bl w:val="nil"/>
            </w:tcBorders>
            <w:vAlign w:val="center"/>
          </w:tcPr>
          <w:p>
            <w:pPr>
              <w:spacing w:line="240" w:lineRule="auto"/>
              <w:jc w:val="center"/>
              <w:rPr>
                <w:bCs/>
              </w:rPr>
            </w:pPr>
            <w:r>
              <w:t>年平均</w:t>
            </w:r>
          </w:p>
        </w:tc>
        <w:tc>
          <w:tcPr>
            <w:tcW w:w="2375" w:type="dxa"/>
            <w:tcBorders>
              <w:tl2br w:val="nil"/>
              <w:tr2bl w:val="nil"/>
            </w:tcBorders>
            <w:vAlign w:val="center"/>
          </w:tcPr>
          <w:p>
            <w:pPr>
              <w:pStyle w:val="13"/>
              <w:spacing w:line="240" w:lineRule="auto"/>
              <w:jc w:val="center"/>
              <w:rPr>
                <w:rFonts w:ascii="Times New Roman" w:hAnsi="Times New Roman"/>
                <w:bCs/>
                <w:color w:val="000000"/>
              </w:rPr>
            </w:pPr>
            <w:r>
              <w:rPr>
                <w:rFonts w:hint="eastAsia" w:ascii="Times New Roman" w:hAnsi="Times New Roman"/>
                <w:bCs/>
                <w:color w:val="000000"/>
              </w:rPr>
              <w:t>50</w:t>
            </w:r>
          </w:p>
        </w:tc>
        <w:tc>
          <w:tcPr>
            <w:tcW w:w="2375" w:type="dxa"/>
            <w:vMerge w:val="continue"/>
            <w:tcBorders>
              <w:tl2br w:val="nil"/>
              <w:tr2bl w:val="nil"/>
            </w:tcBorders>
            <w:vAlign w:val="center"/>
          </w:tcPr>
          <w:p>
            <w:pPr>
              <w:spacing w:line="240" w:lineRule="auto"/>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vMerge w:val="continue"/>
            <w:tcBorders>
              <w:tl2br w:val="nil"/>
              <w:tr2bl w:val="nil"/>
            </w:tcBorders>
            <w:vAlign w:val="center"/>
          </w:tcPr>
          <w:p>
            <w:pPr>
              <w:adjustRightInd/>
              <w:snapToGrid/>
              <w:spacing w:line="240" w:lineRule="auto"/>
              <w:jc w:val="center"/>
            </w:pPr>
          </w:p>
        </w:tc>
        <w:tc>
          <w:tcPr>
            <w:tcW w:w="1589" w:type="dxa"/>
            <w:tcBorders>
              <w:tl2br w:val="nil"/>
              <w:tr2bl w:val="nil"/>
            </w:tcBorders>
            <w:vAlign w:val="center"/>
          </w:tcPr>
          <w:p>
            <w:pPr>
              <w:spacing w:line="240" w:lineRule="auto"/>
              <w:jc w:val="center"/>
              <w:rPr>
                <w:bCs/>
              </w:rPr>
            </w:pPr>
            <w:r>
              <w:t>24小时平均</w:t>
            </w:r>
          </w:p>
        </w:tc>
        <w:tc>
          <w:tcPr>
            <w:tcW w:w="2375" w:type="dxa"/>
            <w:tcBorders>
              <w:tl2br w:val="nil"/>
              <w:tr2bl w:val="nil"/>
            </w:tcBorders>
            <w:vAlign w:val="center"/>
          </w:tcPr>
          <w:p>
            <w:pPr>
              <w:pStyle w:val="13"/>
              <w:spacing w:line="240" w:lineRule="auto"/>
              <w:jc w:val="center"/>
              <w:rPr>
                <w:rFonts w:ascii="Times New Roman" w:hAnsi="Times New Roman"/>
                <w:bCs/>
                <w:color w:val="000000"/>
              </w:rPr>
            </w:pPr>
            <w:r>
              <w:rPr>
                <w:rFonts w:hint="eastAsia" w:ascii="Times New Roman" w:hAnsi="Times New Roman"/>
                <w:bCs/>
                <w:color w:val="000000"/>
              </w:rPr>
              <w:t>100</w:t>
            </w:r>
          </w:p>
        </w:tc>
        <w:tc>
          <w:tcPr>
            <w:tcW w:w="2375" w:type="dxa"/>
            <w:vMerge w:val="continue"/>
            <w:tcBorders>
              <w:tl2br w:val="nil"/>
              <w:tr2bl w:val="nil"/>
            </w:tcBorders>
            <w:vAlign w:val="center"/>
          </w:tcPr>
          <w:p>
            <w:pPr>
              <w:spacing w:line="240" w:lineRule="auto"/>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vMerge w:val="continue"/>
            <w:tcBorders>
              <w:tl2br w:val="nil"/>
              <w:tr2bl w:val="nil"/>
            </w:tcBorders>
            <w:vAlign w:val="center"/>
          </w:tcPr>
          <w:p>
            <w:pPr>
              <w:adjustRightInd/>
              <w:snapToGrid/>
              <w:spacing w:line="240" w:lineRule="auto"/>
              <w:jc w:val="center"/>
            </w:pPr>
          </w:p>
        </w:tc>
        <w:tc>
          <w:tcPr>
            <w:tcW w:w="1589" w:type="dxa"/>
            <w:tcBorders>
              <w:tl2br w:val="nil"/>
              <w:tr2bl w:val="nil"/>
            </w:tcBorders>
            <w:vAlign w:val="center"/>
          </w:tcPr>
          <w:p>
            <w:pPr>
              <w:spacing w:line="240" w:lineRule="auto"/>
              <w:jc w:val="center"/>
              <w:rPr>
                <w:bCs/>
              </w:rPr>
            </w:pPr>
            <w:r>
              <w:t>1小时平均</w:t>
            </w:r>
          </w:p>
        </w:tc>
        <w:tc>
          <w:tcPr>
            <w:tcW w:w="2375" w:type="dxa"/>
            <w:tcBorders>
              <w:tl2br w:val="nil"/>
              <w:tr2bl w:val="nil"/>
            </w:tcBorders>
            <w:vAlign w:val="center"/>
          </w:tcPr>
          <w:p>
            <w:pPr>
              <w:pStyle w:val="13"/>
              <w:spacing w:line="240" w:lineRule="auto"/>
              <w:jc w:val="center"/>
              <w:rPr>
                <w:rFonts w:ascii="Times New Roman" w:hAnsi="Times New Roman"/>
                <w:bCs/>
                <w:color w:val="000000"/>
              </w:rPr>
            </w:pPr>
            <w:r>
              <w:rPr>
                <w:rFonts w:hint="eastAsia" w:ascii="Times New Roman" w:hAnsi="Times New Roman"/>
                <w:bCs/>
                <w:color w:val="000000"/>
              </w:rPr>
              <w:t>250</w:t>
            </w:r>
          </w:p>
        </w:tc>
        <w:tc>
          <w:tcPr>
            <w:tcW w:w="2375" w:type="dxa"/>
            <w:vMerge w:val="continue"/>
            <w:tcBorders>
              <w:tl2br w:val="nil"/>
              <w:tr2bl w:val="nil"/>
            </w:tcBorders>
            <w:vAlign w:val="center"/>
          </w:tcPr>
          <w:p>
            <w:pPr>
              <w:spacing w:line="240" w:lineRule="auto"/>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tcBorders>
              <w:tl2br w:val="nil"/>
              <w:tr2bl w:val="nil"/>
            </w:tcBorders>
            <w:vAlign w:val="center"/>
          </w:tcPr>
          <w:p>
            <w:pPr>
              <w:spacing w:line="240" w:lineRule="auto"/>
              <w:jc w:val="center"/>
            </w:pPr>
            <w:r>
              <w:t>NH</w:t>
            </w:r>
            <w:r>
              <w:rPr>
                <w:vertAlign w:val="subscript"/>
              </w:rPr>
              <w:t>3</w:t>
            </w:r>
          </w:p>
        </w:tc>
        <w:tc>
          <w:tcPr>
            <w:tcW w:w="1589" w:type="dxa"/>
            <w:tcBorders>
              <w:tl2br w:val="nil"/>
              <w:tr2bl w:val="nil"/>
            </w:tcBorders>
            <w:vAlign w:val="center"/>
          </w:tcPr>
          <w:p>
            <w:pPr>
              <w:spacing w:line="240" w:lineRule="auto"/>
              <w:jc w:val="center"/>
            </w:pPr>
            <w:r>
              <w:t>1小时平均</w:t>
            </w:r>
          </w:p>
        </w:tc>
        <w:tc>
          <w:tcPr>
            <w:tcW w:w="2375" w:type="dxa"/>
            <w:tcBorders>
              <w:tl2br w:val="nil"/>
              <w:tr2bl w:val="nil"/>
            </w:tcBorders>
            <w:vAlign w:val="center"/>
          </w:tcPr>
          <w:p>
            <w:pPr>
              <w:spacing w:line="240" w:lineRule="auto"/>
              <w:jc w:val="center"/>
            </w:pPr>
            <w:r>
              <w:t>200</w:t>
            </w:r>
          </w:p>
        </w:tc>
        <w:tc>
          <w:tcPr>
            <w:tcW w:w="2375" w:type="dxa"/>
            <w:vMerge w:val="restart"/>
            <w:tcBorders>
              <w:tl2br w:val="nil"/>
              <w:tr2bl w:val="nil"/>
            </w:tcBorders>
            <w:vAlign w:val="center"/>
          </w:tcPr>
          <w:p>
            <w:pPr>
              <w:spacing w:line="240" w:lineRule="auto"/>
              <w:jc w:val="center"/>
            </w:pPr>
            <w:r>
              <w:t>《环境影响评价技术导则 大气环境》（HJ2.2-2018）附录D中限值要求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2473" w:type="dxa"/>
            <w:tcBorders>
              <w:tl2br w:val="nil"/>
              <w:tr2bl w:val="nil"/>
            </w:tcBorders>
            <w:vAlign w:val="center"/>
          </w:tcPr>
          <w:p>
            <w:pPr>
              <w:spacing w:line="240" w:lineRule="auto"/>
              <w:jc w:val="center"/>
            </w:pPr>
            <w:r>
              <w:t>H</w:t>
            </w:r>
            <w:r>
              <w:rPr>
                <w:vertAlign w:val="subscript"/>
              </w:rPr>
              <w:t>2</w:t>
            </w:r>
            <w:r>
              <w:t>S</w:t>
            </w:r>
          </w:p>
        </w:tc>
        <w:tc>
          <w:tcPr>
            <w:tcW w:w="1589" w:type="dxa"/>
            <w:tcBorders>
              <w:tl2br w:val="nil"/>
              <w:tr2bl w:val="nil"/>
            </w:tcBorders>
            <w:vAlign w:val="center"/>
          </w:tcPr>
          <w:p>
            <w:pPr>
              <w:spacing w:line="240" w:lineRule="auto"/>
              <w:jc w:val="center"/>
            </w:pPr>
            <w:r>
              <w:t>1小时平均</w:t>
            </w:r>
          </w:p>
        </w:tc>
        <w:tc>
          <w:tcPr>
            <w:tcW w:w="2375" w:type="dxa"/>
            <w:tcBorders>
              <w:tl2br w:val="nil"/>
              <w:tr2bl w:val="nil"/>
            </w:tcBorders>
            <w:vAlign w:val="center"/>
          </w:tcPr>
          <w:p>
            <w:pPr>
              <w:spacing w:line="240" w:lineRule="auto"/>
              <w:jc w:val="center"/>
            </w:pPr>
            <w:r>
              <w:t>10</w:t>
            </w:r>
          </w:p>
        </w:tc>
        <w:tc>
          <w:tcPr>
            <w:tcW w:w="2375" w:type="dxa"/>
            <w:vMerge w:val="continue"/>
            <w:tcBorders>
              <w:tl2br w:val="nil"/>
              <w:tr2bl w:val="nil"/>
            </w:tcBorders>
            <w:vAlign w:val="center"/>
          </w:tcPr>
          <w:p>
            <w:pPr>
              <w:spacing w:line="240" w:lineRule="auto"/>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97" w:type="dxa"/>
            <w:bottom w:w="0" w:type="dxa"/>
            <w:right w:w="97" w:type="dxa"/>
          </w:tblCellMar>
        </w:tblPrEx>
        <w:trPr>
          <w:trHeight w:val="340" w:hRule="atLeast"/>
          <w:jc w:val="center"/>
        </w:trPr>
        <w:tc>
          <w:tcPr>
            <w:tcW w:w="8812" w:type="dxa"/>
            <w:gridSpan w:val="4"/>
            <w:tcBorders>
              <w:tl2br w:val="nil"/>
              <w:tr2bl w:val="nil"/>
            </w:tcBorders>
            <w:vAlign w:val="center"/>
          </w:tcPr>
          <w:p>
            <w:pPr>
              <w:spacing w:line="240" w:lineRule="auto"/>
              <w:jc w:val="center"/>
            </w:pPr>
            <w:r>
              <w:rPr>
                <w:b/>
              </w:rPr>
              <w:t>GB3095-2012标准2018年修改单内容：</w:t>
            </w:r>
            <w:r>
              <w:t>标准中的二氧化硫、二氧化氮、一氧化碳、臭氧、氮氧化物等气态污染物浓度为参比状态下的浓度。颗粒物（粒径小于等于10μm）、颗粒物（粒径小于等于2.5μm）、总悬浮颗粒物及其组分铅、苯并[α]芘等浓度为监测时大气温度和压力下的浓度。</w:t>
            </w:r>
          </w:p>
        </w:tc>
      </w:tr>
    </w:tbl>
    <w:p>
      <w:pPr>
        <w:ind w:firstLine="583" w:firstLineChars="243"/>
        <w:rPr>
          <w:bCs/>
          <w:sz w:val="24"/>
          <w:szCs w:val="24"/>
        </w:rPr>
      </w:pPr>
      <w:r>
        <w:rPr>
          <w:bCs/>
          <w:sz w:val="24"/>
          <w:szCs w:val="24"/>
        </w:rPr>
        <w:t>（2）地表水环境质量标准</w:t>
      </w:r>
    </w:p>
    <w:p>
      <w:pPr>
        <w:ind w:firstLine="480" w:firstLineChars="200"/>
        <w:rPr>
          <w:bCs/>
          <w:sz w:val="24"/>
          <w:szCs w:val="24"/>
        </w:rPr>
      </w:pPr>
      <w:r>
        <w:rPr>
          <w:bCs/>
          <w:sz w:val="24"/>
          <w:szCs w:val="24"/>
        </w:rPr>
        <w:t>与本项目有关的地表水体为</w:t>
      </w:r>
      <w:r>
        <w:rPr>
          <w:rFonts w:hint="eastAsia"/>
          <w:bCs/>
          <w:sz w:val="24"/>
          <w:szCs w:val="24"/>
          <w:lang w:eastAsia="zh-CN"/>
        </w:rPr>
        <w:t>淠河</w:t>
      </w:r>
      <w:r>
        <w:rPr>
          <w:bCs/>
          <w:sz w:val="24"/>
          <w:szCs w:val="24"/>
        </w:rPr>
        <w:t>，依据《安徽省水环境功能区划》，该河段执行《地表水环境质量标准》（GB3838-2002）</w:t>
      </w:r>
      <w:r>
        <w:rPr>
          <w:sz w:val="24"/>
          <w:szCs w:val="24"/>
        </w:rPr>
        <w:t>Ⅲ</w:t>
      </w:r>
      <w:r>
        <w:rPr>
          <w:bCs/>
          <w:sz w:val="24"/>
          <w:szCs w:val="24"/>
        </w:rPr>
        <w:t>类标准。</w:t>
      </w:r>
    </w:p>
    <w:p>
      <w:pPr>
        <w:spacing w:line="240" w:lineRule="auto"/>
        <w:ind w:firstLine="92" w:firstLineChars="38"/>
        <w:jc w:val="right"/>
        <w:rPr>
          <w:b/>
          <w:sz w:val="24"/>
          <w:szCs w:val="24"/>
        </w:rPr>
      </w:pPr>
      <w:r>
        <w:rPr>
          <w:b/>
          <w:kern w:val="0"/>
          <w:sz w:val="24"/>
          <w:szCs w:val="24"/>
        </w:rPr>
        <w:t>表</w:t>
      </w:r>
      <w:r>
        <w:rPr>
          <w:rFonts w:hint="eastAsia"/>
          <w:b/>
          <w:kern w:val="0"/>
          <w:sz w:val="24"/>
          <w:szCs w:val="24"/>
        </w:rPr>
        <w:t>1</w:t>
      </w:r>
      <w:r>
        <w:rPr>
          <w:rFonts w:hint="eastAsia"/>
          <w:b/>
          <w:kern w:val="0"/>
          <w:sz w:val="24"/>
          <w:szCs w:val="24"/>
          <w:lang w:val="en-US" w:eastAsia="zh-CN"/>
        </w:rPr>
        <w:t>.</w:t>
      </w:r>
      <w:r>
        <w:rPr>
          <w:rFonts w:hint="eastAsia"/>
          <w:b/>
          <w:kern w:val="0"/>
          <w:sz w:val="24"/>
          <w:szCs w:val="24"/>
        </w:rPr>
        <w:t>10</w:t>
      </w:r>
      <w:r>
        <w:rPr>
          <w:b/>
          <w:kern w:val="0"/>
          <w:sz w:val="24"/>
          <w:szCs w:val="24"/>
        </w:rPr>
        <w:t xml:space="preserve">-2  地表水环境质量标准限值表    </w:t>
      </w:r>
      <w:r>
        <w:rPr>
          <w:kern w:val="0"/>
          <w:sz w:val="24"/>
          <w:szCs w:val="24"/>
        </w:rPr>
        <w:t>单位：mg/L（pH无量纲）</w:t>
      </w:r>
    </w:p>
    <w:tbl>
      <w:tblPr>
        <w:tblStyle w:val="22"/>
        <w:tblW w:w="883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816"/>
        <w:gridCol w:w="982"/>
        <w:gridCol w:w="1011"/>
        <w:gridCol w:w="1131"/>
        <w:gridCol w:w="1182"/>
        <w:gridCol w:w="1055"/>
        <w:gridCol w:w="14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03" w:type="dxa"/>
            <w:tcBorders>
              <w:tl2br w:val="nil"/>
              <w:tr2bl w:val="nil"/>
            </w:tcBorders>
            <w:vAlign w:val="center"/>
          </w:tcPr>
          <w:p>
            <w:pPr>
              <w:spacing w:line="240" w:lineRule="auto"/>
              <w:jc w:val="center"/>
            </w:pPr>
            <w:r>
              <w:t>污染物名称</w:t>
            </w:r>
          </w:p>
        </w:tc>
        <w:tc>
          <w:tcPr>
            <w:tcW w:w="816" w:type="dxa"/>
            <w:tcBorders>
              <w:tl2br w:val="nil"/>
              <w:tr2bl w:val="nil"/>
            </w:tcBorders>
            <w:vAlign w:val="center"/>
          </w:tcPr>
          <w:p>
            <w:pPr>
              <w:spacing w:line="240" w:lineRule="auto"/>
              <w:jc w:val="center"/>
            </w:pPr>
            <w:r>
              <w:t>pH</w:t>
            </w:r>
          </w:p>
        </w:tc>
        <w:tc>
          <w:tcPr>
            <w:tcW w:w="982" w:type="dxa"/>
            <w:tcBorders>
              <w:tl2br w:val="nil"/>
              <w:tr2bl w:val="nil"/>
            </w:tcBorders>
            <w:vAlign w:val="center"/>
          </w:tcPr>
          <w:p>
            <w:pPr>
              <w:spacing w:line="240" w:lineRule="auto"/>
              <w:jc w:val="center"/>
            </w:pPr>
            <w:r>
              <w:t>COD</w:t>
            </w:r>
          </w:p>
        </w:tc>
        <w:tc>
          <w:tcPr>
            <w:tcW w:w="1011" w:type="dxa"/>
            <w:tcBorders>
              <w:tl2br w:val="nil"/>
              <w:tr2bl w:val="nil"/>
            </w:tcBorders>
            <w:vAlign w:val="center"/>
          </w:tcPr>
          <w:p>
            <w:pPr>
              <w:spacing w:line="240" w:lineRule="auto"/>
              <w:jc w:val="center"/>
            </w:pPr>
            <w:r>
              <w:t>BOD</w:t>
            </w:r>
            <w:r>
              <w:rPr>
                <w:vertAlign w:val="subscript"/>
              </w:rPr>
              <w:t>5</w:t>
            </w:r>
          </w:p>
        </w:tc>
        <w:tc>
          <w:tcPr>
            <w:tcW w:w="1131" w:type="dxa"/>
            <w:tcBorders>
              <w:tl2br w:val="nil"/>
              <w:tr2bl w:val="nil"/>
            </w:tcBorders>
            <w:vAlign w:val="center"/>
          </w:tcPr>
          <w:p>
            <w:pPr>
              <w:spacing w:line="240" w:lineRule="auto"/>
              <w:jc w:val="center"/>
            </w:pPr>
            <w:r>
              <w:t>氨氮</w:t>
            </w:r>
          </w:p>
        </w:tc>
        <w:tc>
          <w:tcPr>
            <w:tcW w:w="1182" w:type="dxa"/>
            <w:tcBorders>
              <w:tl2br w:val="nil"/>
              <w:tr2bl w:val="nil"/>
            </w:tcBorders>
            <w:vAlign w:val="center"/>
          </w:tcPr>
          <w:p>
            <w:pPr>
              <w:spacing w:line="240" w:lineRule="auto"/>
              <w:jc w:val="center"/>
            </w:pPr>
            <w:r>
              <w:t>溶解氧</w:t>
            </w:r>
          </w:p>
        </w:tc>
        <w:tc>
          <w:tcPr>
            <w:tcW w:w="1055" w:type="dxa"/>
            <w:tcBorders>
              <w:tl2br w:val="nil"/>
              <w:tr2bl w:val="nil"/>
            </w:tcBorders>
            <w:vAlign w:val="center"/>
          </w:tcPr>
          <w:p>
            <w:pPr>
              <w:spacing w:line="240" w:lineRule="auto"/>
              <w:jc w:val="center"/>
            </w:pPr>
            <w:r>
              <w:t>总磷</w:t>
            </w:r>
          </w:p>
        </w:tc>
        <w:tc>
          <w:tcPr>
            <w:tcW w:w="1454" w:type="dxa"/>
            <w:tcBorders>
              <w:tl2br w:val="nil"/>
              <w:tr2bl w:val="nil"/>
            </w:tcBorders>
            <w:vAlign w:val="center"/>
          </w:tcPr>
          <w:p>
            <w:pPr>
              <w:spacing w:line="240" w:lineRule="auto"/>
              <w:jc w:val="center"/>
            </w:pPr>
            <w:r>
              <w:t>粪大肠杆菌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03" w:type="dxa"/>
            <w:tcBorders>
              <w:tl2br w:val="nil"/>
              <w:tr2bl w:val="nil"/>
            </w:tcBorders>
            <w:vAlign w:val="center"/>
          </w:tcPr>
          <w:p>
            <w:pPr>
              <w:spacing w:line="240" w:lineRule="auto"/>
              <w:jc w:val="center"/>
            </w:pPr>
            <w:r>
              <w:rPr>
                <w:kern w:val="0"/>
                <w:lang w:val="zh-CN"/>
              </w:rPr>
              <w:t>Ⅲ类标准</w:t>
            </w:r>
          </w:p>
        </w:tc>
        <w:tc>
          <w:tcPr>
            <w:tcW w:w="816" w:type="dxa"/>
            <w:tcBorders>
              <w:tl2br w:val="nil"/>
              <w:tr2bl w:val="nil"/>
            </w:tcBorders>
            <w:vAlign w:val="center"/>
          </w:tcPr>
          <w:p>
            <w:pPr>
              <w:spacing w:line="240" w:lineRule="auto"/>
              <w:jc w:val="center"/>
            </w:pPr>
            <w:r>
              <w:t>6～9</w:t>
            </w:r>
          </w:p>
        </w:tc>
        <w:tc>
          <w:tcPr>
            <w:tcW w:w="982" w:type="dxa"/>
            <w:tcBorders>
              <w:tl2br w:val="nil"/>
              <w:tr2bl w:val="nil"/>
            </w:tcBorders>
            <w:vAlign w:val="center"/>
          </w:tcPr>
          <w:p>
            <w:pPr>
              <w:spacing w:line="240" w:lineRule="auto"/>
              <w:jc w:val="center"/>
            </w:pPr>
            <w:r>
              <w:t>20</w:t>
            </w:r>
          </w:p>
        </w:tc>
        <w:tc>
          <w:tcPr>
            <w:tcW w:w="1011" w:type="dxa"/>
            <w:tcBorders>
              <w:tl2br w:val="nil"/>
              <w:tr2bl w:val="nil"/>
            </w:tcBorders>
            <w:vAlign w:val="center"/>
          </w:tcPr>
          <w:p>
            <w:pPr>
              <w:spacing w:line="240" w:lineRule="auto"/>
              <w:jc w:val="center"/>
            </w:pPr>
            <w:r>
              <w:t>4</w:t>
            </w:r>
          </w:p>
        </w:tc>
        <w:tc>
          <w:tcPr>
            <w:tcW w:w="1131" w:type="dxa"/>
            <w:tcBorders>
              <w:tl2br w:val="nil"/>
              <w:tr2bl w:val="nil"/>
            </w:tcBorders>
            <w:vAlign w:val="center"/>
          </w:tcPr>
          <w:p>
            <w:pPr>
              <w:spacing w:line="240" w:lineRule="auto"/>
              <w:jc w:val="center"/>
            </w:pPr>
            <w:r>
              <w:t>1.0</w:t>
            </w:r>
          </w:p>
        </w:tc>
        <w:tc>
          <w:tcPr>
            <w:tcW w:w="1182" w:type="dxa"/>
            <w:tcBorders>
              <w:tl2br w:val="nil"/>
              <w:tr2bl w:val="nil"/>
            </w:tcBorders>
            <w:vAlign w:val="center"/>
          </w:tcPr>
          <w:p>
            <w:pPr>
              <w:spacing w:line="240" w:lineRule="auto"/>
              <w:jc w:val="center"/>
            </w:pPr>
            <w:r>
              <w:t>≥5</w:t>
            </w:r>
          </w:p>
        </w:tc>
        <w:tc>
          <w:tcPr>
            <w:tcW w:w="1055" w:type="dxa"/>
            <w:tcBorders>
              <w:tl2br w:val="nil"/>
              <w:tr2bl w:val="nil"/>
            </w:tcBorders>
            <w:vAlign w:val="center"/>
          </w:tcPr>
          <w:p>
            <w:pPr>
              <w:spacing w:line="240" w:lineRule="auto"/>
              <w:jc w:val="center"/>
            </w:pPr>
            <w:r>
              <w:t>0.2</w:t>
            </w:r>
          </w:p>
        </w:tc>
        <w:tc>
          <w:tcPr>
            <w:tcW w:w="1454" w:type="dxa"/>
            <w:tcBorders>
              <w:tl2br w:val="nil"/>
              <w:tr2bl w:val="nil"/>
            </w:tcBorders>
            <w:vAlign w:val="center"/>
          </w:tcPr>
          <w:p>
            <w:pPr>
              <w:spacing w:line="240" w:lineRule="auto"/>
              <w:jc w:val="center"/>
            </w:pPr>
            <w:r>
              <w:t>≤10000</w:t>
            </w:r>
          </w:p>
        </w:tc>
      </w:tr>
    </w:tbl>
    <w:p>
      <w:pPr>
        <w:ind w:firstLine="588" w:firstLineChars="245"/>
        <w:rPr>
          <w:bCs/>
          <w:sz w:val="24"/>
          <w:szCs w:val="24"/>
        </w:rPr>
      </w:pPr>
      <w:r>
        <w:rPr>
          <w:bCs/>
          <w:sz w:val="24"/>
          <w:szCs w:val="24"/>
        </w:rPr>
        <w:t>（3）声环境质量标准</w:t>
      </w:r>
    </w:p>
    <w:p>
      <w:pPr>
        <w:ind w:firstLine="480" w:firstLineChars="200"/>
        <w:rPr>
          <w:bCs/>
          <w:sz w:val="24"/>
          <w:szCs w:val="24"/>
        </w:rPr>
      </w:pPr>
      <w:r>
        <w:rPr>
          <w:sz w:val="24"/>
          <w:szCs w:val="24"/>
        </w:rPr>
        <w:t>所在区域声环境执行《声环境质量标准》（GB3096-2008）中</w:t>
      </w:r>
      <w:r>
        <w:rPr>
          <w:rFonts w:hint="eastAsia"/>
          <w:sz w:val="24"/>
          <w:szCs w:val="24"/>
          <w:lang w:val="en-US" w:eastAsia="zh-CN"/>
        </w:rPr>
        <w:t>3</w:t>
      </w:r>
      <w:r>
        <w:rPr>
          <w:sz w:val="24"/>
          <w:szCs w:val="24"/>
        </w:rPr>
        <w:t>类区标准</w:t>
      </w:r>
      <w:r>
        <w:rPr>
          <w:bCs/>
          <w:sz w:val="24"/>
          <w:szCs w:val="24"/>
        </w:rPr>
        <w:t>，其执行环境噪声限值见下表。</w:t>
      </w:r>
    </w:p>
    <w:p>
      <w:pPr>
        <w:spacing w:line="240" w:lineRule="auto"/>
        <w:jc w:val="center"/>
        <w:rPr>
          <w:b/>
          <w:kern w:val="0"/>
          <w:sz w:val="24"/>
          <w:szCs w:val="24"/>
        </w:rPr>
      </w:pPr>
      <w:r>
        <w:rPr>
          <w:b/>
          <w:kern w:val="0"/>
          <w:sz w:val="24"/>
          <w:szCs w:val="24"/>
        </w:rPr>
        <w:t>表</w:t>
      </w:r>
      <w:r>
        <w:rPr>
          <w:rFonts w:hint="eastAsia"/>
          <w:b/>
          <w:kern w:val="0"/>
          <w:sz w:val="24"/>
          <w:szCs w:val="24"/>
        </w:rPr>
        <w:t>1</w:t>
      </w:r>
      <w:r>
        <w:rPr>
          <w:rFonts w:hint="eastAsia"/>
          <w:b/>
          <w:kern w:val="0"/>
          <w:sz w:val="24"/>
          <w:szCs w:val="24"/>
          <w:lang w:val="en-US" w:eastAsia="zh-CN"/>
        </w:rPr>
        <w:t>.</w:t>
      </w:r>
      <w:r>
        <w:rPr>
          <w:rFonts w:hint="eastAsia"/>
          <w:b/>
          <w:kern w:val="0"/>
          <w:sz w:val="24"/>
          <w:szCs w:val="24"/>
        </w:rPr>
        <w:t>10</w:t>
      </w:r>
      <w:r>
        <w:rPr>
          <w:b/>
          <w:kern w:val="0"/>
          <w:sz w:val="24"/>
          <w:szCs w:val="24"/>
        </w:rPr>
        <w:t>-3  声环境质量标准</w:t>
      </w:r>
    </w:p>
    <w:tbl>
      <w:tblPr>
        <w:tblStyle w:val="22"/>
        <w:tblW w:w="861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51"/>
        <w:gridCol w:w="2204"/>
        <w:gridCol w:w="21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4251" w:type="dxa"/>
            <w:vAlign w:val="center"/>
          </w:tcPr>
          <w:p>
            <w:pPr>
              <w:spacing w:line="240" w:lineRule="auto"/>
              <w:jc w:val="center"/>
            </w:pPr>
            <w:r>
              <w:t>执行标准类别</w:t>
            </w:r>
          </w:p>
        </w:tc>
        <w:tc>
          <w:tcPr>
            <w:tcW w:w="2204" w:type="dxa"/>
            <w:vAlign w:val="center"/>
          </w:tcPr>
          <w:p>
            <w:pPr>
              <w:spacing w:line="240" w:lineRule="auto"/>
              <w:jc w:val="center"/>
            </w:pPr>
            <w:r>
              <w:t>昼间</w:t>
            </w:r>
          </w:p>
        </w:tc>
        <w:tc>
          <w:tcPr>
            <w:tcW w:w="2163" w:type="dxa"/>
            <w:vAlign w:val="center"/>
          </w:tcPr>
          <w:p>
            <w:pPr>
              <w:spacing w:line="240" w:lineRule="auto"/>
              <w:jc w:val="center"/>
            </w:pPr>
            <w: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4251" w:type="dxa"/>
            <w:vAlign w:val="center"/>
          </w:tcPr>
          <w:p>
            <w:pPr>
              <w:spacing w:line="240" w:lineRule="auto"/>
              <w:jc w:val="center"/>
            </w:pPr>
            <w:r>
              <w:t>GB3096-2008中</w:t>
            </w:r>
            <w:r>
              <w:rPr>
                <w:rFonts w:hint="eastAsia"/>
                <w:lang w:val="en-US" w:eastAsia="zh-CN"/>
              </w:rPr>
              <w:t>3</w:t>
            </w:r>
            <w:r>
              <w:t>类标准</w:t>
            </w:r>
          </w:p>
        </w:tc>
        <w:tc>
          <w:tcPr>
            <w:tcW w:w="2204" w:type="dxa"/>
            <w:vAlign w:val="center"/>
          </w:tcPr>
          <w:p>
            <w:pPr>
              <w:spacing w:line="240" w:lineRule="auto"/>
              <w:jc w:val="center"/>
            </w:pPr>
            <w:r>
              <w:rPr>
                <w:rFonts w:hint="eastAsia"/>
                <w:lang w:val="en-US" w:eastAsia="zh-CN"/>
              </w:rPr>
              <w:t>65</w:t>
            </w:r>
            <w:r>
              <w:t>dB（A）</w:t>
            </w:r>
          </w:p>
        </w:tc>
        <w:tc>
          <w:tcPr>
            <w:tcW w:w="2163" w:type="dxa"/>
            <w:vAlign w:val="center"/>
          </w:tcPr>
          <w:p>
            <w:pPr>
              <w:spacing w:line="240" w:lineRule="auto"/>
              <w:jc w:val="center"/>
            </w:pPr>
            <w:r>
              <w:rPr>
                <w:rFonts w:hint="eastAsia"/>
                <w:lang w:val="en-US" w:eastAsia="zh-CN"/>
              </w:rPr>
              <w:t>55</w:t>
            </w:r>
            <w:r>
              <w:t>dB（A）</w:t>
            </w:r>
          </w:p>
        </w:tc>
      </w:tr>
    </w:tbl>
    <w:p>
      <w:pPr>
        <w:adjustRightInd/>
        <w:snapToGrid/>
        <w:ind w:firstLine="480" w:firstLineChars="200"/>
        <w:rPr>
          <w:sz w:val="24"/>
          <w:szCs w:val="24"/>
        </w:rPr>
      </w:pPr>
      <w:r>
        <w:rPr>
          <w:sz w:val="24"/>
          <w:szCs w:val="24"/>
        </w:rPr>
        <w:t>（4）地下水质量标准</w:t>
      </w:r>
    </w:p>
    <w:p>
      <w:pPr>
        <w:ind w:firstLine="480" w:firstLineChars="200"/>
        <w:rPr>
          <w:sz w:val="24"/>
        </w:rPr>
      </w:pPr>
      <w:r>
        <w:rPr>
          <w:sz w:val="24"/>
        </w:rPr>
        <w:t>本项目区域地下水执行《地下水质量标准》（GB/T14848-2017）中Ⅲ类标准，见下表。</w:t>
      </w:r>
    </w:p>
    <w:p>
      <w:pPr>
        <w:wordWrap w:val="0"/>
        <w:spacing w:line="240" w:lineRule="auto"/>
        <w:ind w:firstLine="482" w:firstLineChars="200"/>
        <w:jc w:val="right"/>
        <w:rPr>
          <w:b/>
          <w:sz w:val="24"/>
        </w:rPr>
      </w:pPr>
      <w:r>
        <w:rPr>
          <w:b/>
          <w:sz w:val="24"/>
        </w:rPr>
        <w:t>表</w:t>
      </w:r>
      <w:r>
        <w:rPr>
          <w:rFonts w:hint="eastAsia"/>
          <w:b/>
          <w:sz w:val="24"/>
        </w:rPr>
        <w:t>1</w:t>
      </w:r>
      <w:r>
        <w:rPr>
          <w:rFonts w:hint="eastAsia"/>
          <w:b/>
          <w:sz w:val="24"/>
          <w:lang w:val="en-US" w:eastAsia="zh-CN"/>
        </w:rPr>
        <w:t>.</w:t>
      </w:r>
      <w:r>
        <w:rPr>
          <w:rFonts w:hint="eastAsia"/>
          <w:b/>
          <w:sz w:val="24"/>
        </w:rPr>
        <w:t>10</w:t>
      </w:r>
      <w:r>
        <w:rPr>
          <w:b/>
          <w:sz w:val="24"/>
        </w:rPr>
        <w:t xml:space="preserve">-4地下水质量标准            </w:t>
      </w:r>
      <w:r>
        <w:rPr>
          <w:sz w:val="24"/>
        </w:rPr>
        <w:t>单位：mg/L</w:t>
      </w:r>
    </w:p>
    <w:tbl>
      <w:tblPr>
        <w:tblStyle w:val="22"/>
        <w:tblW w:w="8834"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3722"/>
        <w:gridCol w:w="2916"/>
        <w:gridCol w:w="219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19" w:hRule="atLeast"/>
          <w:jc w:val="center"/>
        </w:trPr>
        <w:tc>
          <w:tcPr>
            <w:tcW w:w="3722" w:type="dxa"/>
            <w:tcBorders>
              <w:tl2br w:val="nil"/>
              <w:tr2bl w:val="nil"/>
            </w:tcBorders>
            <w:vAlign w:val="center"/>
          </w:tcPr>
          <w:p>
            <w:pPr>
              <w:autoSpaceDE w:val="0"/>
              <w:autoSpaceDN w:val="0"/>
              <w:spacing w:line="240" w:lineRule="auto"/>
              <w:jc w:val="center"/>
            </w:pPr>
            <w:r>
              <w:t>项目</w:t>
            </w:r>
          </w:p>
        </w:tc>
        <w:tc>
          <w:tcPr>
            <w:tcW w:w="2916" w:type="dxa"/>
            <w:tcBorders>
              <w:tl2br w:val="nil"/>
              <w:tr2bl w:val="nil"/>
            </w:tcBorders>
            <w:vAlign w:val="center"/>
          </w:tcPr>
          <w:p>
            <w:pPr>
              <w:autoSpaceDE w:val="0"/>
              <w:autoSpaceDN w:val="0"/>
              <w:spacing w:line="240" w:lineRule="auto"/>
              <w:jc w:val="center"/>
              <w:rPr>
                <w:lang w:val="zh-CN"/>
              </w:rPr>
            </w:pPr>
            <w:r>
              <w:t>Ⅲ类标准值</w:t>
            </w:r>
            <w:r>
              <w:rPr>
                <w:rFonts w:hint="eastAsia"/>
              </w:rPr>
              <w:t>（</w:t>
            </w:r>
            <w:r>
              <w:t>mg/L</w:t>
            </w:r>
            <w:r>
              <w:rPr>
                <w:rFonts w:hint="eastAsia"/>
              </w:rPr>
              <w:t>）</w:t>
            </w:r>
          </w:p>
        </w:tc>
        <w:tc>
          <w:tcPr>
            <w:tcW w:w="2196" w:type="dxa"/>
            <w:tcBorders>
              <w:tl2br w:val="nil"/>
              <w:tr2bl w:val="nil"/>
            </w:tcBorders>
            <w:vAlign w:val="center"/>
          </w:tcPr>
          <w:p>
            <w:pPr>
              <w:autoSpaceDE w:val="0"/>
              <w:autoSpaceDN w:val="0"/>
              <w:spacing w:line="240" w:lineRule="auto"/>
              <w:jc w:val="center"/>
              <w:rPr>
                <w:spacing w:val="-8"/>
              </w:rPr>
            </w:pPr>
            <w:r>
              <w:rPr>
                <w:spacing w:val="-8"/>
              </w:rPr>
              <w:t>标准来源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95" w:hRule="atLeast"/>
          <w:jc w:val="center"/>
        </w:trPr>
        <w:tc>
          <w:tcPr>
            <w:tcW w:w="3722" w:type="dxa"/>
            <w:tcBorders>
              <w:tl2br w:val="nil"/>
              <w:tr2bl w:val="nil"/>
            </w:tcBorders>
            <w:vAlign w:val="center"/>
          </w:tcPr>
          <w:p>
            <w:pPr>
              <w:autoSpaceDE w:val="0"/>
              <w:autoSpaceDN w:val="0"/>
              <w:spacing w:line="240" w:lineRule="auto"/>
              <w:jc w:val="center"/>
            </w:pPr>
            <w:r>
              <w:rPr>
                <w:rFonts w:hint="eastAsia"/>
              </w:rPr>
              <w:t>p</w:t>
            </w:r>
            <w:r>
              <w:t>H</w:t>
            </w:r>
          </w:p>
        </w:tc>
        <w:tc>
          <w:tcPr>
            <w:tcW w:w="2916" w:type="dxa"/>
            <w:tcBorders>
              <w:tl2br w:val="nil"/>
              <w:tr2bl w:val="nil"/>
            </w:tcBorders>
            <w:vAlign w:val="center"/>
          </w:tcPr>
          <w:p>
            <w:pPr>
              <w:autoSpaceDE w:val="0"/>
              <w:autoSpaceDN w:val="0"/>
              <w:spacing w:line="240" w:lineRule="auto"/>
              <w:jc w:val="center"/>
              <w:rPr>
                <w:lang w:val="zh-CN"/>
              </w:rPr>
            </w:pPr>
            <w:r>
              <w:rPr>
                <w:lang w:val="zh-CN"/>
              </w:rPr>
              <w:t>6.5-8.5</w:t>
            </w:r>
          </w:p>
        </w:tc>
        <w:tc>
          <w:tcPr>
            <w:tcW w:w="2196" w:type="dxa"/>
            <w:vMerge w:val="restart"/>
            <w:tcBorders>
              <w:tl2br w:val="nil"/>
              <w:tr2bl w:val="nil"/>
            </w:tcBorders>
            <w:vAlign w:val="center"/>
          </w:tcPr>
          <w:p>
            <w:pPr>
              <w:autoSpaceDE w:val="0"/>
              <w:autoSpaceDN w:val="0"/>
              <w:spacing w:line="240" w:lineRule="auto"/>
              <w:jc w:val="center"/>
            </w:pPr>
            <w:r>
              <w:t>《地下水质量标准》（GB/T14818-2017）中Ⅲ类水质标准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27" w:hRule="atLeast"/>
          <w:jc w:val="center"/>
        </w:trPr>
        <w:tc>
          <w:tcPr>
            <w:tcW w:w="3722" w:type="dxa"/>
            <w:tcBorders>
              <w:tl2br w:val="nil"/>
              <w:tr2bl w:val="nil"/>
            </w:tcBorders>
            <w:vAlign w:val="center"/>
          </w:tcPr>
          <w:p>
            <w:pPr>
              <w:autoSpaceDE w:val="0"/>
              <w:autoSpaceDN w:val="0"/>
              <w:spacing w:line="240" w:lineRule="auto"/>
              <w:jc w:val="center"/>
            </w:pPr>
            <w:r>
              <w:t>色度</w:t>
            </w:r>
          </w:p>
        </w:tc>
        <w:tc>
          <w:tcPr>
            <w:tcW w:w="2916" w:type="dxa"/>
            <w:tcBorders>
              <w:tl2br w:val="nil"/>
              <w:tr2bl w:val="nil"/>
            </w:tcBorders>
            <w:vAlign w:val="center"/>
          </w:tcPr>
          <w:p>
            <w:pPr>
              <w:autoSpaceDE w:val="0"/>
              <w:autoSpaceDN w:val="0"/>
              <w:spacing w:line="240" w:lineRule="auto"/>
              <w:jc w:val="center"/>
            </w:pPr>
            <w:r>
              <w:t>≦15</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04" w:hRule="atLeast"/>
          <w:jc w:val="center"/>
        </w:trPr>
        <w:tc>
          <w:tcPr>
            <w:tcW w:w="3722" w:type="dxa"/>
            <w:tcBorders>
              <w:tl2br w:val="nil"/>
              <w:tr2bl w:val="nil"/>
            </w:tcBorders>
            <w:vAlign w:val="center"/>
          </w:tcPr>
          <w:p>
            <w:pPr>
              <w:autoSpaceDE w:val="0"/>
              <w:autoSpaceDN w:val="0"/>
              <w:spacing w:line="240" w:lineRule="auto"/>
              <w:jc w:val="center"/>
            </w:pPr>
            <w:r>
              <w:t>阴离子表面活性剂</w:t>
            </w:r>
          </w:p>
        </w:tc>
        <w:tc>
          <w:tcPr>
            <w:tcW w:w="2916" w:type="dxa"/>
            <w:tcBorders>
              <w:tl2br w:val="nil"/>
              <w:tr2bl w:val="nil"/>
            </w:tcBorders>
            <w:vAlign w:val="center"/>
          </w:tcPr>
          <w:p>
            <w:pPr>
              <w:autoSpaceDE w:val="0"/>
              <w:autoSpaceDN w:val="0"/>
              <w:spacing w:line="240" w:lineRule="auto"/>
              <w:jc w:val="center"/>
            </w:pPr>
            <w:r>
              <w:t>≦0.3</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07" w:hRule="atLeast"/>
          <w:jc w:val="center"/>
        </w:trPr>
        <w:tc>
          <w:tcPr>
            <w:tcW w:w="3722" w:type="dxa"/>
            <w:tcBorders>
              <w:tl2br w:val="nil"/>
              <w:tr2bl w:val="nil"/>
            </w:tcBorders>
            <w:vAlign w:val="center"/>
          </w:tcPr>
          <w:p>
            <w:pPr>
              <w:autoSpaceDE w:val="0"/>
              <w:autoSpaceDN w:val="0"/>
              <w:spacing w:line="240" w:lineRule="auto"/>
              <w:jc w:val="center"/>
            </w:pPr>
            <w:r>
              <w:t>总硬度</w:t>
            </w:r>
          </w:p>
        </w:tc>
        <w:tc>
          <w:tcPr>
            <w:tcW w:w="2916" w:type="dxa"/>
            <w:tcBorders>
              <w:tl2br w:val="nil"/>
              <w:tr2bl w:val="nil"/>
            </w:tcBorders>
            <w:vAlign w:val="center"/>
          </w:tcPr>
          <w:p>
            <w:pPr>
              <w:autoSpaceDE w:val="0"/>
              <w:autoSpaceDN w:val="0"/>
              <w:spacing w:line="240" w:lineRule="auto"/>
              <w:jc w:val="center"/>
            </w:pPr>
            <w:r>
              <w:t>≤450</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84" w:hRule="atLeast"/>
          <w:jc w:val="center"/>
        </w:trPr>
        <w:tc>
          <w:tcPr>
            <w:tcW w:w="3722" w:type="dxa"/>
            <w:tcBorders>
              <w:tl2br w:val="nil"/>
              <w:tr2bl w:val="nil"/>
            </w:tcBorders>
            <w:vAlign w:val="center"/>
          </w:tcPr>
          <w:p>
            <w:pPr>
              <w:autoSpaceDE w:val="0"/>
              <w:autoSpaceDN w:val="0"/>
              <w:spacing w:line="240" w:lineRule="auto"/>
              <w:jc w:val="center"/>
            </w:pPr>
            <w:r>
              <w:t>溶解性总固体</w:t>
            </w:r>
          </w:p>
        </w:tc>
        <w:tc>
          <w:tcPr>
            <w:tcW w:w="2916" w:type="dxa"/>
            <w:tcBorders>
              <w:tl2br w:val="nil"/>
              <w:tr2bl w:val="nil"/>
            </w:tcBorders>
            <w:vAlign w:val="center"/>
          </w:tcPr>
          <w:p>
            <w:pPr>
              <w:autoSpaceDE w:val="0"/>
              <w:autoSpaceDN w:val="0"/>
              <w:spacing w:line="240" w:lineRule="auto"/>
              <w:jc w:val="center"/>
            </w:pPr>
            <w:r>
              <w:t>≤1000</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87" w:hRule="atLeast"/>
          <w:jc w:val="center"/>
        </w:trPr>
        <w:tc>
          <w:tcPr>
            <w:tcW w:w="3722" w:type="dxa"/>
            <w:tcBorders>
              <w:tl2br w:val="nil"/>
              <w:tr2bl w:val="nil"/>
            </w:tcBorders>
            <w:vAlign w:val="center"/>
          </w:tcPr>
          <w:p>
            <w:pPr>
              <w:autoSpaceDE w:val="0"/>
              <w:autoSpaceDN w:val="0"/>
              <w:spacing w:line="240" w:lineRule="auto"/>
              <w:jc w:val="center"/>
            </w:pPr>
            <w:r>
              <w:t>挥发性酚类</w:t>
            </w:r>
          </w:p>
        </w:tc>
        <w:tc>
          <w:tcPr>
            <w:tcW w:w="2916" w:type="dxa"/>
            <w:tcBorders>
              <w:tl2br w:val="nil"/>
              <w:tr2bl w:val="nil"/>
            </w:tcBorders>
            <w:vAlign w:val="center"/>
          </w:tcPr>
          <w:p>
            <w:pPr>
              <w:autoSpaceDE w:val="0"/>
              <w:autoSpaceDN w:val="0"/>
              <w:spacing w:line="240" w:lineRule="auto"/>
              <w:jc w:val="center"/>
            </w:pPr>
            <w:r>
              <w:t>≤0.002</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7" w:hRule="atLeast"/>
          <w:jc w:val="center"/>
        </w:trPr>
        <w:tc>
          <w:tcPr>
            <w:tcW w:w="3722" w:type="dxa"/>
            <w:tcBorders>
              <w:tl2br w:val="nil"/>
              <w:tr2bl w:val="nil"/>
            </w:tcBorders>
            <w:vAlign w:val="center"/>
          </w:tcPr>
          <w:p>
            <w:pPr>
              <w:autoSpaceDE w:val="0"/>
              <w:autoSpaceDN w:val="0"/>
              <w:spacing w:line="240" w:lineRule="auto"/>
              <w:jc w:val="center"/>
            </w:pPr>
            <w:r>
              <w:t>硫酸盐</w:t>
            </w:r>
          </w:p>
        </w:tc>
        <w:tc>
          <w:tcPr>
            <w:tcW w:w="2916" w:type="dxa"/>
            <w:tcBorders>
              <w:tl2br w:val="nil"/>
              <w:tr2bl w:val="nil"/>
            </w:tcBorders>
            <w:vAlign w:val="center"/>
          </w:tcPr>
          <w:p>
            <w:pPr>
              <w:autoSpaceDE w:val="0"/>
              <w:autoSpaceDN w:val="0"/>
              <w:spacing w:line="240" w:lineRule="auto"/>
              <w:jc w:val="center"/>
            </w:pPr>
            <w:r>
              <w:t>≤250</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jc w:val="center"/>
        </w:trPr>
        <w:tc>
          <w:tcPr>
            <w:tcW w:w="3722" w:type="dxa"/>
            <w:tcBorders>
              <w:tl2br w:val="nil"/>
              <w:tr2bl w:val="nil"/>
            </w:tcBorders>
            <w:vAlign w:val="center"/>
          </w:tcPr>
          <w:p>
            <w:pPr>
              <w:autoSpaceDE w:val="0"/>
              <w:autoSpaceDN w:val="0"/>
              <w:spacing w:line="240" w:lineRule="auto"/>
              <w:jc w:val="center"/>
              <w:rPr>
                <w:lang w:val="zh-CN"/>
              </w:rPr>
            </w:pPr>
            <w:r>
              <w:rPr>
                <w:lang w:val="zh-CN"/>
              </w:rPr>
              <w:t>氯化物</w:t>
            </w:r>
          </w:p>
        </w:tc>
        <w:tc>
          <w:tcPr>
            <w:tcW w:w="2916" w:type="dxa"/>
            <w:tcBorders>
              <w:tl2br w:val="nil"/>
              <w:tr2bl w:val="nil"/>
            </w:tcBorders>
            <w:vAlign w:val="center"/>
          </w:tcPr>
          <w:p>
            <w:pPr>
              <w:autoSpaceDE w:val="0"/>
              <w:autoSpaceDN w:val="0"/>
              <w:spacing w:line="240" w:lineRule="auto"/>
              <w:jc w:val="center"/>
            </w:pPr>
            <w:r>
              <w:t>≤250</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58" w:hRule="atLeast"/>
          <w:jc w:val="center"/>
        </w:trPr>
        <w:tc>
          <w:tcPr>
            <w:tcW w:w="3722" w:type="dxa"/>
            <w:tcBorders>
              <w:tl2br w:val="nil"/>
              <w:tr2bl w:val="nil"/>
            </w:tcBorders>
            <w:vAlign w:val="center"/>
          </w:tcPr>
          <w:p>
            <w:pPr>
              <w:autoSpaceDE w:val="0"/>
              <w:autoSpaceDN w:val="0"/>
              <w:spacing w:line="240" w:lineRule="auto"/>
              <w:jc w:val="center"/>
              <w:rPr>
                <w:lang w:val="zh-CN"/>
              </w:rPr>
            </w:pPr>
            <w:r>
              <w:rPr>
                <w:lang w:val="zh-CN"/>
              </w:rPr>
              <w:t>氟化物</w:t>
            </w:r>
          </w:p>
        </w:tc>
        <w:tc>
          <w:tcPr>
            <w:tcW w:w="2916" w:type="dxa"/>
            <w:tcBorders>
              <w:tl2br w:val="nil"/>
              <w:tr2bl w:val="nil"/>
            </w:tcBorders>
            <w:vAlign w:val="center"/>
          </w:tcPr>
          <w:p>
            <w:pPr>
              <w:autoSpaceDE w:val="0"/>
              <w:autoSpaceDN w:val="0"/>
              <w:spacing w:line="240" w:lineRule="auto"/>
              <w:jc w:val="center"/>
            </w:pPr>
            <w:r>
              <w:t>≤1.0</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47" w:hRule="atLeast"/>
          <w:jc w:val="center"/>
        </w:trPr>
        <w:tc>
          <w:tcPr>
            <w:tcW w:w="3722" w:type="dxa"/>
            <w:tcBorders>
              <w:tl2br w:val="nil"/>
              <w:tr2bl w:val="nil"/>
            </w:tcBorders>
            <w:vAlign w:val="center"/>
          </w:tcPr>
          <w:p>
            <w:pPr>
              <w:autoSpaceDE w:val="0"/>
              <w:autoSpaceDN w:val="0"/>
              <w:spacing w:line="240" w:lineRule="auto"/>
              <w:jc w:val="center"/>
              <w:rPr>
                <w:lang w:val="zh-CN"/>
              </w:rPr>
            </w:pPr>
            <w:r>
              <w:rPr>
                <w:lang w:val="zh-CN"/>
              </w:rPr>
              <w:t>氰化物</w:t>
            </w:r>
          </w:p>
        </w:tc>
        <w:tc>
          <w:tcPr>
            <w:tcW w:w="2916" w:type="dxa"/>
            <w:tcBorders>
              <w:tl2br w:val="nil"/>
              <w:tr2bl w:val="nil"/>
            </w:tcBorders>
            <w:vAlign w:val="center"/>
          </w:tcPr>
          <w:p>
            <w:pPr>
              <w:autoSpaceDE w:val="0"/>
              <w:autoSpaceDN w:val="0"/>
              <w:spacing w:line="240" w:lineRule="auto"/>
              <w:jc w:val="center"/>
            </w:pPr>
            <w:r>
              <w:t>≤0.05</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51" w:hRule="atLeast"/>
          <w:jc w:val="center"/>
        </w:trPr>
        <w:tc>
          <w:tcPr>
            <w:tcW w:w="3722" w:type="dxa"/>
            <w:tcBorders>
              <w:tl2br w:val="nil"/>
              <w:tr2bl w:val="nil"/>
            </w:tcBorders>
            <w:vAlign w:val="center"/>
          </w:tcPr>
          <w:p>
            <w:pPr>
              <w:autoSpaceDE w:val="0"/>
              <w:autoSpaceDN w:val="0"/>
              <w:spacing w:line="240" w:lineRule="auto"/>
              <w:jc w:val="center"/>
              <w:rPr>
                <w:lang w:val="zh-CN"/>
              </w:rPr>
            </w:pPr>
            <w:r>
              <w:rPr>
                <w:lang w:val="zh-CN"/>
              </w:rPr>
              <w:t>硝酸盐</w:t>
            </w:r>
          </w:p>
        </w:tc>
        <w:tc>
          <w:tcPr>
            <w:tcW w:w="2916" w:type="dxa"/>
            <w:tcBorders>
              <w:tl2br w:val="nil"/>
              <w:tr2bl w:val="nil"/>
            </w:tcBorders>
            <w:vAlign w:val="center"/>
          </w:tcPr>
          <w:p>
            <w:pPr>
              <w:autoSpaceDE w:val="0"/>
              <w:autoSpaceDN w:val="0"/>
              <w:spacing w:line="240" w:lineRule="auto"/>
              <w:jc w:val="center"/>
            </w:pPr>
            <w:r>
              <w:t>≤20</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15" w:hRule="atLeast"/>
          <w:jc w:val="center"/>
        </w:trPr>
        <w:tc>
          <w:tcPr>
            <w:tcW w:w="3722" w:type="dxa"/>
            <w:tcBorders>
              <w:tl2br w:val="nil"/>
              <w:tr2bl w:val="nil"/>
            </w:tcBorders>
            <w:vAlign w:val="center"/>
          </w:tcPr>
          <w:p>
            <w:pPr>
              <w:autoSpaceDE w:val="0"/>
              <w:autoSpaceDN w:val="0"/>
              <w:spacing w:line="240" w:lineRule="auto"/>
              <w:jc w:val="center"/>
              <w:rPr>
                <w:lang w:val="zh-CN"/>
              </w:rPr>
            </w:pPr>
            <w:r>
              <w:rPr>
                <w:lang w:val="zh-CN"/>
              </w:rPr>
              <w:t>氨氮</w:t>
            </w:r>
          </w:p>
        </w:tc>
        <w:tc>
          <w:tcPr>
            <w:tcW w:w="2916" w:type="dxa"/>
            <w:tcBorders>
              <w:tl2br w:val="nil"/>
              <w:tr2bl w:val="nil"/>
            </w:tcBorders>
            <w:vAlign w:val="center"/>
          </w:tcPr>
          <w:p>
            <w:pPr>
              <w:autoSpaceDE w:val="0"/>
              <w:autoSpaceDN w:val="0"/>
              <w:spacing w:line="240" w:lineRule="auto"/>
              <w:jc w:val="center"/>
            </w:pPr>
            <w:r>
              <w:t>≤0.5</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51" w:hRule="atLeast"/>
          <w:jc w:val="center"/>
        </w:trPr>
        <w:tc>
          <w:tcPr>
            <w:tcW w:w="3722" w:type="dxa"/>
            <w:tcBorders>
              <w:tl2br w:val="nil"/>
              <w:tr2bl w:val="nil"/>
            </w:tcBorders>
            <w:vAlign w:val="center"/>
          </w:tcPr>
          <w:p>
            <w:pPr>
              <w:autoSpaceDE w:val="0"/>
              <w:autoSpaceDN w:val="0"/>
              <w:spacing w:line="240" w:lineRule="auto"/>
              <w:jc w:val="center"/>
              <w:rPr>
                <w:lang w:val="zh-CN"/>
              </w:rPr>
            </w:pPr>
            <w:r>
              <w:rPr>
                <w:lang w:val="zh-CN"/>
              </w:rPr>
              <w:t>亚硝酸盐</w:t>
            </w:r>
          </w:p>
        </w:tc>
        <w:tc>
          <w:tcPr>
            <w:tcW w:w="2916" w:type="dxa"/>
            <w:tcBorders>
              <w:tl2br w:val="nil"/>
              <w:tr2bl w:val="nil"/>
            </w:tcBorders>
            <w:vAlign w:val="center"/>
          </w:tcPr>
          <w:p>
            <w:pPr>
              <w:autoSpaceDE w:val="0"/>
              <w:autoSpaceDN w:val="0"/>
              <w:spacing w:line="240" w:lineRule="auto"/>
              <w:jc w:val="center"/>
            </w:pPr>
            <w:r>
              <w:t>≤1.0</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22" w:hRule="atLeast"/>
          <w:jc w:val="center"/>
        </w:trPr>
        <w:tc>
          <w:tcPr>
            <w:tcW w:w="3722" w:type="dxa"/>
            <w:tcBorders>
              <w:tl2br w:val="nil"/>
              <w:tr2bl w:val="nil"/>
            </w:tcBorders>
            <w:vAlign w:val="center"/>
          </w:tcPr>
          <w:p>
            <w:pPr>
              <w:autoSpaceDE w:val="0"/>
              <w:autoSpaceDN w:val="0"/>
              <w:spacing w:line="240" w:lineRule="auto"/>
              <w:jc w:val="center"/>
              <w:rPr>
                <w:lang w:val="zh-CN"/>
              </w:rPr>
            </w:pPr>
            <w:r>
              <w:rPr>
                <w:lang w:val="zh-CN"/>
              </w:rPr>
              <w:t>高锰酸盐指数</w:t>
            </w:r>
          </w:p>
        </w:tc>
        <w:tc>
          <w:tcPr>
            <w:tcW w:w="2916" w:type="dxa"/>
            <w:tcBorders>
              <w:tl2br w:val="nil"/>
              <w:tr2bl w:val="nil"/>
            </w:tcBorders>
            <w:vAlign w:val="center"/>
          </w:tcPr>
          <w:p>
            <w:pPr>
              <w:autoSpaceDE w:val="0"/>
              <w:autoSpaceDN w:val="0"/>
              <w:spacing w:line="240" w:lineRule="auto"/>
              <w:jc w:val="center"/>
            </w:pPr>
            <w:r>
              <w:t>≤0.5</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58" w:hRule="atLeast"/>
          <w:jc w:val="center"/>
        </w:trPr>
        <w:tc>
          <w:tcPr>
            <w:tcW w:w="3722" w:type="dxa"/>
            <w:tcBorders>
              <w:tl2br w:val="nil"/>
              <w:tr2bl w:val="nil"/>
            </w:tcBorders>
            <w:vAlign w:val="center"/>
          </w:tcPr>
          <w:p>
            <w:pPr>
              <w:autoSpaceDE w:val="0"/>
              <w:autoSpaceDN w:val="0"/>
              <w:spacing w:line="240" w:lineRule="auto"/>
              <w:jc w:val="center"/>
              <w:rPr>
                <w:lang w:val="zh-CN"/>
              </w:rPr>
            </w:pPr>
            <w:r>
              <w:t>细菌</w:t>
            </w:r>
            <w:r>
              <w:rPr>
                <w:lang w:val="zh-CN"/>
              </w:rPr>
              <w:t>总数（</w:t>
            </w:r>
            <w:r>
              <w:t>CFU/ml</w:t>
            </w:r>
            <w:r>
              <w:rPr>
                <w:lang w:val="zh-CN"/>
              </w:rPr>
              <w:t>）</w:t>
            </w:r>
          </w:p>
        </w:tc>
        <w:tc>
          <w:tcPr>
            <w:tcW w:w="2916" w:type="dxa"/>
            <w:tcBorders>
              <w:tl2br w:val="nil"/>
              <w:tr2bl w:val="nil"/>
            </w:tcBorders>
            <w:vAlign w:val="center"/>
          </w:tcPr>
          <w:p>
            <w:pPr>
              <w:autoSpaceDE w:val="0"/>
              <w:autoSpaceDN w:val="0"/>
              <w:spacing w:line="240" w:lineRule="auto"/>
              <w:jc w:val="center"/>
            </w:pPr>
            <w:r>
              <w:t>≤100</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94" w:hRule="atLeast"/>
          <w:jc w:val="center"/>
        </w:trPr>
        <w:tc>
          <w:tcPr>
            <w:tcW w:w="3722" w:type="dxa"/>
            <w:tcBorders>
              <w:tl2br w:val="nil"/>
              <w:tr2bl w:val="nil"/>
            </w:tcBorders>
            <w:vAlign w:val="center"/>
          </w:tcPr>
          <w:p>
            <w:pPr>
              <w:autoSpaceDE w:val="0"/>
              <w:autoSpaceDN w:val="0"/>
              <w:spacing w:line="240" w:lineRule="auto"/>
              <w:jc w:val="center"/>
              <w:rPr>
                <w:lang w:val="zh-CN"/>
              </w:rPr>
            </w:pPr>
            <w:r>
              <w:rPr>
                <w:lang w:val="zh-CN"/>
              </w:rPr>
              <w:t>总大肠菌群（</w:t>
            </w:r>
            <w:r>
              <w:t>CFU/100ml</w:t>
            </w:r>
            <w:r>
              <w:rPr>
                <w:lang w:val="zh-CN"/>
              </w:rPr>
              <w:t>）</w:t>
            </w:r>
          </w:p>
        </w:tc>
        <w:tc>
          <w:tcPr>
            <w:tcW w:w="2916" w:type="dxa"/>
            <w:tcBorders>
              <w:tl2br w:val="nil"/>
              <w:tr2bl w:val="nil"/>
            </w:tcBorders>
            <w:vAlign w:val="center"/>
          </w:tcPr>
          <w:p>
            <w:pPr>
              <w:autoSpaceDE w:val="0"/>
              <w:autoSpaceDN w:val="0"/>
              <w:spacing w:line="240" w:lineRule="auto"/>
              <w:jc w:val="center"/>
            </w:pPr>
            <w:r>
              <w:t>≤3</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29" w:hRule="atLeast"/>
          <w:jc w:val="center"/>
        </w:trPr>
        <w:tc>
          <w:tcPr>
            <w:tcW w:w="3722" w:type="dxa"/>
            <w:tcBorders>
              <w:tl2br w:val="nil"/>
              <w:tr2bl w:val="nil"/>
            </w:tcBorders>
            <w:vAlign w:val="center"/>
          </w:tcPr>
          <w:p>
            <w:pPr>
              <w:autoSpaceDE w:val="0"/>
              <w:autoSpaceDN w:val="0"/>
              <w:spacing w:line="240" w:lineRule="auto"/>
              <w:jc w:val="center"/>
              <w:rPr>
                <w:lang w:val="zh-CN"/>
              </w:rPr>
            </w:pPr>
            <w:r>
              <w:rPr>
                <w:lang w:val="zh-CN"/>
              </w:rPr>
              <w:t>六价铬</w:t>
            </w:r>
          </w:p>
        </w:tc>
        <w:tc>
          <w:tcPr>
            <w:tcW w:w="2916" w:type="dxa"/>
            <w:tcBorders>
              <w:tl2br w:val="nil"/>
              <w:tr2bl w:val="nil"/>
            </w:tcBorders>
            <w:vAlign w:val="center"/>
          </w:tcPr>
          <w:p>
            <w:pPr>
              <w:autoSpaceDE w:val="0"/>
              <w:autoSpaceDN w:val="0"/>
              <w:spacing w:line="240" w:lineRule="auto"/>
              <w:jc w:val="center"/>
            </w:pPr>
            <w:r>
              <w:t>≤0.5</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37" w:hRule="atLeast"/>
          <w:jc w:val="center"/>
        </w:trPr>
        <w:tc>
          <w:tcPr>
            <w:tcW w:w="3722" w:type="dxa"/>
            <w:tcBorders>
              <w:tl2br w:val="nil"/>
              <w:tr2bl w:val="nil"/>
            </w:tcBorders>
            <w:vAlign w:val="center"/>
          </w:tcPr>
          <w:p>
            <w:pPr>
              <w:autoSpaceDE w:val="0"/>
              <w:autoSpaceDN w:val="0"/>
              <w:spacing w:line="240" w:lineRule="auto"/>
              <w:jc w:val="center"/>
              <w:rPr>
                <w:lang w:val="zh-CN"/>
              </w:rPr>
            </w:pPr>
            <w:r>
              <w:rPr>
                <w:lang w:val="zh-CN"/>
              </w:rPr>
              <w:t>铁</w:t>
            </w:r>
          </w:p>
        </w:tc>
        <w:tc>
          <w:tcPr>
            <w:tcW w:w="2916" w:type="dxa"/>
            <w:tcBorders>
              <w:tl2br w:val="nil"/>
              <w:tr2bl w:val="nil"/>
            </w:tcBorders>
            <w:vAlign w:val="center"/>
          </w:tcPr>
          <w:p>
            <w:pPr>
              <w:autoSpaceDE w:val="0"/>
              <w:autoSpaceDN w:val="0"/>
              <w:spacing w:line="240" w:lineRule="auto"/>
              <w:jc w:val="center"/>
            </w:pPr>
            <w:r>
              <w:t>≤0.5</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59" w:hRule="atLeast"/>
          <w:jc w:val="center"/>
        </w:trPr>
        <w:tc>
          <w:tcPr>
            <w:tcW w:w="3722" w:type="dxa"/>
            <w:tcBorders>
              <w:tl2br w:val="nil"/>
              <w:tr2bl w:val="nil"/>
            </w:tcBorders>
            <w:vAlign w:val="center"/>
          </w:tcPr>
          <w:p>
            <w:pPr>
              <w:autoSpaceDE w:val="0"/>
              <w:autoSpaceDN w:val="0"/>
              <w:spacing w:line="240" w:lineRule="auto"/>
              <w:jc w:val="center"/>
              <w:rPr>
                <w:lang w:val="zh-CN"/>
              </w:rPr>
            </w:pPr>
            <w:r>
              <w:rPr>
                <w:lang w:val="zh-CN"/>
              </w:rPr>
              <w:t>锰</w:t>
            </w:r>
          </w:p>
        </w:tc>
        <w:tc>
          <w:tcPr>
            <w:tcW w:w="2916" w:type="dxa"/>
            <w:tcBorders>
              <w:tl2br w:val="nil"/>
              <w:tr2bl w:val="nil"/>
            </w:tcBorders>
            <w:vAlign w:val="center"/>
          </w:tcPr>
          <w:p>
            <w:pPr>
              <w:autoSpaceDE w:val="0"/>
              <w:autoSpaceDN w:val="0"/>
              <w:spacing w:line="240" w:lineRule="auto"/>
              <w:jc w:val="center"/>
            </w:pPr>
            <w:r>
              <w:t>≤0.5</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96" w:hRule="atLeast"/>
          <w:jc w:val="center"/>
        </w:trPr>
        <w:tc>
          <w:tcPr>
            <w:tcW w:w="3722" w:type="dxa"/>
            <w:tcBorders>
              <w:tl2br w:val="nil"/>
              <w:tr2bl w:val="nil"/>
            </w:tcBorders>
            <w:vAlign w:val="center"/>
          </w:tcPr>
          <w:p>
            <w:pPr>
              <w:autoSpaceDE w:val="0"/>
              <w:autoSpaceDN w:val="0"/>
              <w:spacing w:line="240" w:lineRule="auto"/>
              <w:jc w:val="center"/>
            </w:pPr>
            <w:r>
              <w:t>铜</w:t>
            </w:r>
          </w:p>
        </w:tc>
        <w:tc>
          <w:tcPr>
            <w:tcW w:w="2916" w:type="dxa"/>
            <w:tcBorders>
              <w:tl2br w:val="nil"/>
              <w:tr2bl w:val="nil"/>
            </w:tcBorders>
            <w:vAlign w:val="center"/>
          </w:tcPr>
          <w:p>
            <w:pPr>
              <w:autoSpaceDE w:val="0"/>
              <w:autoSpaceDN w:val="0"/>
              <w:spacing w:line="240" w:lineRule="auto"/>
              <w:jc w:val="center"/>
            </w:pPr>
            <w:r>
              <w:t>≤1.0</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22" w:type="dxa"/>
            <w:tcBorders>
              <w:tl2br w:val="nil"/>
              <w:tr2bl w:val="nil"/>
            </w:tcBorders>
            <w:vAlign w:val="center"/>
          </w:tcPr>
          <w:p>
            <w:pPr>
              <w:autoSpaceDE w:val="0"/>
              <w:autoSpaceDN w:val="0"/>
              <w:spacing w:line="240" w:lineRule="auto"/>
              <w:jc w:val="center"/>
              <w:rPr>
                <w:lang w:val="zh-CN"/>
              </w:rPr>
            </w:pPr>
            <w:r>
              <w:rPr>
                <w:lang w:val="zh-CN"/>
              </w:rPr>
              <w:t>锌</w:t>
            </w:r>
          </w:p>
        </w:tc>
        <w:tc>
          <w:tcPr>
            <w:tcW w:w="2916" w:type="dxa"/>
            <w:tcBorders>
              <w:tl2br w:val="nil"/>
              <w:tr2bl w:val="nil"/>
            </w:tcBorders>
            <w:vAlign w:val="center"/>
          </w:tcPr>
          <w:p>
            <w:pPr>
              <w:autoSpaceDE w:val="0"/>
              <w:autoSpaceDN w:val="0"/>
              <w:spacing w:line="240" w:lineRule="auto"/>
              <w:jc w:val="center"/>
            </w:pPr>
            <w:r>
              <w:t>≤1.0</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75" w:hRule="atLeast"/>
          <w:jc w:val="center"/>
        </w:trPr>
        <w:tc>
          <w:tcPr>
            <w:tcW w:w="3722" w:type="dxa"/>
            <w:tcBorders>
              <w:tl2br w:val="nil"/>
              <w:tr2bl w:val="nil"/>
            </w:tcBorders>
            <w:vAlign w:val="center"/>
          </w:tcPr>
          <w:p>
            <w:pPr>
              <w:autoSpaceDE w:val="0"/>
              <w:autoSpaceDN w:val="0"/>
              <w:spacing w:line="240" w:lineRule="auto"/>
              <w:jc w:val="center"/>
              <w:rPr>
                <w:lang w:val="zh-CN"/>
              </w:rPr>
            </w:pPr>
            <w:r>
              <w:rPr>
                <w:lang w:val="zh-CN"/>
              </w:rPr>
              <w:t>铅</w:t>
            </w:r>
          </w:p>
        </w:tc>
        <w:tc>
          <w:tcPr>
            <w:tcW w:w="2916" w:type="dxa"/>
            <w:tcBorders>
              <w:tl2br w:val="nil"/>
              <w:tr2bl w:val="nil"/>
            </w:tcBorders>
            <w:vAlign w:val="center"/>
          </w:tcPr>
          <w:p>
            <w:pPr>
              <w:autoSpaceDE w:val="0"/>
              <w:autoSpaceDN w:val="0"/>
              <w:spacing w:line="240" w:lineRule="auto"/>
              <w:jc w:val="center"/>
            </w:pPr>
            <w:r>
              <w:t>≤0.01</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11" w:hRule="atLeast"/>
          <w:jc w:val="center"/>
        </w:trPr>
        <w:tc>
          <w:tcPr>
            <w:tcW w:w="3722" w:type="dxa"/>
            <w:tcBorders>
              <w:tl2br w:val="nil"/>
              <w:tr2bl w:val="nil"/>
            </w:tcBorders>
            <w:vAlign w:val="center"/>
          </w:tcPr>
          <w:p>
            <w:pPr>
              <w:autoSpaceDE w:val="0"/>
              <w:autoSpaceDN w:val="0"/>
              <w:spacing w:line="240" w:lineRule="auto"/>
              <w:jc w:val="center"/>
              <w:rPr>
                <w:lang w:val="zh-CN"/>
              </w:rPr>
            </w:pPr>
            <w:r>
              <w:rPr>
                <w:lang w:val="zh-CN"/>
              </w:rPr>
              <w:t>镉</w:t>
            </w:r>
          </w:p>
        </w:tc>
        <w:tc>
          <w:tcPr>
            <w:tcW w:w="2916" w:type="dxa"/>
            <w:tcBorders>
              <w:tl2br w:val="nil"/>
              <w:tr2bl w:val="nil"/>
            </w:tcBorders>
            <w:vAlign w:val="center"/>
          </w:tcPr>
          <w:p>
            <w:pPr>
              <w:autoSpaceDE w:val="0"/>
              <w:autoSpaceDN w:val="0"/>
              <w:spacing w:line="240" w:lineRule="auto"/>
              <w:jc w:val="center"/>
            </w:pPr>
            <w:r>
              <w:t>≤0.005</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1" w:hRule="atLeast"/>
          <w:jc w:val="center"/>
        </w:trPr>
        <w:tc>
          <w:tcPr>
            <w:tcW w:w="3722" w:type="dxa"/>
            <w:tcBorders>
              <w:tl2br w:val="nil"/>
              <w:tr2bl w:val="nil"/>
            </w:tcBorders>
            <w:vAlign w:val="center"/>
          </w:tcPr>
          <w:p>
            <w:pPr>
              <w:autoSpaceDE w:val="0"/>
              <w:autoSpaceDN w:val="0"/>
              <w:spacing w:line="240" w:lineRule="auto"/>
              <w:jc w:val="center"/>
              <w:rPr>
                <w:lang w:val="zh-CN"/>
              </w:rPr>
            </w:pPr>
            <w:r>
              <w:rPr>
                <w:lang w:val="zh-CN"/>
              </w:rPr>
              <w:t>砷</w:t>
            </w:r>
          </w:p>
        </w:tc>
        <w:tc>
          <w:tcPr>
            <w:tcW w:w="2916" w:type="dxa"/>
            <w:tcBorders>
              <w:tl2br w:val="nil"/>
              <w:tr2bl w:val="nil"/>
            </w:tcBorders>
            <w:vAlign w:val="center"/>
          </w:tcPr>
          <w:p>
            <w:pPr>
              <w:autoSpaceDE w:val="0"/>
              <w:autoSpaceDN w:val="0"/>
              <w:spacing w:line="240" w:lineRule="auto"/>
              <w:jc w:val="center"/>
            </w:pPr>
            <w:r>
              <w:t>≤0.01</w:t>
            </w:r>
          </w:p>
        </w:tc>
        <w:tc>
          <w:tcPr>
            <w:tcW w:w="2196" w:type="dxa"/>
            <w:vMerge w:val="continue"/>
            <w:tcBorders>
              <w:tl2br w:val="nil"/>
              <w:tr2bl w:val="nil"/>
            </w:tcBorders>
            <w:vAlign w:val="center"/>
          </w:tcPr>
          <w:p>
            <w:pPr>
              <w:autoSpaceDE w:val="0"/>
              <w:autoSpaceDN w:val="0"/>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3" w:hRule="atLeast"/>
          <w:jc w:val="center"/>
        </w:trPr>
        <w:tc>
          <w:tcPr>
            <w:tcW w:w="3722" w:type="dxa"/>
            <w:tcBorders>
              <w:tl2br w:val="nil"/>
              <w:tr2bl w:val="nil"/>
            </w:tcBorders>
            <w:vAlign w:val="center"/>
          </w:tcPr>
          <w:p>
            <w:pPr>
              <w:autoSpaceDE w:val="0"/>
              <w:autoSpaceDN w:val="0"/>
              <w:spacing w:line="240" w:lineRule="auto"/>
              <w:jc w:val="center"/>
              <w:rPr>
                <w:lang w:val="zh-CN"/>
              </w:rPr>
            </w:pPr>
            <w:r>
              <w:rPr>
                <w:lang w:val="zh-CN"/>
              </w:rPr>
              <w:t xml:space="preserve">汞 </w:t>
            </w:r>
          </w:p>
        </w:tc>
        <w:tc>
          <w:tcPr>
            <w:tcW w:w="2916" w:type="dxa"/>
            <w:tcBorders>
              <w:tl2br w:val="nil"/>
              <w:tr2bl w:val="nil"/>
            </w:tcBorders>
            <w:vAlign w:val="center"/>
          </w:tcPr>
          <w:p>
            <w:pPr>
              <w:autoSpaceDE w:val="0"/>
              <w:autoSpaceDN w:val="0"/>
              <w:spacing w:line="240" w:lineRule="auto"/>
              <w:jc w:val="center"/>
            </w:pPr>
            <w:r>
              <w:t>≤0.001</w:t>
            </w:r>
          </w:p>
        </w:tc>
        <w:tc>
          <w:tcPr>
            <w:tcW w:w="2196" w:type="dxa"/>
            <w:vMerge w:val="continue"/>
            <w:tcBorders>
              <w:tl2br w:val="nil"/>
              <w:tr2bl w:val="nil"/>
            </w:tcBorders>
            <w:vAlign w:val="center"/>
          </w:tcPr>
          <w:p>
            <w:pPr>
              <w:autoSpaceDE w:val="0"/>
              <w:autoSpaceDN w:val="0"/>
              <w:spacing w:line="240" w:lineRule="auto"/>
              <w:jc w:val="center"/>
            </w:pPr>
          </w:p>
        </w:tc>
      </w:tr>
    </w:tbl>
    <w:p>
      <w:pPr>
        <w:adjustRightInd/>
        <w:snapToGrid/>
        <w:rPr>
          <w:b/>
          <w:sz w:val="24"/>
          <w:szCs w:val="24"/>
          <w:highlight w:val="none"/>
        </w:rPr>
      </w:pPr>
      <w:r>
        <w:rPr>
          <w:rFonts w:hint="eastAsia"/>
          <w:b/>
          <w:sz w:val="24"/>
          <w:szCs w:val="24"/>
        </w:rPr>
        <w:t>1.10</w:t>
      </w:r>
      <w:r>
        <w:rPr>
          <w:b/>
          <w:sz w:val="24"/>
          <w:szCs w:val="24"/>
        </w:rPr>
        <w:t>.2</w:t>
      </w:r>
      <w:r>
        <w:rPr>
          <w:b/>
          <w:sz w:val="24"/>
          <w:szCs w:val="24"/>
          <w:highlight w:val="none"/>
        </w:rPr>
        <w:t xml:space="preserve"> 污染物排放标准</w:t>
      </w:r>
    </w:p>
    <w:p>
      <w:pPr>
        <w:ind w:firstLine="357" w:firstLineChars="149"/>
        <w:rPr>
          <w:bCs/>
          <w:sz w:val="24"/>
          <w:szCs w:val="24"/>
        </w:rPr>
      </w:pPr>
      <w:r>
        <w:rPr>
          <w:bCs/>
          <w:sz w:val="24"/>
          <w:szCs w:val="24"/>
        </w:rPr>
        <w:t>（1）大气污染物排放标准</w:t>
      </w:r>
    </w:p>
    <w:p>
      <w:pPr>
        <w:ind w:firstLine="480" w:firstLineChars="200"/>
        <w:rPr>
          <w:rFonts w:hint="eastAsia"/>
          <w:sz w:val="24"/>
          <w:szCs w:val="24"/>
          <w:lang w:eastAsia="zh-CN"/>
        </w:rPr>
      </w:pPr>
      <w:r>
        <w:rPr>
          <w:sz w:val="24"/>
          <w:szCs w:val="24"/>
        </w:rPr>
        <w:t>项目恶臭排放执行《恶臭污染物排放标准》（GB14554-93）中表1恶臭污染物厂界标准中规定的二级标准，</w:t>
      </w:r>
      <w:r>
        <w:rPr>
          <w:rFonts w:hint="eastAsia"/>
          <w:sz w:val="24"/>
          <w:szCs w:val="24"/>
          <w:lang w:eastAsia="zh-CN"/>
        </w:rPr>
        <w:t>食堂油烟排放参考执行《饮食业油烟排放标准（试行）》（GB18483-2001）中中型限制要求，具体见下表。</w:t>
      </w:r>
    </w:p>
    <w:p>
      <w:pPr>
        <w:spacing w:line="240" w:lineRule="auto"/>
        <w:jc w:val="center"/>
        <w:rPr>
          <w:b/>
          <w:bCs/>
          <w:kern w:val="0"/>
          <w:sz w:val="24"/>
          <w:szCs w:val="24"/>
        </w:rPr>
      </w:pPr>
      <w:r>
        <w:rPr>
          <w:b/>
          <w:kern w:val="0"/>
          <w:sz w:val="24"/>
          <w:szCs w:val="24"/>
        </w:rPr>
        <w:t>表</w:t>
      </w:r>
      <w:r>
        <w:rPr>
          <w:rFonts w:hint="eastAsia"/>
          <w:b/>
          <w:kern w:val="0"/>
          <w:sz w:val="24"/>
          <w:szCs w:val="24"/>
        </w:rPr>
        <w:t>1</w:t>
      </w:r>
      <w:r>
        <w:rPr>
          <w:rFonts w:hint="eastAsia"/>
          <w:b/>
          <w:kern w:val="0"/>
          <w:sz w:val="24"/>
          <w:szCs w:val="24"/>
          <w:lang w:val="en-US" w:eastAsia="zh-CN"/>
        </w:rPr>
        <w:t>.</w:t>
      </w:r>
      <w:r>
        <w:rPr>
          <w:rFonts w:hint="eastAsia"/>
          <w:b/>
          <w:kern w:val="0"/>
          <w:sz w:val="24"/>
          <w:szCs w:val="24"/>
        </w:rPr>
        <w:t>10</w:t>
      </w:r>
      <w:r>
        <w:rPr>
          <w:b/>
          <w:kern w:val="0"/>
          <w:sz w:val="24"/>
          <w:szCs w:val="24"/>
        </w:rPr>
        <w:t>-</w:t>
      </w:r>
      <w:r>
        <w:rPr>
          <w:rFonts w:hint="eastAsia"/>
          <w:b/>
          <w:kern w:val="0"/>
          <w:sz w:val="24"/>
          <w:szCs w:val="24"/>
          <w:lang w:val="en-US" w:eastAsia="zh-CN"/>
        </w:rPr>
        <w:t>5</w:t>
      </w:r>
      <w:r>
        <w:rPr>
          <w:b/>
          <w:kern w:val="0"/>
          <w:sz w:val="24"/>
          <w:szCs w:val="24"/>
        </w:rPr>
        <w:t xml:space="preserve">  </w:t>
      </w:r>
      <w:r>
        <w:rPr>
          <w:b/>
          <w:bCs/>
          <w:sz w:val="24"/>
          <w:szCs w:val="24"/>
        </w:rPr>
        <w:t>恶臭污染物排放标准</w:t>
      </w:r>
    </w:p>
    <w:tbl>
      <w:tblPr>
        <w:tblStyle w:val="22"/>
        <w:tblW w:w="861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987"/>
        <w:gridCol w:w="56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29" w:hRule="atLeast"/>
          <w:jc w:val="center"/>
        </w:trPr>
        <w:tc>
          <w:tcPr>
            <w:tcW w:w="2987" w:type="dxa"/>
            <w:vAlign w:val="center"/>
          </w:tcPr>
          <w:p>
            <w:pPr>
              <w:spacing w:line="240" w:lineRule="auto"/>
              <w:jc w:val="center"/>
            </w:pPr>
            <w:r>
              <w:t>污染因子</w:t>
            </w:r>
          </w:p>
        </w:tc>
        <w:tc>
          <w:tcPr>
            <w:tcW w:w="5631" w:type="dxa"/>
            <w:vAlign w:val="center"/>
          </w:tcPr>
          <w:p>
            <w:pPr>
              <w:spacing w:line="240" w:lineRule="auto"/>
              <w:jc w:val="center"/>
            </w:pPr>
            <w:r>
              <w:t>无组织排放厂界浓度限值mg/m</w:t>
            </w:r>
            <w:r>
              <w:rPr>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29" w:hRule="atLeast"/>
          <w:jc w:val="center"/>
        </w:trPr>
        <w:tc>
          <w:tcPr>
            <w:tcW w:w="2987" w:type="dxa"/>
            <w:vAlign w:val="center"/>
          </w:tcPr>
          <w:p>
            <w:pPr>
              <w:spacing w:line="240" w:lineRule="auto"/>
              <w:jc w:val="center"/>
            </w:pPr>
            <w:r>
              <w:rPr>
                <w:rFonts w:hint="eastAsia"/>
              </w:rPr>
              <w:t>NH</w:t>
            </w:r>
            <w:r>
              <w:rPr>
                <w:rFonts w:hint="eastAsia"/>
                <w:vertAlign w:val="subscript"/>
              </w:rPr>
              <w:t>3</w:t>
            </w:r>
          </w:p>
        </w:tc>
        <w:tc>
          <w:tcPr>
            <w:tcW w:w="5631" w:type="dxa"/>
            <w:vAlign w:val="center"/>
          </w:tcPr>
          <w:p>
            <w:pPr>
              <w:spacing w:line="240" w:lineRule="auto"/>
              <w:jc w:val="center"/>
            </w:pPr>
            <w: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2987" w:type="dxa"/>
            <w:vAlign w:val="center"/>
          </w:tcPr>
          <w:p>
            <w:pPr>
              <w:spacing w:line="240" w:lineRule="auto"/>
              <w:jc w:val="center"/>
            </w:pPr>
            <w:r>
              <w:t>H</w:t>
            </w:r>
            <w:r>
              <w:rPr>
                <w:vertAlign w:val="subscript"/>
              </w:rPr>
              <w:t>2</w:t>
            </w:r>
            <w:r>
              <w:t>S</w:t>
            </w:r>
          </w:p>
        </w:tc>
        <w:tc>
          <w:tcPr>
            <w:tcW w:w="5631" w:type="dxa"/>
            <w:vAlign w:val="center"/>
          </w:tcPr>
          <w:p>
            <w:pPr>
              <w:spacing w:line="240" w:lineRule="auto"/>
              <w:jc w:val="center"/>
            </w:pPr>
            <w:r>
              <w:t>0.06</w:t>
            </w:r>
          </w:p>
        </w:tc>
      </w:tr>
    </w:tbl>
    <w:p>
      <w:pPr>
        <w:adjustRightInd w:val="0"/>
        <w:snapToGrid w:val="0"/>
        <w:spacing w:beforeLines="50" w:line="240" w:lineRule="auto"/>
        <w:ind w:firstLine="472" w:firstLineChars="196"/>
        <w:jc w:val="center"/>
        <w:rPr>
          <w:b/>
          <w:sz w:val="24"/>
          <w:szCs w:val="24"/>
        </w:rPr>
      </w:pPr>
      <w:r>
        <w:rPr>
          <w:b/>
          <w:sz w:val="24"/>
          <w:szCs w:val="24"/>
        </w:rPr>
        <w:t>表</w:t>
      </w:r>
      <w:r>
        <w:rPr>
          <w:rFonts w:hint="eastAsia"/>
          <w:b/>
          <w:sz w:val="24"/>
          <w:szCs w:val="24"/>
          <w:lang w:val="en-US" w:eastAsia="zh-CN"/>
        </w:rPr>
        <w:t>1.10-6</w:t>
      </w:r>
      <w:r>
        <w:rPr>
          <w:b/>
          <w:sz w:val="24"/>
          <w:szCs w:val="24"/>
        </w:rPr>
        <w:t xml:space="preserve"> </w:t>
      </w:r>
      <w:r>
        <w:rPr>
          <w:rFonts w:hint="eastAsia"/>
          <w:b/>
          <w:sz w:val="24"/>
          <w:szCs w:val="24"/>
        </w:rPr>
        <w:t xml:space="preserve"> </w:t>
      </w:r>
      <w:r>
        <w:rPr>
          <w:b/>
          <w:sz w:val="24"/>
          <w:szCs w:val="24"/>
        </w:rPr>
        <w:t>项目餐饮油烟排放执行标准</w:t>
      </w:r>
    </w:p>
    <w:tbl>
      <w:tblPr>
        <w:tblStyle w:val="22"/>
        <w:tblW w:w="9000"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3550"/>
        <w:gridCol w:w="1717"/>
        <w:gridCol w:w="1862"/>
        <w:gridCol w:w="187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70" w:hRule="atLeast"/>
          <w:jc w:val="center"/>
        </w:trPr>
        <w:tc>
          <w:tcPr>
            <w:tcW w:w="3550"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规模</w:t>
            </w:r>
          </w:p>
        </w:tc>
        <w:tc>
          <w:tcPr>
            <w:tcW w:w="1717"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小型</w:t>
            </w:r>
          </w:p>
        </w:tc>
        <w:tc>
          <w:tcPr>
            <w:tcW w:w="1862" w:type="dxa"/>
            <w:tcBorders>
              <w:tl2br w:val="nil"/>
              <w:tr2bl w:val="nil"/>
            </w:tcBorders>
            <w:shd w:val="clear" w:color="auto" w:fill="BEBEBE" w:themeFill="background1" w:themeFillShade="BF"/>
            <w:vAlign w:val="center"/>
          </w:tcPr>
          <w:p>
            <w:pPr>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中型</w:t>
            </w:r>
          </w:p>
        </w:tc>
        <w:tc>
          <w:tcPr>
            <w:tcW w:w="1871"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大型</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58" w:hRule="atLeast"/>
          <w:jc w:val="center"/>
        </w:trPr>
        <w:tc>
          <w:tcPr>
            <w:tcW w:w="3550"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最高允许排放浓度（mg/m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w:t>
            </w:r>
          </w:p>
        </w:tc>
        <w:tc>
          <w:tcPr>
            <w:tcW w:w="5450" w:type="dxa"/>
            <w:gridSpan w:val="3"/>
            <w:tcBorders>
              <w:tl2br w:val="nil"/>
              <w:tr2bl w:val="nil"/>
            </w:tcBorders>
            <w:shd w:val="clear" w:color="auto" w:fill="BEBEBE" w:themeFill="background1" w:themeFillShade="BF"/>
            <w:vAlign w:val="center"/>
          </w:tcPr>
          <w:p>
            <w:pPr>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2.0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84" w:hRule="atLeast"/>
          <w:jc w:val="center"/>
        </w:trPr>
        <w:tc>
          <w:tcPr>
            <w:tcW w:w="3550"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净化设施最低去除效率（%）</w:t>
            </w:r>
          </w:p>
        </w:tc>
        <w:tc>
          <w:tcPr>
            <w:tcW w:w="1717"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60</w:t>
            </w:r>
          </w:p>
        </w:tc>
        <w:tc>
          <w:tcPr>
            <w:tcW w:w="1862" w:type="dxa"/>
            <w:tcBorders>
              <w:tl2br w:val="nil"/>
              <w:tr2bl w:val="nil"/>
            </w:tcBorders>
            <w:shd w:val="clear" w:color="auto" w:fill="BEBEBE" w:themeFill="background1" w:themeFillShade="BF"/>
            <w:vAlign w:val="center"/>
          </w:tcPr>
          <w:p>
            <w:pPr>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75</w:t>
            </w:r>
          </w:p>
        </w:tc>
        <w:tc>
          <w:tcPr>
            <w:tcW w:w="1871"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85</w:t>
            </w:r>
          </w:p>
        </w:tc>
      </w:tr>
    </w:tbl>
    <w:p>
      <w:pPr>
        <w:ind w:firstLine="480" w:firstLineChars="200"/>
        <w:rPr>
          <w:bCs/>
          <w:sz w:val="24"/>
          <w:szCs w:val="24"/>
        </w:rPr>
      </w:pPr>
      <w:r>
        <w:rPr>
          <w:bCs/>
          <w:sz w:val="24"/>
          <w:szCs w:val="24"/>
        </w:rPr>
        <w:t>（2）水污染物排放标准</w:t>
      </w:r>
    </w:p>
    <w:p>
      <w:pPr>
        <w:ind w:firstLine="470" w:firstLineChars="196"/>
        <w:rPr>
          <w:sz w:val="24"/>
          <w:szCs w:val="24"/>
        </w:rPr>
      </w:pPr>
      <w:r>
        <w:rPr>
          <w:sz w:val="24"/>
          <w:szCs w:val="24"/>
        </w:rPr>
        <w:t>项目废水经处理达到</w:t>
      </w:r>
      <w:r>
        <w:rPr>
          <w:rFonts w:hint="default" w:ascii="Times New Roman" w:hAnsi="Times New Roman" w:cs="Times New Roman"/>
          <w:color w:val="auto"/>
          <w:kern w:val="0"/>
          <w:sz w:val="24"/>
        </w:rPr>
        <w:t>《污水综合排放标准》（GB8978-1996）表4中三级标准，其中</w:t>
      </w:r>
      <w:r>
        <w:rPr>
          <w:rFonts w:hint="eastAsia" w:cs="Times New Roman"/>
          <w:color w:val="auto"/>
          <w:kern w:val="0"/>
          <w:sz w:val="24"/>
          <w:lang w:eastAsia="zh-CN"/>
        </w:rPr>
        <w:t>色度、总磷以及</w:t>
      </w:r>
      <w:r>
        <w:rPr>
          <w:rFonts w:hint="default" w:ascii="Times New Roman" w:hAnsi="Times New Roman" w:cs="Times New Roman"/>
          <w:color w:val="auto"/>
          <w:kern w:val="0"/>
          <w:sz w:val="24"/>
        </w:rPr>
        <w:t>氨氮参照执行《污水排入城镇下水道水质标准》（GB/T 31962-2015）中B等级标准，纳入</w:t>
      </w:r>
      <w:r>
        <w:rPr>
          <w:rFonts w:hint="eastAsia" w:ascii="Times New Roman" w:hAnsi="Times New Roman" w:eastAsia="宋体" w:cs="Times New Roman"/>
          <w:color w:val="auto"/>
          <w:kern w:val="0"/>
          <w:sz w:val="24"/>
          <w:lang w:eastAsia="zh-CN"/>
        </w:rPr>
        <w:t>城北</w:t>
      </w:r>
      <w:r>
        <w:rPr>
          <w:rFonts w:hint="default" w:ascii="Times New Roman" w:hAnsi="Times New Roman" w:cs="Times New Roman"/>
          <w:color w:val="auto"/>
          <w:kern w:val="0"/>
          <w:sz w:val="24"/>
        </w:rPr>
        <w:t>污水处理厂处理</w:t>
      </w:r>
      <w:r>
        <w:rPr>
          <w:rFonts w:hint="eastAsia" w:ascii="Times New Roman" w:hAnsi="Times New Roman" w:eastAsia="宋体" w:cs="Times New Roman"/>
          <w:color w:val="auto"/>
          <w:kern w:val="0"/>
          <w:sz w:val="24"/>
          <w:lang w:eastAsia="zh-CN"/>
        </w:rPr>
        <w:t>达标后排入淠河</w:t>
      </w:r>
      <w:r>
        <w:rPr>
          <w:rFonts w:hint="default" w:ascii="Times New Roman" w:hAnsi="Times New Roman" w:cs="Times New Roman"/>
          <w:color w:val="auto"/>
          <w:kern w:val="0"/>
          <w:sz w:val="24"/>
        </w:rPr>
        <w:t>。</w:t>
      </w:r>
      <w:r>
        <w:rPr>
          <w:sz w:val="24"/>
          <w:szCs w:val="24"/>
        </w:rPr>
        <w:t>具体标准见下表。</w:t>
      </w:r>
    </w:p>
    <w:p>
      <w:pPr>
        <w:spacing w:line="240" w:lineRule="auto"/>
        <w:jc w:val="right"/>
        <w:rPr>
          <w:b/>
          <w:color w:val="000000"/>
          <w:kern w:val="0"/>
          <w:sz w:val="24"/>
          <w:szCs w:val="24"/>
        </w:rPr>
      </w:pPr>
      <w:r>
        <w:rPr>
          <w:b/>
          <w:color w:val="000000"/>
          <w:kern w:val="0"/>
          <w:sz w:val="24"/>
          <w:szCs w:val="24"/>
        </w:rPr>
        <w:t>表</w:t>
      </w:r>
      <w:r>
        <w:rPr>
          <w:rFonts w:hint="eastAsia"/>
          <w:b/>
          <w:color w:val="000000"/>
          <w:kern w:val="0"/>
          <w:sz w:val="24"/>
          <w:szCs w:val="24"/>
        </w:rPr>
        <w:t>1</w:t>
      </w:r>
      <w:r>
        <w:rPr>
          <w:rFonts w:hint="eastAsia"/>
          <w:b/>
          <w:color w:val="000000"/>
          <w:kern w:val="0"/>
          <w:sz w:val="24"/>
          <w:szCs w:val="24"/>
          <w:lang w:val="en-US" w:eastAsia="zh-CN"/>
        </w:rPr>
        <w:t>.</w:t>
      </w:r>
      <w:r>
        <w:rPr>
          <w:rFonts w:hint="eastAsia"/>
          <w:b/>
          <w:color w:val="000000"/>
          <w:kern w:val="0"/>
          <w:sz w:val="24"/>
          <w:szCs w:val="24"/>
        </w:rPr>
        <w:t>10-</w:t>
      </w:r>
      <w:r>
        <w:rPr>
          <w:rFonts w:hint="eastAsia"/>
          <w:b/>
          <w:color w:val="000000"/>
          <w:kern w:val="0"/>
          <w:sz w:val="24"/>
          <w:szCs w:val="24"/>
          <w:lang w:val="en-US" w:eastAsia="zh-CN"/>
        </w:rPr>
        <w:t>7</w:t>
      </w:r>
      <w:r>
        <w:rPr>
          <w:b/>
          <w:color w:val="000000"/>
          <w:kern w:val="0"/>
          <w:sz w:val="24"/>
          <w:szCs w:val="24"/>
        </w:rPr>
        <w:t xml:space="preserve"> 污水排放标准   </w:t>
      </w:r>
      <w:r>
        <w:rPr>
          <w:kern w:val="0"/>
          <w:sz w:val="24"/>
          <w:szCs w:val="24"/>
        </w:rPr>
        <w:t>单位：mg/L（pH无量纲）</w:t>
      </w:r>
    </w:p>
    <w:tbl>
      <w:tblPr>
        <w:tblStyle w:val="22"/>
        <w:tblW w:w="8818"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980"/>
        <w:gridCol w:w="769"/>
        <w:gridCol w:w="615"/>
        <w:gridCol w:w="780"/>
        <w:gridCol w:w="870"/>
        <w:gridCol w:w="782"/>
        <w:gridCol w:w="913"/>
        <w:gridCol w:w="720"/>
        <w:gridCol w:w="755"/>
        <w:gridCol w:w="63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14" w:hRule="exact"/>
          <w:jc w:val="center"/>
        </w:trPr>
        <w:tc>
          <w:tcPr>
            <w:tcW w:w="1980"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bCs/>
                <w:kern w:val="0"/>
                <w:sz w:val="21"/>
                <w:szCs w:val="21"/>
              </w:rPr>
            </w:pPr>
            <w:r>
              <w:rPr>
                <w:rFonts w:ascii="Times New Roman" w:hAnsi="宋体" w:eastAsia="宋体" w:cs="Times New Roman"/>
                <w:bCs/>
                <w:kern w:val="0"/>
                <w:sz w:val="21"/>
                <w:szCs w:val="21"/>
              </w:rPr>
              <w:t>执行标准</w:t>
            </w:r>
          </w:p>
        </w:tc>
        <w:tc>
          <w:tcPr>
            <w:tcW w:w="769"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p</w:t>
            </w:r>
            <w:r>
              <w:rPr>
                <w:rFonts w:ascii="Times New Roman" w:hAnsi="Times New Roman" w:eastAsia="宋体" w:cs="Times New Roman"/>
                <w:bCs/>
                <w:kern w:val="0"/>
                <w:sz w:val="21"/>
                <w:szCs w:val="21"/>
              </w:rPr>
              <w:t>H</w:t>
            </w:r>
          </w:p>
        </w:tc>
        <w:tc>
          <w:tcPr>
            <w:tcW w:w="615"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SS</w:t>
            </w:r>
          </w:p>
        </w:tc>
        <w:tc>
          <w:tcPr>
            <w:tcW w:w="780"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COD</w:t>
            </w:r>
          </w:p>
        </w:tc>
        <w:tc>
          <w:tcPr>
            <w:tcW w:w="870"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BOD</w:t>
            </w:r>
            <w:r>
              <w:rPr>
                <w:rFonts w:hint="eastAsia" w:ascii="Times New Roman" w:hAnsi="Times New Roman" w:eastAsia="宋体" w:cs="Times New Roman"/>
                <w:bCs/>
                <w:kern w:val="0"/>
                <w:sz w:val="21"/>
                <w:szCs w:val="21"/>
                <w:vertAlign w:val="subscript"/>
              </w:rPr>
              <w:t>5</w:t>
            </w:r>
          </w:p>
        </w:tc>
        <w:tc>
          <w:tcPr>
            <w:tcW w:w="782"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bCs/>
                <w:kern w:val="0"/>
                <w:sz w:val="21"/>
                <w:szCs w:val="21"/>
              </w:rPr>
            </w:pPr>
            <w:r>
              <w:rPr>
                <w:rFonts w:ascii="Times New Roman" w:hAnsi="宋体" w:eastAsia="宋体" w:cs="Times New Roman"/>
                <w:bCs/>
                <w:kern w:val="0"/>
                <w:sz w:val="21"/>
                <w:szCs w:val="21"/>
              </w:rPr>
              <w:t>氨氮</w:t>
            </w:r>
          </w:p>
        </w:tc>
        <w:tc>
          <w:tcPr>
            <w:tcW w:w="913"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动植物油</w:t>
            </w:r>
          </w:p>
        </w:tc>
        <w:tc>
          <w:tcPr>
            <w:tcW w:w="72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Cs/>
                <w:kern w:val="0"/>
                <w:sz w:val="21"/>
                <w:szCs w:val="21"/>
                <w:lang w:val="en-US" w:eastAsia="zh-CN"/>
              </w:rPr>
            </w:pPr>
            <w:r>
              <w:rPr>
                <w:rFonts w:hint="eastAsia" w:cs="Times New Roman"/>
                <w:bCs/>
                <w:kern w:val="0"/>
                <w:sz w:val="21"/>
                <w:szCs w:val="21"/>
                <w:lang w:val="en-US" w:eastAsia="zh-CN"/>
              </w:rPr>
              <w:t>TP</w:t>
            </w:r>
          </w:p>
        </w:tc>
        <w:tc>
          <w:tcPr>
            <w:tcW w:w="755" w:type="dxa"/>
            <w:tcBorders>
              <w:tl2br w:val="nil"/>
              <w:tr2bl w:val="nil"/>
            </w:tcBorders>
            <w:noWrap w:val="0"/>
            <w:vAlign w:val="center"/>
          </w:tcPr>
          <w:p>
            <w:pPr>
              <w:spacing w:line="240" w:lineRule="auto"/>
              <w:ind w:firstLine="0" w:firstLineChars="0"/>
              <w:jc w:val="center"/>
              <w:rPr>
                <w:rFonts w:hint="eastAsia" w:cs="Times New Roman"/>
                <w:bCs/>
                <w:kern w:val="0"/>
                <w:sz w:val="21"/>
                <w:szCs w:val="21"/>
                <w:lang w:val="en-US" w:eastAsia="zh-CN"/>
              </w:rPr>
            </w:pPr>
            <w:r>
              <w:rPr>
                <w:rFonts w:hint="eastAsia" w:cs="Times New Roman"/>
                <w:bCs/>
                <w:kern w:val="0"/>
                <w:sz w:val="21"/>
                <w:szCs w:val="21"/>
                <w:lang w:val="en-US" w:eastAsia="zh-CN"/>
              </w:rPr>
              <w:t>色度</w:t>
            </w:r>
          </w:p>
        </w:tc>
        <w:tc>
          <w:tcPr>
            <w:tcW w:w="63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Cs/>
                <w:kern w:val="0"/>
                <w:sz w:val="21"/>
                <w:szCs w:val="21"/>
                <w:lang w:val="en-US" w:eastAsia="zh-CN"/>
              </w:rPr>
            </w:pPr>
            <w:r>
              <w:rPr>
                <w:rFonts w:hint="eastAsia" w:cs="Times New Roman"/>
                <w:bCs/>
                <w:kern w:val="0"/>
                <w:sz w:val="21"/>
                <w:szCs w:val="21"/>
                <w:lang w:val="en-US" w:eastAsia="zh-CN"/>
              </w:rPr>
              <w:t>LAS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52" w:hRule="exact"/>
          <w:jc w:val="center"/>
        </w:trPr>
        <w:tc>
          <w:tcPr>
            <w:tcW w:w="1980"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宋体" w:eastAsia="宋体" w:cs="Times New Roman"/>
                <w:kern w:val="0"/>
                <w:sz w:val="21"/>
                <w:szCs w:val="21"/>
              </w:rPr>
              <w:t>（</w:t>
            </w:r>
            <w:r>
              <w:rPr>
                <w:rFonts w:hint="eastAsia" w:ascii="Times New Roman" w:hAnsi="Times New Roman" w:eastAsia="宋体" w:cs="Times New Roman"/>
                <w:kern w:val="0"/>
                <w:sz w:val="21"/>
                <w:szCs w:val="21"/>
              </w:rPr>
              <w:t>GB8798-1996</w:t>
            </w:r>
            <w:r>
              <w:rPr>
                <w:rFonts w:ascii="Times New Roman" w:hAnsi="宋体" w:eastAsia="宋体" w:cs="Times New Roman"/>
                <w:kern w:val="0"/>
                <w:sz w:val="21"/>
                <w:szCs w:val="21"/>
              </w:rPr>
              <w:t>）</w:t>
            </w:r>
            <w:r>
              <w:rPr>
                <w:rFonts w:hint="eastAsia" w:ascii="Times New Roman" w:hAnsi="宋体" w:eastAsia="宋体" w:cs="Times New Roman"/>
                <w:kern w:val="0"/>
                <w:sz w:val="21"/>
                <w:szCs w:val="21"/>
              </w:rPr>
              <w:t>表4中三级标准</w:t>
            </w:r>
          </w:p>
        </w:tc>
        <w:tc>
          <w:tcPr>
            <w:tcW w:w="769"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6</w:t>
            </w:r>
            <w:r>
              <w:rPr>
                <w:rFonts w:ascii="Times New Roman" w:hAnsi="宋体" w:eastAsia="宋体" w:cs="Times New Roman"/>
                <w:bCs/>
                <w:kern w:val="0"/>
                <w:sz w:val="21"/>
                <w:szCs w:val="21"/>
              </w:rPr>
              <w:t>～</w:t>
            </w:r>
            <w:r>
              <w:rPr>
                <w:rFonts w:ascii="Times New Roman" w:hAnsi="Times New Roman" w:eastAsia="宋体" w:cs="Times New Roman"/>
                <w:bCs/>
                <w:kern w:val="0"/>
                <w:sz w:val="21"/>
                <w:szCs w:val="21"/>
              </w:rPr>
              <w:t>9</w:t>
            </w:r>
          </w:p>
        </w:tc>
        <w:tc>
          <w:tcPr>
            <w:tcW w:w="615"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400</w:t>
            </w:r>
            <w:r>
              <w:rPr>
                <w:rFonts w:ascii="Times New Roman" w:hAnsi="Times New Roman" w:eastAsia="宋体" w:cs="Times New Roman"/>
                <w:bCs/>
                <w:kern w:val="0"/>
                <w:sz w:val="21"/>
                <w:szCs w:val="21"/>
              </w:rPr>
              <w:t xml:space="preserve"> </w:t>
            </w:r>
          </w:p>
        </w:tc>
        <w:tc>
          <w:tcPr>
            <w:tcW w:w="780"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500</w:t>
            </w:r>
            <w:r>
              <w:rPr>
                <w:rFonts w:ascii="Times New Roman" w:hAnsi="Times New Roman" w:eastAsia="宋体" w:cs="Times New Roman"/>
                <w:bCs/>
                <w:kern w:val="0"/>
                <w:sz w:val="21"/>
                <w:szCs w:val="21"/>
              </w:rPr>
              <w:t xml:space="preserve"> </w:t>
            </w:r>
          </w:p>
        </w:tc>
        <w:tc>
          <w:tcPr>
            <w:tcW w:w="870"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300</w:t>
            </w:r>
            <w:r>
              <w:rPr>
                <w:rFonts w:ascii="Times New Roman" w:hAnsi="Times New Roman" w:eastAsia="宋体" w:cs="Times New Roman"/>
                <w:bCs/>
                <w:kern w:val="0"/>
                <w:sz w:val="21"/>
                <w:szCs w:val="21"/>
              </w:rPr>
              <w:t xml:space="preserve"> </w:t>
            </w:r>
          </w:p>
        </w:tc>
        <w:tc>
          <w:tcPr>
            <w:tcW w:w="782"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w:t>
            </w:r>
          </w:p>
        </w:tc>
        <w:tc>
          <w:tcPr>
            <w:tcW w:w="913"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100</w:t>
            </w:r>
          </w:p>
        </w:tc>
        <w:tc>
          <w:tcPr>
            <w:tcW w:w="72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bCs/>
                <w:kern w:val="0"/>
                <w:sz w:val="21"/>
                <w:szCs w:val="21"/>
                <w:lang w:val="en-US" w:eastAsia="zh-CN"/>
              </w:rPr>
            </w:pPr>
            <w:r>
              <w:rPr>
                <w:rFonts w:hint="eastAsia" w:cs="Times New Roman"/>
                <w:bCs/>
                <w:kern w:val="0"/>
                <w:sz w:val="21"/>
                <w:szCs w:val="21"/>
                <w:lang w:val="en-US" w:eastAsia="zh-CN"/>
              </w:rPr>
              <w:t>/</w:t>
            </w:r>
          </w:p>
        </w:tc>
        <w:tc>
          <w:tcPr>
            <w:tcW w:w="755" w:type="dxa"/>
            <w:tcBorders>
              <w:tl2br w:val="nil"/>
              <w:tr2bl w:val="nil"/>
            </w:tcBorders>
            <w:noWrap w:val="0"/>
            <w:vAlign w:val="center"/>
          </w:tcPr>
          <w:p>
            <w:pPr>
              <w:spacing w:line="240" w:lineRule="auto"/>
              <w:ind w:firstLine="0" w:firstLineChars="0"/>
              <w:jc w:val="center"/>
              <w:rPr>
                <w:rFonts w:hint="default" w:cs="Times New Roman"/>
                <w:bCs/>
                <w:kern w:val="0"/>
                <w:sz w:val="21"/>
                <w:szCs w:val="21"/>
                <w:lang w:val="en-US" w:eastAsia="zh-CN"/>
              </w:rPr>
            </w:pPr>
            <w:r>
              <w:rPr>
                <w:rFonts w:hint="eastAsia" w:cs="Times New Roman"/>
                <w:bCs/>
                <w:kern w:val="0"/>
                <w:sz w:val="21"/>
                <w:szCs w:val="21"/>
                <w:lang w:val="en-US" w:eastAsia="zh-CN"/>
              </w:rPr>
              <w:t>/</w:t>
            </w:r>
          </w:p>
        </w:tc>
        <w:tc>
          <w:tcPr>
            <w:tcW w:w="63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Cs/>
                <w:kern w:val="0"/>
                <w:sz w:val="21"/>
                <w:szCs w:val="21"/>
                <w:lang w:val="en-US" w:eastAsia="zh-CN"/>
              </w:rPr>
            </w:pPr>
            <w:r>
              <w:rPr>
                <w:rFonts w:hint="eastAsia" w:cs="Times New Roman"/>
                <w:bCs/>
                <w:kern w:val="0"/>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82" w:hRule="exact"/>
          <w:jc w:val="center"/>
        </w:trPr>
        <w:tc>
          <w:tcPr>
            <w:tcW w:w="1980"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（GB/T-31962-2015）中B等级</w:t>
            </w:r>
            <w:r>
              <w:rPr>
                <w:rFonts w:ascii="Times New Roman" w:hAnsi="Times New Roman" w:eastAsia="宋体" w:cs="Times New Roman"/>
                <w:kern w:val="0"/>
                <w:sz w:val="21"/>
                <w:szCs w:val="21"/>
              </w:rPr>
              <w:t>标准</w:t>
            </w:r>
          </w:p>
        </w:tc>
        <w:tc>
          <w:tcPr>
            <w:tcW w:w="769"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w:t>
            </w:r>
          </w:p>
        </w:tc>
        <w:tc>
          <w:tcPr>
            <w:tcW w:w="615"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w:t>
            </w:r>
          </w:p>
        </w:tc>
        <w:tc>
          <w:tcPr>
            <w:tcW w:w="780"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w:t>
            </w:r>
          </w:p>
        </w:tc>
        <w:tc>
          <w:tcPr>
            <w:tcW w:w="870"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bCs/>
                <w:kern w:val="0"/>
                <w:sz w:val="21"/>
                <w:szCs w:val="21"/>
              </w:rPr>
            </w:pPr>
          </w:p>
        </w:tc>
        <w:tc>
          <w:tcPr>
            <w:tcW w:w="782"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45</w:t>
            </w:r>
          </w:p>
        </w:tc>
        <w:tc>
          <w:tcPr>
            <w:tcW w:w="913" w:type="dxa"/>
            <w:tcBorders>
              <w:tl2br w:val="nil"/>
              <w:tr2bl w:val="nil"/>
            </w:tcBorders>
            <w:noWrap w:val="0"/>
            <w:vAlign w:val="center"/>
          </w:tcPr>
          <w:p>
            <w:pPr>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w:t>
            </w:r>
          </w:p>
        </w:tc>
        <w:tc>
          <w:tcPr>
            <w:tcW w:w="72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bCs/>
                <w:kern w:val="0"/>
                <w:sz w:val="21"/>
                <w:szCs w:val="21"/>
                <w:lang w:val="en-US" w:eastAsia="zh-CN"/>
              </w:rPr>
            </w:pPr>
            <w:r>
              <w:rPr>
                <w:rFonts w:hint="eastAsia" w:cs="Times New Roman"/>
                <w:bCs/>
                <w:kern w:val="0"/>
                <w:sz w:val="21"/>
                <w:szCs w:val="21"/>
                <w:lang w:val="en-US" w:eastAsia="zh-CN"/>
              </w:rPr>
              <w:t>8</w:t>
            </w:r>
          </w:p>
        </w:tc>
        <w:tc>
          <w:tcPr>
            <w:tcW w:w="755" w:type="dxa"/>
            <w:tcBorders>
              <w:tl2br w:val="nil"/>
              <w:tr2bl w:val="nil"/>
            </w:tcBorders>
            <w:noWrap w:val="0"/>
            <w:vAlign w:val="center"/>
          </w:tcPr>
          <w:p>
            <w:pPr>
              <w:spacing w:line="240" w:lineRule="auto"/>
              <w:ind w:firstLine="0" w:firstLineChars="0"/>
              <w:jc w:val="center"/>
              <w:rPr>
                <w:rFonts w:hint="default" w:cs="Times New Roman"/>
                <w:bCs/>
                <w:kern w:val="0"/>
                <w:sz w:val="21"/>
                <w:szCs w:val="21"/>
                <w:lang w:val="en-US" w:eastAsia="zh-CN"/>
              </w:rPr>
            </w:pPr>
            <w:r>
              <w:rPr>
                <w:rFonts w:hint="eastAsia" w:cs="Times New Roman"/>
                <w:bCs/>
                <w:kern w:val="0"/>
                <w:sz w:val="21"/>
                <w:szCs w:val="21"/>
                <w:lang w:val="en-US" w:eastAsia="zh-CN"/>
              </w:rPr>
              <w:t>70</w:t>
            </w:r>
          </w:p>
        </w:tc>
        <w:tc>
          <w:tcPr>
            <w:tcW w:w="63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Cs/>
                <w:kern w:val="0"/>
                <w:sz w:val="21"/>
                <w:szCs w:val="21"/>
                <w:lang w:val="en-US" w:eastAsia="zh-CN"/>
              </w:rPr>
            </w:pPr>
            <w:r>
              <w:rPr>
                <w:rFonts w:hint="eastAsia" w:cs="Times New Roman"/>
                <w:bCs/>
                <w:kern w:val="0"/>
                <w:sz w:val="21"/>
                <w:szCs w:val="21"/>
                <w:lang w:val="en-US" w:eastAsia="zh-CN"/>
              </w:rPr>
              <w:t>/</w:t>
            </w:r>
          </w:p>
        </w:tc>
      </w:tr>
    </w:tbl>
    <w:p>
      <w:pPr>
        <w:ind w:firstLine="480" w:firstLineChars="200"/>
        <w:rPr>
          <w:bCs/>
          <w:sz w:val="24"/>
          <w:szCs w:val="24"/>
        </w:rPr>
      </w:pPr>
      <w:r>
        <w:rPr>
          <w:bCs/>
          <w:sz w:val="24"/>
          <w:szCs w:val="24"/>
        </w:rPr>
        <w:t>（3）噪声排放标准</w:t>
      </w:r>
    </w:p>
    <w:p>
      <w:pPr>
        <w:ind w:firstLine="480" w:firstLineChars="200"/>
        <w:rPr>
          <w:bCs/>
          <w:sz w:val="24"/>
          <w:szCs w:val="24"/>
        </w:rPr>
      </w:pPr>
      <w:r>
        <w:rPr>
          <w:bCs/>
          <w:sz w:val="24"/>
          <w:szCs w:val="24"/>
        </w:rPr>
        <w:t>施工期噪声排放执行《建筑施工场界环境噪声排放标准》（GB12523-2011）；营运期厂界噪声执行《工业企业厂界环境噪声排放标准》（GB12348-2008）中的</w:t>
      </w:r>
      <w:r>
        <w:rPr>
          <w:rFonts w:hint="eastAsia"/>
          <w:bCs/>
          <w:sz w:val="24"/>
          <w:szCs w:val="24"/>
          <w:lang w:val="en-US" w:eastAsia="zh-CN"/>
        </w:rPr>
        <w:t>3</w:t>
      </w:r>
      <w:r>
        <w:rPr>
          <w:bCs/>
          <w:sz w:val="24"/>
          <w:szCs w:val="24"/>
        </w:rPr>
        <w:t>类标准。</w:t>
      </w:r>
    </w:p>
    <w:p>
      <w:pPr>
        <w:spacing w:line="480" w:lineRule="exact"/>
        <w:jc w:val="center"/>
        <w:rPr>
          <w:b/>
          <w:sz w:val="24"/>
          <w:szCs w:val="24"/>
        </w:rPr>
      </w:pPr>
      <w:r>
        <w:rPr>
          <w:b/>
          <w:kern w:val="0"/>
          <w:sz w:val="24"/>
          <w:szCs w:val="24"/>
        </w:rPr>
        <w:t>表</w:t>
      </w:r>
      <w:r>
        <w:rPr>
          <w:rFonts w:hint="eastAsia"/>
          <w:b/>
          <w:kern w:val="0"/>
          <w:sz w:val="24"/>
          <w:szCs w:val="24"/>
        </w:rPr>
        <w:t>1</w:t>
      </w:r>
      <w:r>
        <w:rPr>
          <w:rFonts w:hint="eastAsia"/>
          <w:b/>
          <w:kern w:val="0"/>
          <w:sz w:val="24"/>
          <w:szCs w:val="24"/>
          <w:lang w:val="en-US" w:eastAsia="zh-CN"/>
        </w:rPr>
        <w:t>.</w:t>
      </w:r>
      <w:r>
        <w:rPr>
          <w:rFonts w:hint="eastAsia"/>
          <w:b/>
          <w:kern w:val="0"/>
          <w:sz w:val="24"/>
          <w:szCs w:val="24"/>
        </w:rPr>
        <w:t>10-</w:t>
      </w:r>
      <w:r>
        <w:rPr>
          <w:rFonts w:hint="eastAsia"/>
          <w:b/>
          <w:kern w:val="0"/>
          <w:sz w:val="24"/>
          <w:szCs w:val="24"/>
          <w:lang w:val="en-US" w:eastAsia="zh-CN"/>
        </w:rPr>
        <w:t>8</w:t>
      </w:r>
      <w:r>
        <w:rPr>
          <w:b/>
          <w:sz w:val="24"/>
          <w:szCs w:val="24"/>
        </w:rPr>
        <w:t>建筑施工场界环境噪声排放标准</w:t>
      </w:r>
    </w:p>
    <w:tbl>
      <w:tblPr>
        <w:tblStyle w:val="22"/>
        <w:tblW w:w="87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2319"/>
        <w:gridCol w:w="2211"/>
        <w:gridCol w:w="4190"/>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334" w:hRule="atLeast"/>
          <w:jc w:val="center"/>
        </w:trPr>
        <w:tc>
          <w:tcPr>
            <w:tcW w:w="2319" w:type="dxa"/>
            <w:tcBorders>
              <w:right w:val="single" w:color="auto" w:sz="4" w:space="0"/>
            </w:tcBorders>
            <w:vAlign w:val="center"/>
          </w:tcPr>
          <w:p>
            <w:pPr>
              <w:spacing w:line="240" w:lineRule="auto"/>
              <w:jc w:val="center"/>
            </w:pPr>
            <w:r>
              <w:t>标准</w:t>
            </w:r>
          </w:p>
        </w:tc>
        <w:tc>
          <w:tcPr>
            <w:tcW w:w="2211" w:type="dxa"/>
            <w:tcBorders>
              <w:left w:val="single" w:color="auto" w:sz="4" w:space="0"/>
            </w:tcBorders>
            <w:vAlign w:val="center"/>
          </w:tcPr>
          <w:p>
            <w:pPr>
              <w:spacing w:line="240" w:lineRule="auto"/>
              <w:jc w:val="center"/>
            </w:pPr>
            <w:r>
              <w:t>昼间</w:t>
            </w:r>
          </w:p>
        </w:tc>
        <w:tc>
          <w:tcPr>
            <w:tcW w:w="4190" w:type="dxa"/>
            <w:vAlign w:val="center"/>
          </w:tcPr>
          <w:p>
            <w:pPr>
              <w:spacing w:line="240" w:lineRule="auto"/>
              <w:jc w:val="center"/>
            </w:pPr>
            <w: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273" w:hRule="atLeast"/>
          <w:jc w:val="center"/>
        </w:trPr>
        <w:tc>
          <w:tcPr>
            <w:tcW w:w="2319" w:type="dxa"/>
            <w:vMerge w:val="restart"/>
            <w:tcBorders>
              <w:right w:val="single" w:color="auto" w:sz="4" w:space="0"/>
            </w:tcBorders>
            <w:vAlign w:val="center"/>
          </w:tcPr>
          <w:p>
            <w:pPr>
              <w:spacing w:line="240" w:lineRule="auto"/>
              <w:jc w:val="center"/>
            </w:pPr>
            <w:r>
              <w:rPr>
                <w:bCs/>
              </w:rPr>
              <w:t>GB12523-2011</w:t>
            </w:r>
          </w:p>
        </w:tc>
        <w:tc>
          <w:tcPr>
            <w:tcW w:w="2211" w:type="dxa"/>
            <w:tcBorders>
              <w:left w:val="single" w:color="auto" w:sz="4" w:space="0"/>
            </w:tcBorders>
            <w:vAlign w:val="center"/>
          </w:tcPr>
          <w:p>
            <w:pPr>
              <w:spacing w:line="240" w:lineRule="auto"/>
              <w:jc w:val="center"/>
            </w:pPr>
            <w:r>
              <w:t>70 dB（A）</w:t>
            </w:r>
          </w:p>
        </w:tc>
        <w:tc>
          <w:tcPr>
            <w:tcW w:w="4190" w:type="dxa"/>
            <w:vAlign w:val="center"/>
          </w:tcPr>
          <w:p>
            <w:pPr>
              <w:spacing w:line="240" w:lineRule="auto"/>
              <w:jc w:val="center"/>
            </w:pPr>
            <w:r>
              <w:t>55dB（A）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273" w:hRule="atLeast"/>
          <w:jc w:val="center"/>
        </w:trPr>
        <w:tc>
          <w:tcPr>
            <w:tcW w:w="2319" w:type="dxa"/>
            <w:vMerge w:val="continue"/>
            <w:tcBorders>
              <w:right w:val="single" w:color="auto" w:sz="4" w:space="0"/>
            </w:tcBorders>
            <w:vAlign w:val="center"/>
          </w:tcPr>
          <w:p>
            <w:pPr>
              <w:spacing w:line="240" w:lineRule="auto"/>
              <w:jc w:val="center"/>
            </w:pPr>
          </w:p>
        </w:tc>
        <w:tc>
          <w:tcPr>
            <w:tcW w:w="6401" w:type="dxa"/>
            <w:gridSpan w:val="2"/>
            <w:tcBorders>
              <w:left w:val="single" w:color="auto" w:sz="4" w:space="0"/>
            </w:tcBorders>
            <w:vAlign w:val="center"/>
          </w:tcPr>
          <w:p>
            <w:pPr>
              <w:spacing w:line="240" w:lineRule="auto"/>
              <w:jc w:val="center"/>
            </w:pPr>
            <w:r>
              <w:t>夜间噪声最大声级超过限值的幅度不得高于15dB</w:t>
            </w:r>
          </w:p>
        </w:tc>
      </w:tr>
    </w:tbl>
    <w:p>
      <w:pPr>
        <w:spacing w:line="480" w:lineRule="exact"/>
        <w:ind w:right="480"/>
        <w:jc w:val="center"/>
        <w:rPr>
          <w:b/>
          <w:sz w:val="24"/>
          <w:szCs w:val="24"/>
        </w:rPr>
      </w:pPr>
      <w:r>
        <w:rPr>
          <w:b/>
          <w:sz w:val="24"/>
          <w:szCs w:val="24"/>
        </w:rPr>
        <w:t>表</w:t>
      </w:r>
      <w:r>
        <w:rPr>
          <w:rFonts w:hint="eastAsia"/>
          <w:b/>
          <w:sz w:val="24"/>
          <w:szCs w:val="24"/>
        </w:rPr>
        <w:t>1</w:t>
      </w:r>
      <w:r>
        <w:rPr>
          <w:rFonts w:hint="eastAsia"/>
          <w:b/>
          <w:sz w:val="24"/>
          <w:szCs w:val="24"/>
          <w:lang w:val="en-US" w:eastAsia="zh-CN"/>
        </w:rPr>
        <w:t>.</w:t>
      </w:r>
      <w:r>
        <w:rPr>
          <w:rFonts w:hint="eastAsia"/>
          <w:b/>
          <w:sz w:val="24"/>
          <w:szCs w:val="24"/>
        </w:rPr>
        <w:t>10-</w:t>
      </w:r>
      <w:r>
        <w:rPr>
          <w:rFonts w:hint="eastAsia"/>
          <w:b/>
          <w:sz w:val="24"/>
          <w:szCs w:val="24"/>
          <w:lang w:val="en-US" w:eastAsia="zh-CN"/>
        </w:rPr>
        <w:t>9</w:t>
      </w:r>
      <w:r>
        <w:rPr>
          <w:b/>
          <w:sz w:val="24"/>
          <w:szCs w:val="24"/>
        </w:rPr>
        <w:t xml:space="preserve"> 工业企业厂界环境噪声控制执行标准</w:t>
      </w:r>
    </w:p>
    <w:tbl>
      <w:tblPr>
        <w:tblStyle w:val="22"/>
        <w:tblW w:w="867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22"/>
        <w:gridCol w:w="2586"/>
        <w:gridCol w:w="27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jc w:val="center"/>
        </w:trPr>
        <w:tc>
          <w:tcPr>
            <w:tcW w:w="3322" w:type="dxa"/>
            <w:vAlign w:val="center"/>
          </w:tcPr>
          <w:p>
            <w:pPr>
              <w:spacing w:line="240" w:lineRule="auto"/>
              <w:jc w:val="center"/>
            </w:pPr>
            <w:r>
              <w:t>标准</w:t>
            </w:r>
          </w:p>
        </w:tc>
        <w:tc>
          <w:tcPr>
            <w:tcW w:w="2586" w:type="dxa"/>
            <w:vAlign w:val="center"/>
          </w:tcPr>
          <w:p>
            <w:pPr>
              <w:spacing w:line="240" w:lineRule="auto"/>
              <w:jc w:val="center"/>
            </w:pPr>
            <w:r>
              <w:t>昼间</w:t>
            </w:r>
          </w:p>
        </w:tc>
        <w:tc>
          <w:tcPr>
            <w:tcW w:w="2764" w:type="dxa"/>
            <w:vAlign w:val="center"/>
          </w:tcPr>
          <w:p>
            <w:pPr>
              <w:spacing w:line="240" w:lineRule="auto"/>
              <w:jc w:val="center"/>
            </w:pPr>
            <w: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3322" w:type="dxa"/>
            <w:vAlign w:val="center"/>
          </w:tcPr>
          <w:p>
            <w:pPr>
              <w:spacing w:line="240" w:lineRule="auto"/>
              <w:jc w:val="center"/>
            </w:pPr>
            <w:r>
              <w:t>GB12348-2008中</w:t>
            </w:r>
            <w:r>
              <w:rPr>
                <w:rFonts w:hint="eastAsia"/>
                <w:lang w:val="en-US" w:eastAsia="zh-CN"/>
              </w:rPr>
              <w:t>3</w:t>
            </w:r>
            <w:r>
              <w:t>类标准</w:t>
            </w:r>
          </w:p>
        </w:tc>
        <w:tc>
          <w:tcPr>
            <w:tcW w:w="2586" w:type="dxa"/>
            <w:vAlign w:val="center"/>
          </w:tcPr>
          <w:p>
            <w:pPr>
              <w:spacing w:line="240" w:lineRule="auto"/>
              <w:jc w:val="center"/>
            </w:pPr>
            <w:r>
              <w:rPr>
                <w:rFonts w:hint="eastAsia"/>
                <w:lang w:val="en-US" w:eastAsia="zh-CN"/>
              </w:rPr>
              <w:t>65</w:t>
            </w:r>
            <w:r>
              <w:t>dB（A）</w:t>
            </w:r>
          </w:p>
        </w:tc>
        <w:tc>
          <w:tcPr>
            <w:tcW w:w="2764" w:type="dxa"/>
            <w:vAlign w:val="center"/>
          </w:tcPr>
          <w:p>
            <w:pPr>
              <w:spacing w:line="240" w:lineRule="auto"/>
              <w:jc w:val="center"/>
            </w:pPr>
            <w:r>
              <w:rPr>
                <w:rFonts w:hint="eastAsia"/>
                <w:lang w:val="en-US" w:eastAsia="zh-CN"/>
              </w:rPr>
              <w:t>55</w:t>
            </w:r>
            <w:r>
              <w:t>dB（A）</w:t>
            </w:r>
          </w:p>
        </w:tc>
      </w:tr>
    </w:tbl>
    <w:p>
      <w:pPr>
        <w:ind w:firstLine="477" w:firstLineChars="199"/>
        <w:rPr>
          <w:bCs/>
          <w:sz w:val="24"/>
          <w:szCs w:val="24"/>
          <w:highlight w:val="none"/>
        </w:rPr>
      </w:pPr>
      <w:r>
        <w:rPr>
          <w:bCs/>
          <w:sz w:val="24"/>
          <w:szCs w:val="24"/>
          <w:highlight w:val="none"/>
        </w:rPr>
        <w:t>（4）固废</w:t>
      </w:r>
      <w:r>
        <w:rPr>
          <w:rFonts w:hint="eastAsia"/>
          <w:bCs/>
          <w:sz w:val="24"/>
          <w:szCs w:val="24"/>
          <w:highlight w:val="none"/>
        </w:rPr>
        <w:t>污染</w:t>
      </w:r>
      <w:r>
        <w:rPr>
          <w:bCs/>
          <w:sz w:val="24"/>
          <w:szCs w:val="24"/>
          <w:highlight w:val="none"/>
        </w:rPr>
        <w:t>控制标准</w:t>
      </w:r>
    </w:p>
    <w:p>
      <w:pPr>
        <w:ind w:firstLine="480" w:firstLineChars="200"/>
        <w:rPr>
          <w:bCs/>
          <w:sz w:val="24"/>
          <w:szCs w:val="24"/>
          <w:highlight w:val="none"/>
        </w:rPr>
      </w:pPr>
      <w:r>
        <w:rPr>
          <w:bCs/>
          <w:sz w:val="24"/>
          <w:szCs w:val="24"/>
          <w:highlight w:val="none"/>
        </w:rPr>
        <w:t>一般固废执行</w:t>
      </w:r>
      <w:r>
        <w:rPr>
          <w:bCs/>
          <w:spacing w:val="-8"/>
          <w:sz w:val="24"/>
          <w:szCs w:val="24"/>
          <w:highlight w:val="none"/>
        </w:rPr>
        <w:t>《一般工业固体废物贮存、处置场污染控制标准》（GB18599-2001）及修改单中相应标准</w:t>
      </w:r>
      <w:r>
        <w:rPr>
          <w:color w:val="000000"/>
          <w:sz w:val="24"/>
          <w:szCs w:val="24"/>
          <w:highlight w:val="none"/>
        </w:rPr>
        <w:t>。</w:t>
      </w:r>
    </w:p>
    <w:p>
      <w:pPr>
        <w:pStyle w:val="5"/>
        <w:rPr>
          <w:bCs w:val="0"/>
          <w:sz w:val="28"/>
          <w:szCs w:val="28"/>
        </w:rPr>
      </w:pPr>
      <w:bookmarkStart w:id="122" w:name="_Toc3258_WPSOffice_Level2"/>
      <w:bookmarkStart w:id="123" w:name="_Toc324866597"/>
      <w:bookmarkStart w:id="124" w:name="_Toc3963"/>
      <w:bookmarkStart w:id="125" w:name="_Toc232386427"/>
      <w:bookmarkStart w:id="126" w:name="_Toc300426825"/>
      <w:r>
        <w:rPr>
          <w:bCs w:val="0"/>
          <w:sz w:val="28"/>
          <w:szCs w:val="28"/>
        </w:rPr>
        <w:t>1.1</w:t>
      </w:r>
      <w:r>
        <w:rPr>
          <w:rFonts w:hint="eastAsia"/>
          <w:bCs w:val="0"/>
          <w:sz w:val="28"/>
          <w:szCs w:val="28"/>
        </w:rPr>
        <w:t>1</w:t>
      </w:r>
      <w:r>
        <w:rPr>
          <w:bCs w:val="0"/>
          <w:sz w:val="28"/>
          <w:szCs w:val="28"/>
        </w:rPr>
        <w:t>评价重点</w:t>
      </w:r>
      <w:bookmarkEnd w:id="122"/>
      <w:bookmarkEnd w:id="123"/>
      <w:bookmarkEnd w:id="124"/>
      <w:bookmarkEnd w:id="125"/>
      <w:bookmarkEnd w:id="126"/>
    </w:p>
    <w:p>
      <w:pPr>
        <w:ind w:firstLine="480" w:firstLineChars="200"/>
        <w:rPr>
          <w:sz w:val="24"/>
        </w:rPr>
      </w:pPr>
      <w:r>
        <w:rPr>
          <w:sz w:val="24"/>
        </w:rPr>
        <w:t>根据本项目周围环境特征及项目特性，确定以工程分析、环境影响分析、污染防治对策为重点，着重分析污水、固废的产生和治理，突出生产废水和固体废物的产生、危害及治理，兼顾噪声污染分析，分析本项目建成后对环境的影响，为工程的建设和环境管理提供可靠信息和科学决策依据。</w:t>
      </w:r>
    </w:p>
    <w:p>
      <w:pPr>
        <w:pStyle w:val="5"/>
        <w:rPr>
          <w:bCs w:val="0"/>
          <w:sz w:val="28"/>
          <w:szCs w:val="28"/>
        </w:rPr>
      </w:pPr>
      <w:bookmarkStart w:id="127" w:name="_Toc8392_WPSOffice_Level2"/>
      <w:bookmarkStart w:id="128" w:name="_Toc162843050"/>
      <w:bookmarkStart w:id="129" w:name="_Toc158783504"/>
      <w:bookmarkStart w:id="130" w:name="_Toc18068"/>
      <w:bookmarkStart w:id="131" w:name="_Toc300426826"/>
      <w:bookmarkStart w:id="132" w:name="_Toc162843455"/>
      <w:bookmarkStart w:id="133" w:name="_Toc324866598"/>
      <w:bookmarkStart w:id="134" w:name="_Toc232386428"/>
      <w:bookmarkStart w:id="135" w:name="_Toc162843219"/>
      <w:r>
        <w:rPr>
          <w:bCs w:val="0"/>
          <w:sz w:val="28"/>
          <w:szCs w:val="28"/>
        </w:rPr>
        <w:t>1.1</w:t>
      </w:r>
      <w:r>
        <w:rPr>
          <w:rFonts w:hint="eastAsia"/>
          <w:bCs w:val="0"/>
          <w:sz w:val="28"/>
          <w:szCs w:val="28"/>
        </w:rPr>
        <w:t>2</w:t>
      </w:r>
      <w:r>
        <w:rPr>
          <w:bCs w:val="0"/>
          <w:sz w:val="28"/>
          <w:szCs w:val="28"/>
        </w:rPr>
        <w:t>评价时段</w:t>
      </w:r>
      <w:bookmarkEnd w:id="127"/>
      <w:bookmarkEnd w:id="128"/>
      <w:bookmarkEnd w:id="129"/>
      <w:bookmarkEnd w:id="130"/>
      <w:bookmarkEnd w:id="131"/>
      <w:bookmarkEnd w:id="132"/>
      <w:bookmarkEnd w:id="133"/>
      <w:bookmarkEnd w:id="134"/>
      <w:bookmarkEnd w:id="135"/>
    </w:p>
    <w:p>
      <w:pPr>
        <w:ind w:firstLine="480" w:firstLineChars="200"/>
        <w:rPr>
          <w:sz w:val="24"/>
        </w:rPr>
      </w:pPr>
      <w:bookmarkStart w:id="136" w:name="_Toc232386429"/>
      <w:r>
        <w:rPr>
          <w:sz w:val="24"/>
        </w:rPr>
        <w:t>本次评价包括项目的施工期和营运期</w:t>
      </w:r>
      <w:bookmarkEnd w:id="136"/>
      <w:r>
        <w:rPr>
          <w:sz w:val="24"/>
        </w:rPr>
        <w:t>，以运营期评价为主。</w:t>
      </w:r>
    </w:p>
    <w:p>
      <w:pPr>
        <w:pStyle w:val="5"/>
        <w:rPr>
          <w:sz w:val="24"/>
          <w:szCs w:val="24"/>
        </w:rPr>
      </w:pPr>
      <w:r>
        <w:rPr>
          <w:sz w:val="24"/>
          <w:szCs w:val="24"/>
        </w:rPr>
        <w:t>1.1</w:t>
      </w:r>
      <w:r>
        <w:rPr>
          <w:rFonts w:hint="eastAsia"/>
          <w:sz w:val="24"/>
          <w:szCs w:val="24"/>
        </w:rPr>
        <w:t>2</w:t>
      </w:r>
      <w:r>
        <w:rPr>
          <w:sz w:val="24"/>
          <w:szCs w:val="24"/>
        </w:rPr>
        <w:t>.1环境保护目标调查</w:t>
      </w:r>
      <w:bookmarkEnd w:id="121"/>
    </w:p>
    <w:p>
      <w:pPr>
        <w:ind w:firstLine="480" w:firstLineChars="200"/>
        <w:rPr>
          <w:sz w:val="24"/>
          <w:szCs w:val="24"/>
        </w:rPr>
      </w:pPr>
      <w:r>
        <w:rPr>
          <w:sz w:val="24"/>
          <w:szCs w:val="24"/>
        </w:rPr>
        <w:t>（1）区域环境功能区划</w:t>
      </w:r>
    </w:p>
    <w:p>
      <w:pPr>
        <w:ind w:firstLine="600" w:firstLineChars="250"/>
        <w:rPr>
          <w:sz w:val="24"/>
          <w:szCs w:val="24"/>
        </w:rPr>
      </w:pPr>
      <w:r>
        <w:rPr>
          <w:sz w:val="24"/>
          <w:szCs w:val="24"/>
        </w:rPr>
        <w:t>项目所在区域大气环境功能区划为二类区；</w:t>
      </w:r>
      <w:r>
        <w:rPr>
          <w:rFonts w:hint="eastAsia"/>
          <w:sz w:val="24"/>
          <w:szCs w:val="24"/>
          <w:lang w:eastAsia="zh-CN"/>
        </w:rPr>
        <w:t>淠河</w:t>
      </w:r>
      <w:r>
        <w:rPr>
          <w:sz w:val="24"/>
          <w:szCs w:val="24"/>
        </w:rPr>
        <w:t>为Ⅲ类水体；区域声环境功能区划为</w:t>
      </w:r>
      <w:r>
        <w:rPr>
          <w:rFonts w:hint="eastAsia"/>
          <w:sz w:val="24"/>
          <w:szCs w:val="24"/>
          <w:lang w:val="en-US" w:eastAsia="zh-CN"/>
        </w:rPr>
        <w:t>3</w:t>
      </w:r>
      <w:r>
        <w:rPr>
          <w:sz w:val="24"/>
          <w:szCs w:val="24"/>
        </w:rPr>
        <w:t>类区</w:t>
      </w:r>
      <w:r>
        <w:rPr>
          <w:rFonts w:hint="eastAsia"/>
          <w:sz w:val="24"/>
          <w:szCs w:val="24"/>
          <w:lang w:eastAsia="zh-CN"/>
        </w:rPr>
        <w:t>；地下水为</w:t>
      </w:r>
      <w:r>
        <w:rPr>
          <w:rFonts w:hint="eastAsia"/>
          <w:sz w:val="24"/>
          <w:szCs w:val="24"/>
          <w:lang w:val="en-US" w:eastAsia="zh-CN"/>
        </w:rPr>
        <w:t>III类标准；土壤为第二类用地</w:t>
      </w:r>
      <w:r>
        <w:rPr>
          <w:sz w:val="24"/>
          <w:szCs w:val="24"/>
        </w:rPr>
        <w:t>。</w:t>
      </w:r>
    </w:p>
    <w:p>
      <w:pPr>
        <w:ind w:firstLine="480" w:firstLineChars="200"/>
        <w:rPr>
          <w:sz w:val="24"/>
          <w:szCs w:val="24"/>
        </w:rPr>
      </w:pPr>
      <w:r>
        <w:rPr>
          <w:sz w:val="24"/>
          <w:szCs w:val="24"/>
        </w:rPr>
        <w:t>（2）主要环境敏感区调查</w:t>
      </w:r>
    </w:p>
    <w:p>
      <w:pPr>
        <w:ind w:firstLine="480" w:firstLineChars="200"/>
        <w:rPr>
          <w:sz w:val="24"/>
          <w:szCs w:val="24"/>
        </w:rPr>
      </w:pPr>
      <w:r>
        <w:rPr>
          <w:sz w:val="24"/>
          <w:szCs w:val="24"/>
        </w:rPr>
        <w:t>根据规划，项目位于</w:t>
      </w:r>
      <w:r>
        <w:rPr>
          <w:kern w:val="0"/>
          <w:sz w:val="24"/>
          <w:szCs w:val="24"/>
        </w:rPr>
        <w:t>六安市</w:t>
      </w:r>
      <w:r>
        <w:rPr>
          <w:rFonts w:hint="eastAsia"/>
          <w:kern w:val="0"/>
          <w:sz w:val="24"/>
          <w:szCs w:val="24"/>
          <w:lang w:eastAsia="zh-CN"/>
        </w:rPr>
        <w:t>经济开发区</w:t>
      </w:r>
      <w:r>
        <w:rPr>
          <w:kern w:val="0"/>
          <w:sz w:val="24"/>
          <w:szCs w:val="24"/>
        </w:rPr>
        <w:t>，</w:t>
      </w:r>
      <w:r>
        <w:rPr>
          <w:sz w:val="24"/>
          <w:szCs w:val="24"/>
        </w:rPr>
        <w:t>评价范围内无生态保护区、自然保护区、风景名胜区、文化遗产保护区及饮用水源保护区等特殊环境敏感目标。</w:t>
      </w:r>
    </w:p>
    <w:p>
      <w:pPr>
        <w:ind w:firstLine="480" w:firstLineChars="200"/>
        <w:rPr>
          <w:b/>
          <w:bCs/>
          <w:sz w:val="24"/>
          <w:szCs w:val="24"/>
        </w:rPr>
      </w:pPr>
      <w:r>
        <w:rPr>
          <w:sz w:val="24"/>
          <w:szCs w:val="24"/>
        </w:rPr>
        <w:t>本次评价确定环境保护目标具体见表1</w:t>
      </w:r>
      <w:r>
        <w:rPr>
          <w:rFonts w:hint="eastAsia"/>
          <w:sz w:val="24"/>
          <w:szCs w:val="24"/>
          <w:lang w:val="en-US" w:eastAsia="zh-CN"/>
        </w:rPr>
        <w:t>.</w:t>
      </w:r>
      <w:r>
        <w:rPr>
          <w:rFonts w:hint="eastAsia"/>
          <w:sz w:val="24"/>
          <w:szCs w:val="24"/>
        </w:rPr>
        <w:t>12</w:t>
      </w:r>
      <w:r>
        <w:rPr>
          <w:sz w:val="24"/>
          <w:szCs w:val="24"/>
        </w:rPr>
        <w:t>-1。</w:t>
      </w:r>
    </w:p>
    <w:p>
      <w:pPr>
        <w:spacing w:line="240" w:lineRule="auto"/>
        <w:ind w:firstLine="2409" w:firstLineChars="1000"/>
        <w:rPr>
          <w:b/>
          <w:bCs/>
          <w:sz w:val="24"/>
          <w:szCs w:val="24"/>
        </w:rPr>
      </w:pPr>
      <w:r>
        <w:rPr>
          <w:b/>
          <w:bCs/>
          <w:sz w:val="24"/>
          <w:szCs w:val="24"/>
        </w:rPr>
        <w:t>表1</w:t>
      </w:r>
      <w:r>
        <w:rPr>
          <w:rFonts w:hint="eastAsia"/>
          <w:b/>
          <w:bCs/>
          <w:sz w:val="24"/>
          <w:szCs w:val="24"/>
          <w:lang w:val="en-US" w:eastAsia="zh-CN"/>
        </w:rPr>
        <w:t>.</w:t>
      </w:r>
      <w:r>
        <w:rPr>
          <w:rFonts w:hint="eastAsia"/>
          <w:b/>
          <w:bCs/>
          <w:sz w:val="24"/>
          <w:szCs w:val="24"/>
        </w:rPr>
        <w:t>12</w:t>
      </w:r>
      <w:r>
        <w:rPr>
          <w:b/>
          <w:bCs/>
          <w:sz w:val="24"/>
          <w:szCs w:val="24"/>
        </w:rPr>
        <w:t>-1  环境主要保护目标一览表</w:t>
      </w:r>
    </w:p>
    <w:tbl>
      <w:tblPr>
        <w:tblStyle w:val="22"/>
        <w:tblW w:w="928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49"/>
        <w:gridCol w:w="2144"/>
        <w:gridCol w:w="1340"/>
        <w:gridCol w:w="1214"/>
        <w:gridCol w:w="1900"/>
        <w:gridCol w:w="184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bookmarkStart w:id="137" w:name="_Toc5534"/>
            <w:bookmarkStart w:id="138" w:name="_Toc10230"/>
            <w:bookmarkStart w:id="139" w:name="_Toc15059"/>
            <w:bookmarkStart w:id="140" w:name="_Toc29698_WPSOffice_Level2"/>
            <w:r>
              <w:rPr>
                <w:rFonts w:ascii="Times New Roman" w:hAnsi="Times New Roman" w:eastAsia="宋体" w:cs="Times New Roman"/>
                <w:kern w:val="0"/>
                <w:sz w:val="21"/>
                <w:szCs w:val="21"/>
                <w:lang w:val="en-US" w:eastAsia="zh-CN" w:bidi="ar-SA"/>
              </w:rPr>
              <w:t>类别</w:t>
            </w:r>
          </w:p>
        </w:tc>
        <w:tc>
          <w:tcPr>
            <w:tcW w:w="214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环境敏感点</w:t>
            </w:r>
          </w:p>
        </w:tc>
        <w:tc>
          <w:tcPr>
            <w:tcW w:w="134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方位</w:t>
            </w:r>
          </w:p>
        </w:tc>
        <w:tc>
          <w:tcPr>
            <w:tcW w:w="121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与厂界最近</w:t>
            </w:r>
            <w:r>
              <w:rPr>
                <w:rFonts w:ascii="Times New Roman" w:hAnsi="Times New Roman" w:eastAsia="宋体" w:cs="Times New Roman"/>
                <w:kern w:val="0"/>
                <w:sz w:val="21"/>
                <w:szCs w:val="21"/>
                <w:lang w:val="en-US" w:eastAsia="zh-CN" w:bidi="ar-SA"/>
              </w:rPr>
              <w:t>距离</w:t>
            </w:r>
            <w:r>
              <w:rPr>
                <w:rFonts w:hint="eastAsia" w:ascii="Times New Roman" w:hAnsi="Times New Roman" w:eastAsia="宋体" w:cs="Times New Roman"/>
                <w:kern w:val="0"/>
                <w:sz w:val="21"/>
                <w:szCs w:val="21"/>
                <w:lang w:val="en-US" w:eastAsia="zh-CN" w:bidi="ar-SA"/>
              </w:rPr>
              <w:t>(m)</w:t>
            </w:r>
          </w:p>
        </w:tc>
        <w:tc>
          <w:tcPr>
            <w:tcW w:w="190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规模</w:t>
            </w:r>
          </w:p>
        </w:tc>
        <w:tc>
          <w:tcPr>
            <w:tcW w:w="1841"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环境功能区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90" w:hRule="atLeast"/>
          <w:jc w:val="center"/>
        </w:trPr>
        <w:tc>
          <w:tcPr>
            <w:tcW w:w="849" w:type="dxa"/>
            <w:vMerge w:val="restart"/>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空气环境</w:t>
            </w:r>
          </w:p>
        </w:tc>
        <w:tc>
          <w:tcPr>
            <w:tcW w:w="214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任小庄</w:t>
            </w:r>
          </w:p>
        </w:tc>
        <w:tc>
          <w:tcPr>
            <w:tcW w:w="1340"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EN</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1463</w:t>
            </w:r>
          </w:p>
        </w:tc>
        <w:tc>
          <w:tcPr>
            <w:tcW w:w="1900" w:type="dxa"/>
            <w:tcBorders>
              <w:tl2br w:val="nil"/>
              <w:tr2bl w:val="nil"/>
            </w:tcBorders>
            <w:noWrap w:val="0"/>
            <w:vAlign w:val="center"/>
          </w:tcPr>
          <w:p>
            <w:pPr>
              <w:snapToGrid w:val="0"/>
              <w:spacing w:line="240" w:lineRule="auto"/>
              <w:ind w:firstLine="0" w:firstLineChars="0"/>
              <w:rPr>
                <w:rFonts w:ascii="Times New Roman" w:hAnsi="Times New Roman" w:eastAsia="宋体" w:cs="Times New Roman"/>
                <w:kern w:val="0"/>
                <w:sz w:val="21"/>
                <w:szCs w:val="21"/>
                <w:lang w:val="en-US" w:eastAsia="zh-CN" w:bidi="ar-SA"/>
              </w:rPr>
            </w:pPr>
            <w:r>
              <w:rPr>
                <w:rFonts w:hint="default" w:ascii="Times New Roman" w:hAnsi="Times New Roman" w:cs="Times New Roman"/>
                <w:color w:val="auto"/>
                <w:sz w:val="21"/>
                <w:szCs w:val="21"/>
              </w:rPr>
              <w:t>约</w:t>
            </w:r>
            <w:r>
              <w:rPr>
                <w:rFonts w:hint="eastAsia" w:ascii="Times New Roman" w:hAnsi="Times New Roman" w:cs="Times New Roman"/>
                <w:color w:val="auto"/>
                <w:sz w:val="21"/>
                <w:szCs w:val="21"/>
                <w:lang w:val="en-US" w:eastAsia="zh-CN"/>
              </w:rPr>
              <w:t>25</w:t>
            </w:r>
            <w:r>
              <w:rPr>
                <w:rFonts w:hint="default" w:ascii="Times New Roman" w:hAnsi="Times New Roman" w:cs="Times New Roman"/>
                <w:color w:val="auto"/>
                <w:sz w:val="21"/>
                <w:szCs w:val="21"/>
              </w:rPr>
              <w:t>户，</w:t>
            </w:r>
            <w:r>
              <w:rPr>
                <w:rFonts w:hint="eastAsia" w:ascii="Times New Roman" w:hAnsi="Times New Roman" w:cs="Times New Roman"/>
                <w:color w:val="auto"/>
                <w:sz w:val="21"/>
                <w:szCs w:val="21"/>
                <w:lang w:val="en-US" w:eastAsia="zh-CN"/>
              </w:rPr>
              <w:t>80</w:t>
            </w:r>
            <w:r>
              <w:rPr>
                <w:rFonts w:hint="default" w:ascii="Times New Roman" w:hAnsi="Times New Roman" w:cs="Times New Roman"/>
                <w:color w:val="auto"/>
                <w:sz w:val="21"/>
                <w:szCs w:val="21"/>
              </w:rPr>
              <w:t>人</w:t>
            </w:r>
          </w:p>
        </w:tc>
        <w:tc>
          <w:tcPr>
            <w:tcW w:w="1841" w:type="dxa"/>
            <w:vMerge w:val="restart"/>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ascii="Times New Roman" w:hAnsi="Times New Roman" w:eastAsia="宋体" w:cs="Times New Roman"/>
                <w:bCs/>
                <w:kern w:val="0"/>
                <w:sz w:val="21"/>
                <w:szCs w:val="21"/>
                <w:lang w:val="en-US" w:eastAsia="zh-CN" w:bidi="ar-SA"/>
              </w:rPr>
              <w:t>《环境空气质量标准》（GB3095-2012）</w:t>
            </w:r>
            <w:r>
              <w:rPr>
                <w:rFonts w:hint="eastAsia" w:ascii="Times New Roman" w:hAnsi="Times New Roman" w:eastAsia="宋体" w:cs="Times New Roman"/>
                <w:bCs/>
                <w:kern w:val="0"/>
                <w:sz w:val="21"/>
                <w:szCs w:val="21"/>
                <w:lang w:val="en-US" w:eastAsia="zh-CN" w:bidi="ar-SA"/>
              </w:rPr>
              <w:t>及2018年修改单中</w:t>
            </w:r>
            <w:r>
              <w:rPr>
                <w:rFonts w:ascii="Times New Roman" w:hAnsi="Times New Roman" w:eastAsia="宋体" w:cs="Times New Roman"/>
                <w:bCs/>
                <w:kern w:val="0"/>
                <w:sz w:val="21"/>
                <w:szCs w:val="21"/>
                <w:lang w:val="en-US" w:eastAsia="zh-CN" w:bidi="ar-SA"/>
              </w:rPr>
              <w:t>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c>
          <w:tcPr>
            <w:tcW w:w="214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皋陶村</w:t>
            </w:r>
          </w:p>
        </w:tc>
        <w:tc>
          <w:tcPr>
            <w:tcW w:w="134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ES</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636</w:t>
            </w:r>
          </w:p>
        </w:tc>
        <w:tc>
          <w:tcPr>
            <w:tcW w:w="190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约40户，150人</w:t>
            </w:r>
          </w:p>
        </w:tc>
        <w:tc>
          <w:tcPr>
            <w:tcW w:w="1841"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c>
          <w:tcPr>
            <w:tcW w:w="214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王家圩</w:t>
            </w:r>
          </w:p>
        </w:tc>
        <w:tc>
          <w:tcPr>
            <w:tcW w:w="1340"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S</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1440</w:t>
            </w:r>
          </w:p>
        </w:tc>
        <w:tc>
          <w:tcPr>
            <w:tcW w:w="190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约120户，400人</w:t>
            </w:r>
          </w:p>
        </w:tc>
        <w:tc>
          <w:tcPr>
            <w:tcW w:w="1841"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c>
          <w:tcPr>
            <w:tcW w:w="214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新城春天</w:t>
            </w:r>
          </w:p>
        </w:tc>
        <w:tc>
          <w:tcPr>
            <w:tcW w:w="1340"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WS</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971</w:t>
            </w:r>
          </w:p>
        </w:tc>
        <w:tc>
          <w:tcPr>
            <w:tcW w:w="190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约2000户，6800人</w:t>
            </w:r>
          </w:p>
        </w:tc>
        <w:tc>
          <w:tcPr>
            <w:tcW w:w="1841"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c>
          <w:tcPr>
            <w:tcW w:w="214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六安开发区医院</w:t>
            </w:r>
          </w:p>
        </w:tc>
        <w:tc>
          <w:tcPr>
            <w:tcW w:w="134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WS</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985</w:t>
            </w:r>
          </w:p>
        </w:tc>
        <w:tc>
          <w:tcPr>
            <w:tcW w:w="1900"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约500人</w:t>
            </w:r>
          </w:p>
        </w:tc>
        <w:tc>
          <w:tcPr>
            <w:tcW w:w="1841"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c>
          <w:tcPr>
            <w:tcW w:w="214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东城御景</w:t>
            </w:r>
          </w:p>
        </w:tc>
        <w:tc>
          <w:tcPr>
            <w:tcW w:w="1340"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WS</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622</w:t>
            </w:r>
          </w:p>
        </w:tc>
        <w:tc>
          <w:tcPr>
            <w:tcW w:w="190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约1500户，5000人</w:t>
            </w:r>
          </w:p>
        </w:tc>
        <w:tc>
          <w:tcPr>
            <w:tcW w:w="1841"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c>
          <w:tcPr>
            <w:tcW w:w="214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锦成迎宾府</w:t>
            </w:r>
          </w:p>
        </w:tc>
        <w:tc>
          <w:tcPr>
            <w:tcW w:w="1340"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WN</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1233</w:t>
            </w:r>
          </w:p>
        </w:tc>
        <w:tc>
          <w:tcPr>
            <w:tcW w:w="190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1350户，1500人</w:t>
            </w:r>
          </w:p>
        </w:tc>
        <w:tc>
          <w:tcPr>
            <w:tcW w:w="1841"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c>
          <w:tcPr>
            <w:tcW w:w="2144" w:type="dxa"/>
            <w:tcBorders>
              <w:tl2br w:val="nil"/>
              <w:tr2bl w:val="nil"/>
            </w:tcBorders>
            <w:noWrap w:val="0"/>
            <w:vAlign w:val="center"/>
          </w:tcPr>
          <w:p>
            <w:pPr>
              <w:widowControl w:val="0"/>
              <w:spacing w:line="240" w:lineRule="auto"/>
              <w:ind w:firstLine="420" w:firstLineChars="200"/>
              <w:jc w:val="both"/>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碧桂园陇悦</w:t>
            </w:r>
          </w:p>
        </w:tc>
        <w:tc>
          <w:tcPr>
            <w:tcW w:w="1340" w:type="dxa"/>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WS</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1670</w:t>
            </w:r>
          </w:p>
        </w:tc>
        <w:tc>
          <w:tcPr>
            <w:tcW w:w="1900" w:type="dxa"/>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930户，1600人</w:t>
            </w:r>
          </w:p>
        </w:tc>
        <w:tc>
          <w:tcPr>
            <w:tcW w:w="1841"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c>
          <w:tcPr>
            <w:tcW w:w="2144" w:type="dxa"/>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香榭花城</w:t>
            </w:r>
          </w:p>
        </w:tc>
        <w:tc>
          <w:tcPr>
            <w:tcW w:w="1340" w:type="dxa"/>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WS</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1380</w:t>
            </w:r>
          </w:p>
        </w:tc>
        <w:tc>
          <w:tcPr>
            <w:tcW w:w="1900"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1300户，1580人</w:t>
            </w:r>
          </w:p>
        </w:tc>
        <w:tc>
          <w:tcPr>
            <w:tcW w:w="1841"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c>
          <w:tcPr>
            <w:tcW w:w="2144" w:type="dxa"/>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六安花园小区</w:t>
            </w:r>
          </w:p>
        </w:tc>
        <w:tc>
          <w:tcPr>
            <w:tcW w:w="1340"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WS</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1980</w:t>
            </w:r>
          </w:p>
        </w:tc>
        <w:tc>
          <w:tcPr>
            <w:tcW w:w="1900" w:type="dxa"/>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900户，1200人</w:t>
            </w:r>
          </w:p>
        </w:tc>
        <w:tc>
          <w:tcPr>
            <w:tcW w:w="1841"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声环境</w:t>
            </w:r>
          </w:p>
        </w:tc>
        <w:tc>
          <w:tcPr>
            <w:tcW w:w="214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项目区</w:t>
            </w:r>
          </w:p>
        </w:tc>
        <w:tc>
          <w:tcPr>
            <w:tcW w:w="134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w:t>
            </w:r>
          </w:p>
        </w:tc>
        <w:tc>
          <w:tcPr>
            <w:tcW w:w="121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1m</w:t>
            </w:r>
          </w:p>
        </w:tc>
        <w:tc>
          <w:tcPr>
            <w:tcW w:w="190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w:t>
            </w:r>
          </w:p>
        </w:tc>
        <w:tc>
          <w:tcPr>
            <w:tcW w:w="1841"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bCs/>
                <w:kern w:val="0"/>
                <w:sz w:val="21"/>
                <w:szCs w:val="21"/>
                <w:lang w:val="en-US" w:eastAsia="zh-CN" w:bidi="ar-SA"/>
              </w:rPr>
              <w:t>《声环境质量标准》（GB 3096-2008）</w:t>
            </w:r>
            <w:r>
              <w:rPr>
                <w:rFonts w:hint="eastAsia" w:ascii="Times New Roman" w:hAnsi="Times New Roman" w:eastAsia="宋体" w:cs="Times New Roman"/>
                <w:kern w:val="0"/>
                <w:sz w:val="21"/>
                <w:szCs w:val="21"/>
                <w:lang w:val="en-US" w:eastAsia="zh-CN" w:bidi="ar-SA"/>
              </w:rPr>
              <w:t>3</w:t>
            </w:r>
            <w:r>
              <w:rPr>
                <w:rFonts w:ascii="Times New Roman" w:hAnsi="Times New Roman" w:eastAsia="宋体" w:cs="Times New Roman"/>
                <w:kern w:val="0"/>
                <w:sz w:val="21"/>
                <w:szCs w:val="21"/>
                <w:lang w:val="en-US" w:eastAsia="zh-CN" w:bidi="ar-SA"/>
              </w:rPr>
              <w:t>类区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90" w:hRule="atLeast"/>
          <w:jc w:val="center"/>
        </w:trPr>
        <w:tc>
          <w:tcPr>
            <w:tcW w:w="849"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地表水</w:t>
            </w:r>
          </w:p>
        </w:tc>
        <w:tc>
          <w:tcPr>
            <w:tcW w:w="214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淠河</w:t>
            </w:r>
          </w:p>
        </w:tc>
        <w:tc>
          <w:tcPr>
            <w:tcW w:w="134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6631</w:t>
            </w:r>
          </w:p>
        </w:tc>
        <w:tc>
          <w:tcPr>
            <w:tcW w:w="190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中型河流</w:t>
            </w:r>
          </w:p>
        </w:tc>
        <w:tc>
          <w:tcPr>
            <w:tcW w:w="1841"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bCs/>
                <w:kern w:val="0"/>
                <w:sz w:val="21"/>
                <w:szCs w:val="21"/>
                <w:lang w:val="en-US" w:eastAsia="zh-CN" w:bidi="ar-SA"/>
              </w:rPr>
              <w:t>《地表水环境质量标准》（GB3838-2002）</w:t>
            </w:r>
            <w:r>
              <w:rPr>
                <w:rFonts w:hint="eastAsia" w:ascii="Times New Roman" w:hAnsi="Times New Roman" w:eastAsia="宋体" w:cs="Times New Roman"/>
                <w:bCs/>
                <w:kern w:val="0"/>
                <w:sz w:val="21"/>
                <w:szCs w:val="21"/>
                <w:lang w:val="en-US" w:eastAsia="zh-CN" w:bidi="ar-SA"/>
              </w:rPr>
              <w:t>III</w:t>
            </w:r>
            <w:r>
              <w:rPr>
                <w:rFonts w:ascii="Times New Roman" w:hAnsi="Times New Roman" w:eastAsia="宋体" w:cs="Times New Roman"/>
                <w:bCs/>
                <w:kern w:val="0"/>
                <w:sz w:val="21"/>
                <w:szCs w:val="21"/>
                <w:lang w:val="en-US" w:eastAsia="zh-CN" w:bidi="ar-SA"/>
              </w:rPr>
              <w:t>类</w:t>
            </w:r>
            <w:r>
              <w:rPr>
                <w:rFonts w:ascii="Times New Roman" w:hAnsi="Times New Roman" w:eastAsia="宋体" w:cs="Times New Roman"/>
                <w:kern w:val="0"/>
                <w:sz w:val="21"/>
                <w:szCs w:val="21"/>
                <w:lang w:val="en-US" w:eastAsia="zh-CN" w:bidi="ar-SA"/>
              </w:rPr>
              <w:t>水体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地下水</w:t>
            </w:r>
          </w:p>
        </w:tc>
        <w:tc>
          <w:tcPr>
            <w:tcW w:w="214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项目地中心周围6km</w:t>
            </w:r>
            <w:r>
              <w:rPr>
                <w:rFonts w:ascii="Times New Roman" w:hAnsi="Times New Roman" w:eastAsia="宋体" w:cs="Times New Roman"/>
                <w:kern w:val="0"/>
                <w:sz w:val="21"/>
                <w:szCs w:val="21"/>
                <w:vertAlign w:val="superscript"/>
                <w:lang w:val="en-US" w:eastAsia="zh-CN" w:bidi="ar-SA"/>
              </w:rPr>
              <w:t>2</w:t>
            </w:r>
          </w:p>
        </w:tc>
        <w:tc>
          <w:tcPr>
            <w:tcW w:w="134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w:t>
            </w:r>
          </w:p>
        </w:tc>
        <w:tc>
          <w:tcPr>
            <w:tcW w:w="121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w:t>
            </w:r>
          </w:p>
        </w:tc>
        <w:tc>
          <w:tcPr>
            <w:tcW w:w="190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w:t>
            </w:r>
          </w:p>
        </w:tc>
        <w:tc>
          <w:tcPr>
            <w:tcW w:w="1841"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bCs/>
                <w:kern w:val="0"/>
                <w:sz w:val="21"/>
                <w:szCs w:val="21"/>
                <w:lang w:val="en-US" w:eastAsia="zh-CN" w:bidi="ar-SA"/>
              </w:rPr>
            </w:pPr>
            <w:r>
              <w:rPr>
                <w:rFonts w:ascii="Times New Roman" w:hAnsi="Times New Roman" w:eastAsia="宋体" w:cs="Times New Roman"/>
                <w:bCs/>
                <w:kern w:val="0"/>
                <w:sz w:val="21"/>
                <w:szCs w:val="21"/>
                <w:lang w:val="en-US" w:eastAsia="zh-CN" w:bidi="ar-SA"/>
              </w:rPr>
              <w:t>《地下水质量标准》（GBT-14848-2017）中的III类标准</w:t>
            </w:r>
          </w:p>
        </w:tc>
      </w:tr>
      <w:bookmarkEnd w:id="137"/>
      <w:bookmarkEnd w:id="138"/>
      <w:bookmarkEnd w:id="139"/>
      <w:bookmarkEnd w:id="140"/>
    </w:tbl>
    <w:p>
      <w:pPr>
        <w:ind w:firstLine="480" w:firstLineChars="200"/>
        <w:rPr>
          <w:sz w:val="24"/>
          <w:szCs w:val="24"/>
        </w:rPr>
      </w:pPr>
      <w:r>
        <w:rPr>
          <w:sz w:val="24"/>
          <w:szCs w:val="24"/>
        </w:rPr>
        <w:t>（3）项目周边关系</w:t>
      </w:r>
    </w:p>
    <w:p>
      <w:pPr>
        <w:ind w:firstLine="480" w:firstLineChars="200"/>
        <w:rPr>
          <w:color w:val="000000"/>
          <w:sz w:val="24"/>
          <w:szCs w:val="24"/>
          <w:highlight w:val="yellow"/>
        </w:rPr>
      </w:pPr>
      <w:r>
        <w:rPr>
          <w:sz w:val="24"/>
          <w:szCs w:val="24"/>
        </w:rPr>
        <w:t>项目位于六安市</w:t>
      </w:r>
      <w:r>
        <w:rPr>
          <w:rFonts w:hint="eastAsia"/>
          <w:sz w:val="24"/>
          <w:szCs w:val="24"/>
          <w:lang w:eastAsia="zh-CN"/>
        </w:rPr>
        <w:t>经济开发</w:t>
      </w:r>
      <w:r>
        <w:rPr>
          <w:rFonts w:hint="eastAsia"/>
          <w:sz w:val="24"/>
          <w:szCs w:val="24"/>
          <w:highlight w:val="none"/>
          <w:lang w:eastAsia="zh-CN"/>
        </w:rPr>
        <w:t>区</w:t>
      </w:r>
      <w:r>
        <w:rPr>
          <w:sz w:val="24"/>
          <w:szCs w:val="24"/>
          <w:highlight w:val="none"/>
        </w:rPr>
        <w:t>，项目东侧为</w:t>
      </w:r>
      <w:r>
        <w:rPr>
          <w:rFonts w:hint="eastAsia"/>
          <w:sz w:val="24"/>
          <w:szCs w:val="24"/>
          <w:highlight w:val="none"/>
          <w:lang w:eastAsia="zh-CN"/>
        </w:rPr>
        <w:t>六安世信科技建材有限公司和安徽威尔康食品有限公司</w:t>
      </w:r>
      <w:r>
        <w:rPr>
          <w:sz w:val="24"/>
          <w:szCs w:val="24"/>
          <w:highlight w:val="none"/>
        </w:rPr>
        <w:t>，南侧为</w:t>
      </w:r>
      <w:r>
        <w:rPr>
          <w:rFonts w:hint="eastAsia"/>
          <w:sz w:val="24"/>
          <w:szCs w:val="24"/>
          <w:highlight w:val="none"/>
          <w:lang w:eastAsia="zh-CN"/>
        </w:rPr>
        <w:t>宏顺炉料，西</w:t>
      </w:r>
      <w:r>
        <w:rPr>
          <w:sz w:val="24"/>
          <w:szCs w:val="24"/>
          <w:highlight w:val="none"/>
        </w:rPr>
        <w:t>侧为</w:t>
      </w:r>
      <w:r>
        <w:rPr>
          <w:rFonts w:hint="eastAsia"/>
          <w:sz w:val="24"/>
          <w:szCs w:val="24"/>
          <w:highlight w:val="none"/>
          <w:lang w:eastAsia="zh-CN"/>
        </w:rPr>
        <w:t>安徽明都电气有限公司</w:t>
      </w:r>
      <w:r>
        <w:rPr>
          <w:sz w:val="24"/>
          <w:szCs w:val="24"/>
          <w:highlight w:val="none"/>
        </w:rPr>
        <w:t>。项目周边环境关系如下图所示：</w:t>
      </w:r>
    </w:p>
    <w:p>
      <w:pPr>
        <w:pStyle w:val="2"/>
        <w:ind w:firstLine="0" w:firstLineChars="0"/>
        <w:rPr>
          <w:color w:val="000000"/>
          <w:sz w:val="24"/>
          <w:szCs w:val="24"/>
        </w:rPr>
      </w:pPr>
    </w:p>
    <w:p/>
    <w:p/>
    <w:p/>
    <w:p>
      <w:pPr>
        <w:tabs>
          <w:tab w:val="left" w:pos="5529"/>
        </w:tabs>
        <w:jc w:val="left"/>
        <w:sectPr>
          <w:footerReference r:id="rId5" w:type="default"/>
          <w:pgSz w:w="11906" w:h="16838"/>
          <w:pgMar w:top="1440" w:right="1701" w:bottom="1440" w:left="1587" w:header="851" w:footer="737" w:gutter="0"/>
          <w:pgBorders>
            <w:top w:val="none" w:sz="0" w:space="0"/>
            <w:left w:val="none" w:sz="0" w:space="0"/>
            <w:bottom w:val="none" w:sz="0" w:space="0"/>
            <w:right w:val="none" w:sz="0" w:space="0"/>
          </w:pgBorders>
          <w:pgNumType w:start="1"/>
          <w:cols w:space="720" w:num="1"/>
          <w:docGrid w:linePitch="312" w:charSpace="0"/>
        </w:sectPr>
      </w:pPr>
      <w:r>
        <w:tab/>
      </w:r>
    </w:p>
    <w:p>
      <w:r>
        <w:rPr>
          <w:sz w:val="21"/>
        </w:rPr>
        <mc:AlternateContent>
          <mc:Choice Requires="wps">
            <w:drawing>
              <wp:anchor distT="0" distB="0" distL="114300" distR="114300" simplePos="0" relativeHeight="2239525888" behindDoc="0" locked="0" layoutInCell="1" allowOverlap="1">
                <wp:simplePos x="0" y="0"/>
                <wp:positionH relativeFrom="column">
                  <wp:posOffset>3046095</wp:posOffset>
                </wp:positionH>
                <wp:positionV relativeFrom="paragraph">
                  <wp:posOffset>35560</wp:posOffset>
                </wp:positionV>
                <wp:extent cx="3400425" cy="438150"/>
                <wp:effectExtent l="0" t="0" r="0" b="0"/>
                <wp:wrapNone/>
                <wp:docPr id="81" name="文本框 81"/>
                <wp:cNvGraphicFramePr/>
                <a:graphic xmlns:a="http://schemas.openxmlformats.org/drawingml/2006/main">
                  <a:graphicData uri="http://schemas.microsoft.com/office/word/2010/wordprocessingShape">
                    <wps:wsp>
                      <wps:cNvSpPr txBox="1"/>
                      <wps:spPr>
                        <a:xfrm>
                          <a:off x="3960495" y="6256655"/>
                          <a:ext cx="3400425"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sz w:val="24"/>
                                <w:szCs w:val="24"/>
                                <w:lang w:val="en-US" w:eastAsia="zh-CN"/>
                              </w:rPr>
                            </w:pPr>
                            <w:r>
                              <w:rPr>
                                <w:rFonts w:hint="eastAsia"/>
                                <w:b/>
                                <w:bCs/>
                                <w:sz w:val="24"/>
                                <w:szCs w:val="24"/>
                                <w:lang w:eastAsia="zh-CN"/>
                              </w:rPr>
                              <w:t>图</w:t>
                            </w:r>
                            <w:r>
                              <w:rPr>
                                <w:rFonts w:hint="eastAsia"/>
                                <w:b/>
                                <w:bCs/>
                                <w:sz w:val="24"/>
                                <w:szCs w:val="24"/>
                                <w:lang w:val="en-US" w:eastAsia="zh-CN"/>
                              </w:rPr>
                              <w:t>1.12-2  项目周边关系示意图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85pt;margin-top:2.8pt;height:34.5pt;width:267.75pt;z-index:-2055441408;mso-width-relative:page;mso-height-relative:page;" filled="f" stroked="f" coordsize="21600,21600" o:gfxdata="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jeBAtsAAAAJAQAADwAAAAAAAAABACAAAAAiAAAAZHJzL2Rvd25yZXYueG1sUEsB&#10;AhQAFAAAAAgAh07iQMANzqwrAgAAJgQAAA4AAAAAAAAAAQAgAAAAKgEAAGRycy9lMm9Eb2MueG1s&#10;UEsFBgAAAAAGAAYAWQEAAMcFAAAAAA==&#10;">
                <v:fill on="f" focussize="0,0"/>
                <v:stroke on="f" weight="0.5pt"/>
                <v:imagedata o:title=""/>
                <o:lock v:ext="edit" aspectratio="f"/>
                <v:textbox>
                  <w:txbxContent>
                    <w:p>
                      <w:pPr>
                        <w:jc w:val="center"/>
                        <w:rPr>
                          <w:rFonts w:hint="default" w:eastAsia="宋体"/>
                          <w:b/>
                          <w:bCs/>
                          <w:sz w:val="24"/>
                          <w:szCs w:val="24"/>
                          <w:lang w:val="en-US" w:eastAsia="zh-CN"/>
                        </w:rPr>
                      </w:pPr>
                      <w:r>
                        <w:rPr>
                          <w:rFonts w:hint="eastAsia"/>
                          <w:b/>
                          <w:bCs/>
                          <w:sz w:val="24"/>
                          <w:szCs w:val="24"/>
                          <w:lang w:eastAsia="zh-CN"/>
                        </w:rPr>
                        <w:t>图</w:t>
                      </w:r>
                      <w:r>
                        <w:rPr>
                          <w:rFonts w:hint="eastAsia"/>
                          <w:b/>
                          <w:bCs/>
                          <w:sz w:val="24"/>
                          <w:szCs w:val="24"/>
                          <w:lang w:val="en-US" w:eastAsia="zh-CN"/>
                        </w:rPr>
                        <w:t>1.12-2  项目周边关系示意图</w:t>
                      </w:r>
                    </w:p>
                  </w:txbxContent>
                </v:textbox>
              </v:shape>
            </w:pict>
          </mc:Fallback>
        </mc:AlternateContent>
      </w:r>
      <w:r>
        <w:drawing>
          <wp:anchor distT="0" distB="0" distL="114300" distR="114300" simplePos="0" relativeHeight="2239524864" behindDoc="1" locked="0" layoutInCell="1" allowOverlap="1">
            <wp:simplePos x="0" y="0"/>
            <wp:positionH relativeFrom="column">
              <wp:posOffset>-57150</wp:posOffset>
            </wp:positionH>
            <wp:positionV relativeFrom="paragraph">
              <wp:posOffset>-19050</wp:posOffset>
            </wp:positionV>
            <wp:extent cx="8856345" cy="5191760"/>
            <wp:effectExtent l="9525" t="9525" r="11430" b="18415"/>
            <wp:wrapTight wrapText="bothSides">
              <wp:wrapPolygon>
                <wp:start x="-23" y="-40"/>
                <wp:lineTo x="-23" y="21597"/>
                <wp:lineTo x="21581" y="21597"/>
                <wp:lineTo x="21581" y="-40"/>
                <wp:lineTo x="-23" y="-40"/>
              </wp:wrapPolygon>
            </wp:wrapTight>
            <wp:docPr id="7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4"/>
                    <pic:cNvPicPr>
                      <a:picLocks noChangeAspect="1"/>
                    </pic:cNvPicPr>
                  </pic:nvPicPr>
                  <pic:blipFill>
                    <a:blip r:embed="rId20"/>
                    <a:stretch>
                      <a:fillRect/>
                    </a:stretch>
                  </pic:blipFill>
                  <pic:spPr>
                    <a:xfrm>
                      <a:off x="0" y="0"/>
                      <a:ext cx="8856345" cy="5191760"/>
                    </a:xfrm>
                    <a:prstGeom prst="rect">
                      <a:avLst/>
                    </a:prstGeom>
                    <a:noFill/>
                    <a:ln>
                      <a:solidFill>
                        <a:schemeClr val="tx1"/>
                      </a:solidFill>
                    </a:ln>
                  </pic:spPr>
                </pic:pic>
              </a:graphicData>
            </a:graphic>
          </wp:anchor>
        </w:drawing>
      </w:r>
    </w:p>
    <w:p>
      <w:pPr>
        <w:rPr>
          <w:sz w:val="24"/>
          <w:szCs w:val="24"/>
        </w:rPr>
        <w:sectPr>
          <w:headerReference r:id="rId6" w:type="default"/>
          <w:footerReference r:id="rId7" w:type="default"/>
          <w:pgSz w:w="16838" w:h="11906" w:orient="landscape"/>
          <w:pgMar w:top="1587" w:right="1440" w:bottom="1701" w:left="1440" w:header="851" w:footer="737" w:gutter="0"/>
          <w:pgBorders>
            <w:top w:val="none" w:sz="0" w:space="0"/>
            <w:left w:val="none" w:sz="0" w:space="0"/>
            <w:bottom w:val="none" w:sz="0" w:space="0"/>
            <w:right w:val="none" w:sz="0" w:space="0"/>
          </w:pgBorders>
          <w:cols w:space="720" w:num="1"/>
          <w:docGrid w:linePitch="312" w:charSpace="0"/>
        </w:sectPr>
      </w:pPr>
      <w:r>
        <mc:AlternateContent>
          <mc:Choice Requires="wps">
            <w:drawing>
              <wp:anchor distT="0" distB="0" distL="114300" distR="114300" simplePos="0" relativeHeight="251669504" behindDoc="0" locked="0" layoutInCell="1" allowOverlap="1">
                <wp:simplePos x="0" y="0"/>
                <wp:positionH relativeFrom="column">
                  <wp:posOffset>-5335270</wp:posOffset>
                </wp:positionH>
                <wp:positionV relativeFrom="paragraph">
                  <wp:posOffset>4457700</wp:posOffset>
                </wp:positionV>
                <wp:extent cx="2419985" cy="381000"/>
                <wp:effectExtent l="0" t="0" r="0" b="0"/>
                <wp:wrapNone/>
                <wp:docPr id="72" name="文本框 72"/>
                <wp:cNvGraphicFramePr/>
                <a:graphic xmlns:a="http://schemas.openxmlformats.org/drawingml/2006/main">
                  <a:graphicData uri="http://schemas.microsoft.com/office/word/2010/wordprocessingShape">
                    <wps:wsp>
                      <wps:cNvSpPr txBox="1"/>
                      <wps:spPr>
                        <a:xfrm>
                          <a:off x="3399155" y="6432550"/>
                          <a:ext cx="2419985" cy="381000"/>
                        </a:xfrm>
                        <a:prstGeom prst="rect">
                          <a:avLst/>
                        </a:prstGeom>
                        <a:noFill/>
                        <a:ln w="6350">
                          <a:noFill/>
                        </a:ln>
                        <a:effectLst/>
                      </wps:spPr>
                      <wps:txbx>
                        <w:txbxContent>
                          <w:p>
                            <w:pPr>
                              <w:rPr>
                                <w:b/>
                                <w:bCs/>
                                <w:sz w:val="24"/>
                                <w:szCs w:val="24"/>
                              </w:rPr>
                            </w:pPr>
                            <w:r>
                              <w:rPr>
                                <w:rFonts w:hint="eastAsia"/>
                                <w:b/>
                                <w:bCs/>
                                <w:sz w:val="24"/>
                                <w:szCs w:val="24"/>
                              </w:rPr>
                              <w:t>附图1.12-1   项目周边关系示意图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0.1pt;margin-top:351pt;height:30pt;width:190.55pt;z-index:251669504;mso-width-relative:page;mso-height-relative:page;" filled="f" stroked="f" coordsize="21600,21600" o:gfxdata="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iChEE3AAAAA0BAAAPAAAAAAAAAAEAIAAAACIAAABkcnMvZG93bnJldi54&#10;bWxQSwECFAAUAAAACACHTuJA2Bj7mC8CAAA0BAAADgAAAAAAAAABACAAAAArAQAAZHJzL2Uyb0Rv&#10;Yy54bWxQSwUGAAAAAAYABgBZAQAAzAUAAAAA&#10;">
                <v:fill on="f" focussize="0,0"/>
                <v:stroke on="f" weight="0.5pt"/>
                <v:imagedata o:title=""/>
                <o:lock v:ext="edit" aspectratio="f"/>
                <v:textbox>
                  <w:txbxContent>
                    <w:p>
                      <w:pPr>
                        <w:rPr>
                          <w:b/>
                          <w:bCs/>
                          <w:sz w:val="24"/>
                          <w:szCs w:val="24"/>
                        </w:rPr>
                      </w:pPr>
                      <w:r>
                        <w:rPr>
                          <w:rFonts w:hint="eastAsia"/>
                          <w:b/>
                          <w:bCs/>
                          <w:sz w:val="24"/>
                          <w:szCs w:val="24"/>
                        </w:rPr>
                        <w:t>附图1.12-1   项目周边关系示意图</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-4820920</wp:posOffset>
                </wp:positionH>
                <wp:positionV relativeFrom="paragraph">
                  <wp:posOffset>393065</wp:posOffset>
                </wp:positionV>
                <wp:extent cx="1123950" cy="400050"/>
                <wp:effectExtent l="0" t="0" r="0" b="0"/>
                <wp:wrapNone/>
                <wp:docPr id="64" name="文本框 45"/>
                <wp:cNvGraphicFramePr/>
                <a:graphic xmlns:a="http://schemas.openxmlformats.org/drawingml/2006/main">
                  <a:graphicData uri="http://schemas.microsoft.com/office/word/2010/wordprocessingShape">
                    <wps:wsp>
                      <wps:cNvSpPr txBox="1"/>
                      <wps:spPr>
                        <a:xfrm>
                          <a:off x="4751705" y="2520315"/>
                          <a:ext cx="1123950" cy="400050"/>
                        </a:xfrm>
                        <a:prstGeom prst="rect">
                          <a:avLst/>
                        </a:prstGeom>
                        <a:noFill/>
                        <a:ln w="6350">
                          <a:noFill/>
                        </a:ln>
                        <a:effectLst/>
                      </wps:spPr>
                      <wps:txbx>
                        <w:txbxContent>
                          <w:p>
                            <w:pPr>
                              <w:rPr>
                                <w:b/>
                                <w:bCs/>
                                <w:color w:val="FF0000"/>
                              </w:rPr>
                            </w:pPr>
                            <w:r>
                              <w:rPr>
                                <w:rFonts w:hint="eastAsia"/>
                                <w:b/>
                                <w:bCs/>
                                <w:color w:val="FF0000"/>
                              </w:rPr>
                              <w:t>吴湾村居民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5" o:spid="_x0000_s1026" o:spt="202" type="#_x0000_t202" style="position:absolute;left:0pt;margin-left:-379.6pt;margin-top:30.95pt;height:31.5pt;width:88.5pt;z-index:251674624;mso-width-relative:page;mso-height-relative:page;" filled="f" stroked="f" coordsize="21600,21600" o:gfxdata="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0F4bvcAAAADAEAAA8AAAAAAAAAAQAgAAAAIgAAAGRycy9kb3ducmV2Lnht&#10;bFBLAQIUABQAAAAIAIdO4kDpVnbZLgIAADQEAAAOAAAAAAAAAAEAIAAAACsBAABkcnMvZTJvRG9j&#10;LnhtbFBLBQYAAAAABgAGAFkBAADLBQAAAAA=&#10;">
                <v:fill on="f" focussize="0,0"/>
                <v:stroke on="f" weight="0.5pt"/>
                <v:imagedata o:title=""/>
                <o:lock v:ext="edit" aspectratio="f"/>
                <v:textbox>
                  <w:txbxContent>
                    <w:p>
                      <w:pPr>
                        <w:rPr>
                          <w:b/>
                          <w:bCs/>
                          <w:color w:val="FF0000"/>
                        </w:rPr>
                      </w:pPr>
                      <w:r>
                        <w:rPr>
                          <w:rFonts w:hint="eastAsia"/>
                          <w:b/>
                          <w:bCs/>
                          <w:color w:val="FF0000"/>
                        </w:rPr>
                        <w:t>吴湾村居民</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-3173095</wp:posOffset>
                </wp:positionH>
                <wp:positionV relativeFrom="paragraph">
                  <wp:posOffset>1545590</wp:posOffset>
                </wp:positionV>
                <wp:extent cx="657860" cy="400685"/>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657860" cy="400685"/>
                        </a:xfrm>
                        <a:prstGeom prst="rect">
                          <a:avLst/>
                        </a:prstGeom>
                        <a:noFill/>
                        <a:ln w="6350">
                          <a:noFill/>
                        </a:ln>
                        <a:effectLst/>
                      </wps:spPr>
                      <wps:txbx>
                        <w:txbxContent>
                          <w:p>
                            <w:pPr>
                              <w:rPr>
                                <w:b/>
                                <w:bCs/>
                                <w:color w:val="FF0000"/>
                              </w:rPr>
                            </w:pPr>
                            <w:r>
                              <w:rPr>
                                <w:rFonts w:hint="eastAsia"/>
                                <w:b/>
                                <w:bCs/>
                                <w:color w:val="FF0000"/>
                              </w:rPr>
                              <w:t>高塘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85pt;margin-top:121.7pt;height:31.55pt;width:51.8pt;z-index:251668480;mso-width-relative:page;mso-height-relative:page;" filled="f" stroked="f" coordsize="21600,21600" o:gfxdata="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roXvd8AAAANAQAADwAAAAAAAAABACAAAAAiAAAAZHJzL2Rvd25yZXYueG1sUEsBAhQAFAAA&#10;AAgAh07iQFREYXMhAgAAJwQAAA4AAAAAAAAAAQAgAAAALgEAAGRycy9lMm9Eb2MueG1sUEsFBgAA&#10;AAAGAAYAWQEAAMEFAAAAAA==&#10;">
                <v:fill on="f" focussize="0,0"/>
                <v:stroke on="f" weight="0.5pt"/>
                <v:imagedata o:title=""/>
                <o:lock v:ext="edit" aspectratio="f"/>
                <v:textbox>
                  <w:txbxContent>
                    <w:p>
                      <w:pPr>
                        <w:rPr>
                          <w:b/>
                          <w:bCs/>
                          <w:color w:val="FF0000"/>
                        </w:rPr>
                      </w:pPr>
                      <w:r>
                        <w:rPr>
                          <w:rFonts w:hint="eastAsia"/>
                          <w:b/>
                          <w:bCs/>
                          <w:color w:val="FF0000"/>
                        </w:rPr>
                        <w:t>高塘</w:t>
                      </w:r>
                    </w:p>
                  </w:txbxContent>
                </v:textbox>
              </v:shape>
            </w:pict>
          </mc:Fallback>
        </mc:AlternateContent>
      </w:r>
      <w:r>
        <mc:AlternateContent>
          <mc:Choice Requires="wps">
            <w:drawing>
              <wp:anchor distT="0" distB="0" distL="114300" distR="114300" simplePos="0" relativeHeight="251580416" behindDoc="1" locked="0" layoutInCell="1" allowOverlap="1">
                <wp:simplePos x="0" y="0"/>
                <wp:positionH relativeFrom="column">
                  <wp:posOffset>-3439795</wp:posOffset>
                </wp:positionH>
                <wp:positionV relativeFrom="paragraph">
                  <wp:posOffset>2326640</wp:posOffset>
                </wp:positionV>
                <wp:extent cx="762635" cy="36258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762635" cy="362585"/>
                        </a:xfrm>
                        <a:prstGeom prst="rect">
                          <a:avLst/>
                        </a:prstGeom>
                        <a:noFill/>
                        <a:ln w="6350">
                          <a:noFill/>
                        </a:ln>
                        <a:effectLst/>
                      </wps:spPr>
                      <wps:txbx>
                        <w:txbxContent>
                          <w:p>
                            <w:pPr>
                              <w:rPr>
                                <w:b/>
                                <w:bCs/>
                                <w:color w:val="FF0000"/>
                              </w:rPr>
                            </w:pPr>
                            <w:r>
                              <w:rPr>
                                <w:rFonts w:hint="eastAsia"/>
                                <w:b/>
                                <w:bCs/>
                                <w:color w:val="FF0000"/>
                              </w:rPr>
                              <w:t>吴湾小学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85pt;margin-top:183.2pt;height:28.55pt;width:60.05pt;z-index:-251736064;mso-width-relative:page;mso-height-relative:page;" filled="f" stroked="f" coordsize="21600,21600" o:gfxdata="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AEj+73gAAAA0BAAAPAAAAAAAAAAEAIAAAACIAAABkcnMvZG93bnJldi54bWxQSwECFAAU&#10;AAAACACHTuJAE/D3CiQCAAAnBAAADgAAAAAAAAABACAAAAAtAQAAZHJzL2Uyb0RvYy54bWxQSwUG&#10;AAAAAAYABgBZAQAAwwUAAAAA&#10;">
                <v:fill on="f" focussize="0,0"/>
                <v:stroke on="f" weight="0.5pt"/>
                <v:imagedata o:title=""/>
                <o:lock v:ext="edit" aspectratio="f"/>
                <v:textbox>
                  <w:txbxContent>
                    <w:p>
                      <w:pPr>
                        <w:rPr>
                          <w:b/>
                          <w:bCs/>
                          <w:color w:val="FF0000"/>
                        </w:rPr>
                      </w:pPr>
                      <w:r>
                        <w:rPr>
                          <w:rFonts w:hint="eastAsia"/>
                          <w:b/>
                          <w:bCs/>
                          <w:color w:val="FF0000"/>
                        </w:rPr>
                        <w:t>吴湾小学</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-4106545</wp:posOffset>
                </wp:positionH>
                <wp:positionV relativeFrom="paragraph">
                  <wp:posOffset>1488440</wp:posOffset>
                </wp:positionV>
                <wp:extent cx="657860" cy="581025"/>
                <wp:effectExtent l="0" t="0" r="0" b="0"/>
                <wp:wrapNone/>
                <wp:docPr id="69" name="文本框 65"/>
                <wp:cNvGraphicFramePr/>
                <a:graphic xmlns:a="http://schemas.openxmlformats.org/drawingml/2006/main">
                  <a:graphicData uri="http://schemas.microsoft.com/office/word/2010/wordprocessingShape">
                    <wps:wsp>
                      <wps:cNvSpPr txBox="1"/>
                      <wps:spPr>
                        <a:xfrm>
                          <a:off x="0" y="0"/>
                          <a:ext cx="657860" cy="581025"/>
                        </a:xfrm>
                        <a:prstGeom prst="rect">
                          <a:avLst/>
                        </a:prstGeom>
                        <a:noFill/>
                        <a:ln w="6350">
                          <a:noFill/>
                        </a:ln>
                        <a:effectLst/>
                      </wps:spPr>
                      <wps:txbx>
                        <w:txbxContent>
                          <w:p>
                            <w:pPr>
                              <w:rPr>
                                <w:b/>
                                <w:bCs/>
                                <w:color w:val="FF0000"/>
                              </w:rPr>
                            </w:pPr>
                            <w:r>
                              <w:rPr>
                                <w:rFonts w:hint="eastAsia"/>
                                <w:b/>
                                <w:bCs/>
                                <w:color w:val="FF0000"/>
                              </w:rPr>
                              <w:t>吴湾村居民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6" o:spt="202" type="#_x0000_t202" style="position:absolute;left:0pt;margin-left:-323.35pt;margin-top:117.2pt;height:45.75pt;width:51.8pt;z-index:251695104;mso-width-relative:page;mso-height-relative:page;" filled="f" stroked="f" coordsize="21600,21600" o:gfxdata="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b5YEt0AAAANAQAADwAAAAAAAAABACAAAAAiAAAAZHJzL2Rvd25yZXYueG1sUEsBAhQA&#10;FAAAAAgAh07iQGehNe0mAgAAJwQAAA4AAAAAAAAAAQAgAAAALAEAAGRycy9lMm9Eb2MueG1sUEsF&#10;BgAAAAAGAAYAWQEAAMQFAAAAAA==&#10;">
                <v:fill on="f" focussize="0,0"/>
                <v:stroke on="f" weight="0.5pt"/>
                <v:imagedata o:title=""/>
                <o:lock v:ext="edit" aspectratio="f"/>
                <v:textbox>
                  <w:txbxContent>
                    <w:p>
                      <w:pPr>
                        <w:rPr>
                          <w:b/>
                          <w:bCs/>
                          <w:color w:val="FF0000"/>
                        </w:rPr>
                      </w:pPr>
                      <w:r>
                        <w:rPr>
                          <w:rFonts w:hint="eastAsia"/>
                          <w:b/>
                          <w:bCs/>
                          <w:color w:val="FF0000"/>
                        </w:rPr>
                        <w:t>吴湾村居民</w:t>
                      </w:r>
                    </w:p>
                  </w:txbxContent>
                </v:textbox>
              </v:shape>
            </w:pict>
          </mc:Fallback>
        </mc:AlternateContent>
      </w:r>
    </w:p>
    <w:p>
      <w:pPr>
        <w:pStyle w:val="5"/>
        <w:rPr>
          <w:sz w:val="24"/>
          <w:szCs w:val="24"/>
        </w:rPr>
      </w:pPr>
      <w:bookmarkStart w:id="141" w:name="_Toc532395289"/>
      <w:r>
        <w:rPr>
          <w:sz w:val="24"/>
          <w:szCs w:val="24"/>
        </w:rPr>
        <w:t>1.1</w:t>
      </w:r>
      <w:r>
        <w:rPr>
          <w:rFonts w:hint="eastAsia"/>
          <w:sz w:val="24"/>
          <w:szCs w:val="24"/>
        </w:rPr>
        <w:t>2</w:t>
      </w:r>
      <w:r>
        <w:rPr>
          <w:sz w:val="24"/>
          <w:szCs w:val="24"/>
        </w:rPr>
        <w:t>.2 评价重点</w:t>
      </w:r>
      <w:bookmarkEnd w:id="141"/>
    </w:p>
    <w:p>
      <w:pPr>
        <w:ind w:firstLine="480" w:firstLineChars="200"/>
        <w:rPr>
          <w:sz w:val="24"/>
          <w:szCs w:val="24"/>
        </w:rPr>
      </w:pPr>
      <w:r>
        <w:rPr>
          <w:sz w:val="24"/>
          <w:szCs w:val="24"/>
        </w:rPr>
        <w:t>本次评价将在工程分析的基础上，选用导则中推荐的有关模式和计算方法评价项目对建设地区环境空气、地表水、噪声等环境要素产生的影响范围和程度，提出污染物控制措施，评述工程环境保护设施的实用性和可靠性。因此，确定本次评价的重点为：</w:t>
      </w:r>
      <w:bookmarkStart w:id="142" w:name="_Toc532395290"/>
    </w:p>
    <w:p>
      <w:pPr>
        <w:ind w:firstLine="480" w:firstLineChars="200"/>
        <w:rPr>
          <w:sz w:val="24"/>
          <w:szCs w:val="24"/>
        </w:rPr>
      </w:pPr>
      <w:r>
        <w:rPr>
          <w:sz w:val="24"/>
          <w:szCs w:val="24"/>
        </w:rPr>
        <w:t>（1）项目选址、规模、性质和工艺路线等与国家和地方相关环保法规、政策、规划的符合性分析</w:t>
      </w:r>
      <w:r>
        <w:rPr>
          <w:rFonts w:hint="eastAsia"/>
          <w:sz w:val="24"/>
          <w:szCs w:val="24"/>
        </w:rPr>
        <w:t>；</w:t>
      </w:r>
    </w:p>
    <w:p>
      <w:pPr>
        <w:pStyle w:val="5"/>
        <w:ind w:firstLine="480" w:firstLineChars="200"/>
        <w:rPr>
          <w:b w:val="0"/>
          <w:bCs w:val="0"/>
          <w:sz w:val="24"/>
          <w:szCs w:val="24"/>
        </w:rPr>
      </w:pPr>
      <w:r>
        <w:rPr>
          <w:b w:val="0"/>
          <w:bCs w:val="0"/>
          <w:sz w:val="24"/>
          <w:szCs w:val="24"/>
        </w:rPr>
        <w:t>（2）工程产污及污染源强核算；</w:t>
      </w:r>
    </w:p>
    <w:p>
      <w:pPr>
        <w:pStyle w:val="5"/>
        <w:ind w:firstLine="480" w:firstLineChars="200"/>
        <w:rPr>
          <w:b w:val="0"/>
          <w:bCs w:val="0"/>
          <w:sz w:val="24"/>
          <w:szCs w:val="24"/>
        </w:rPr>
      </w:pPr>
      <w:r>
        <w:rPr>
          <w:b w:val="0"/>
          <w:bCs w:val="0"/>
          <w:sz w:val="24"/>
          <w:szCs w:val="24"/>
        </w:rPr>
        <w:t>（3）环境保护措施及其可行性论证；</w:t>
      </w:r>
    </w:p>
    <w:p>
      <w:pPr>
        <w:pStyle w:val="5"/>
        <w:ind w:firstLine="480" w:firstLineChars="200"/>
        <w:rPr>
          <w:b w:val="0"/>
          <w:bCs w:val="0"/>
          <w:sz w:val="24"/>
          <w:szCs w:val="24"/>
        </w:rPr>
      </w:pPr>
      <w:r>
        <w:rPr>
          <w:b w:val="0"/>
          <w:bCs w:val="0"/>
          <w:sz w:val="24"/>
          <w:szCs w:val="24"/>
        </w:rPr>
        <w:t>（4）项目环境管理要求及监测计划的制定。</w:t>
      </w:r>
    </w:p>
    <w:p>
      <w:pPr>
        <w:pStyle w:val="5"/>
        <w:rPr>
          <w:sz w:val="24"/>
          <w:szCs w:val="24"/>
        </w:rPr>
      </w:pPr>
      <w:r>
        <w:rPr>
          <w:sz w:val="24"/>
          <w:szCs w:val="24"/>
        </w:rPr>
        <w:t>1.1</w:t>
      </w:r>
      <w:r>
        <w:rPr>
          <w:rFonts w:hint="eastAsia"/>
          <w:sz w:val="24"/>
          <w:szCs w:val="24"/>
        </w:rPr>
        <w:t>2</w:t>
      </w:r>
      <w:r>
        <w:rPr>
          <w:sz w:val="24"/>
          <w:szCs w:val="24"/>
        </w:rPr>
        <w:t>.3评价时段</w:t>
      </w:r>
      <w:bookmarkEnd w:id="142"/>
    </w:p>
    <w:p>
      <w:pPr>
        <w:ind w:firstLine="480" w:firstLineChars="200"/>
        <w:rPr>
          <w:sz w:val="24"/>
          <w:szCs w:val="24"/>
        </w:rPr>
      </w:pPr>
      <w:r>
        <w:rPr>
          <w:sz w:val="24"/>
          <w:szCs w:val="24"/>
        </w:rPr>
        <w:t>评价时段涉及施工期和营运期。其中施工期周期较短，对环境影响较小，评价以营运期为主。</w:t>
      </w:r>
    </w:p>
    <w:p>
      <w:pPr>
        <w:spacing w:line="480" w:lineRule="exact"/>
        <w:ind w:firstLine="480" w:firstLineChars="200"/>
        <w:rPr>
          <w:sz w:val="24"/>
          <w:szCs w:val="24"/>
        </w:rPr>
        <w:sectPr>
          <w:pgSz w:w="11906" w:h="16838"/>
          <w:pgMar w:top="1440" w:right="1701" w:bottom="1440" w:left="1587" w:header="851" w:footer="737" w:gutter="0"/>
          <w:pgBorders>
            <w:top w:val="none" w:sz="0" w:space="0"/>
            <w:left w:val="none" w:sz="0" w:space="0"/>
            <w:bottom w:val="none" w:sz="0" w:space="0"/>
            <w:right w:val="none" w:sz="0" w:space="0"/>
          </w:pgBorders>
          <w:cols w:space="720" w:num="1"/>
          <w:docGrid w:linePitch="312" w:charSpace="0"/>
        </w:sectPr>
      </w:pPr>
    </w:p>
    <w:p>
      <w:pPr>
        <w:pStyle w:val="5"/>
        <w:spacing w:line="480" w:lineRule="exact"/>
        <w:rPr>
          <w:sz w:val="24"/>
          <w:szCs w:val="24"/>
        </w:rPr>
      </w:pPr>
      <w:bookmarkStart w:id="143" w:name="_Toc532395291"/>
      <w:r>
        <w:rPr>
          <w:sz w:val="24"/>
          <w:szCs w:val="24"/>
        </w:rPr>
        <w:t>1.1</w:t>
      </w:r>
      <w:r>
        <w:rPr>
          <w:rFonts w:hint="eastAsia"/>
          <w:sz w:val="24"/>
          <w:szCs w:val="24"/>
        </w:rPr>
        <w:t>2</w:t>
      </w:r>
      <w:r>
        <w:rPr>
          <w:sz w:val="24"/>
          <w:szCs w:val="24"/>
        </w:rPr>
        <w:t>.4 评价技术路线</w:t>
      </w:r>
      <w:bookmarkEnd w:id="143"/>
    </w:p>
    <w:p>
      <w:pPr>
        <w:spacing w:line="480" w:lineRule="exact"/>
        <w:ind w:firstLine="360" w:firstLineChars="150"/>
        <w:rPr>
          <w:sz w:val="24"/>
          <w:szCs w:val="24"/>
        </w:rPr>
      </w:pPr>
      <w:r>
        <w:rPr>
          <w:sz w:val="24"/>
          <w:szCs w:val="24"/>
        </w:rPr>
        <w:t>本次环境影响评价工作技术路线见图1.1</w:t>
      </w:r>
      <w:r>
        <w:rPr>
          <w:rFonts w:hint="eastAsia"/>
          <w:sz w:val="24"/>
          <w:szCs w:val="24"/>
        </w:rPr>
        <w:t>2</w:t>
      </w:r>
      <w:r>
        <w:rPr>
          <w:sz w:val="24"/>
          <w:szCs w:val="24"/>
        </w:rPr>
        <w:t>-</w:t>
      </w:r>
      <w:r>
        <w:rPr>
          <w:rFonts w:hint="eastAsia"/>
          <w:sz w:val="24"/>
          <w:szCs w:val="24"/>
          <w:lang w:val="en-US" w:eastAsia="zh-CN"/>
        </w:rPr>
        <w:t>3</w:t>
      </w:r>
      <w:r>
        <w:rPr>
          <w:sz w:val="24"/>
          <w:szCs w:val="24"/>
        </w:rPr>
        <w:t>。</w:t>
      </w:r>
    </w:p>
    <w:p>
      <w:pPr>
        <w:spacing w:line="440" w:lineRule="exact"/>
      </w:pPr>
      <w:r>
        <mc:AlternateContent>
          <mc:Choice Requires="wps">
            <w:drawing>
              <wp:anchor distT="0" distB="0" distL="114300" distR="114300" simplePos="0" relativeHeight="251610112" behindDoc="0" locked="0" layoutInCell="1" allowOverlap="1">
                <wp:simplePos x="0" y="0"/>
                <wp:positionH relativeFrom="column">
                  <wp:posOffset>1257300</wp:posOffset>
                </wp:positionH>
                <wp:positionV relativeFrom="paragraph">
                  <wp:posOffset>199390</wp:posOffset>
                </wp:positionV>
                <wp:extent cx="2971800" cy="297180"/>
                <wp:effectExtent l="4445" t="4445" r="14605" b="22225"/>
                <wp:wrapNone/>
                <wp:docPr id="3" name="文本框 4"/>
                <wp:cNvGraphicFramePr/>
                <a:graphic xmlns:a="http://schemas.openxmlformats.org/drawingml/2006/main">
                  <a:graphicData uri="http://schemas.microsoft.com/office/word/2010/wordprocessingShape">
                    <wps:wsp>
                      <wps:cNvSpPr txBox="1"/>
                      <wps:spPr>
                        <a:xfrm>
                          <a:off x="0" y="0"/>
                          <a:ext cx="29718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jc w:val="center"/>
                            </w:pPr>
                            <w:r>
                              <w:rPr>
                                <w:rFonts w:hint="eastAsia"/>
                              </w:rPr>
                              <w:t>依据相关规定确定环境影响评价文件类型</w:t>
                            </w:r>
                          </w:p>
                          <w:p>
                            <w:pPr>
                              <w:spacing w:line="240" w:lineRule="auto"/>
                            </w:pPr>
                          </w:p>
                        </w:txbxContent>
                      </wps:txbx>
                      <wps:bodyPr upright="1"/>
                    </wps:wsp>
                  </a:graphicData>
                </a:graphic>
              </wp:anchor>
            </w:drawing>
          </mc:Choice>
          <mc:Fallback>
            <w:pict>
              <v:shape id="文本框 4" o:spid="_x0000_s1026" o:spt="202" type="#_x0000_t202" style="position:absolute;left:0pt;margin-left:99pt;margin-top:15.7pt;height:23.4pt;width:234pt;z-index:251610112;mso-width-relative:page;mso-height-relative:page;" fillcolor="#FFFFFF" filled="t" stroked="t" coordsize="21600,21600" o:gfxdata="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GaMANgAAAAJAQAADwAAAAAAAAABACAAAAAiAAAAZHJzL2Rvd25yZXYueG1sUEsBAhQA&#10;FAAAAAgAh07iQI9pHAnyAQAA9gMAAA4AAAAAAAAAAQAgAAAAJwEAAGRycy9lMm9Eb2MueG1sUEsF&#10;BgAAAAAGAAYAWQEAAIsFAAAAAA==&#10;">
                <v:fill on="t" focussize="0,0"/>
                <v:stroke color="#000000" joinstyle="miter"/>
                <v:imagedata o:title=""/>
                <o:lock v:ext="edit" aspectratio="f"/>
                <v:textbox>
                  <w:txbxContent>
                    <w:p>
                      <w:pPr>
                        <w:spacing w:line="240" w:lineRule="auto"/>
                        <w:jc w:val="center"/>
                      </w:pPr>
                      <w:r>
                        <w:rPr>
                          <w:rFonts w:hint="eastAsia"/>
                        </w:rPr>
                        <w:t>依据相关规定确定环境影响评价文件类型</w:t>
                      </w:r>
                    </w:p>
                    <w:p>
                      <w:pPr>
                        <w:spacing w:line="240" w:lineRule="auto"/>
                      </w:pPr>
                    </w:p>
                  </w:txbxContent>
                </v:textbox>
              </v:shape>
            </w:pict>
          </mc:Fallback>
        </mc:AlternateContent>
      </w:r>
      <w:r>
        <mc:AlternateContent>
          <mc:Choice Requires="wps">
            <w:drawing>
              <wp:anchor distT="0" distB="0" distL="114300" distR="114300" simplePos="0" relativeHeight="251629568" behindDoc="0" locked="0" layoutInCell="1" allowOverlap="1">
                <wp:simplePos x="0" y="0"/>
                <wp:positionH relativeFrom="column">
                  <wp:posOffset>0</wp:posOffset>
                </wp:positionH>
                <wp:positionV relativeFrom="paragraph">
                  <wp:posOffset>81915</wp:posOffset>
                </wp:positionV>
                <wp:extent cx="5600700" cy="7644765"/>
                <wp:effectExtent l="6350" t="6350" r="12700" b="6985"/>
                <wp:wrapNone/>
                <wp:docPr id="17" name="矩形 17"/>
                <wp:cNvGraphicFramePr/>
                <a:graphic xmlns:a="http://schemas.openxmlformats.org/drawingml/2006/main">
                  <a:graphicData uri="http://schemas.microsoft.com/office/word/2010/wordprocessingShape">
                    <wps:wsp>
                      <wps:cNvSpPr/>
                      <wps:spPr>
                        <a:xfrm>
                          <a:off x="0" y="0"/>
                          <a:ext cx="5600700" cy="7644765"/>
                        </a:xfrm>
                        <a:prstGeom prst="rect">
                          <a:avLst/>
                        </a:prstGeom>
                        <a:noFill/>
                        <a:ln w="12700" cap="flat" cmpd="sng">
                          <a:solidFill>
                            <a:srgbClr val="000000"/>
                          </a:solidFill>
                          <a:prstDash val="sysDot"/>
                          <a:miter/>
                          <a:headEnd type="none" w="med" len="med"/>
                          <a:tailEnd type="none" w="med" len="med"/>
                        </a:ln>
                        <a:effectLst/>
                      </wps:spPr>
                      <wps:bodyPr upright="1"/>
                    </wps:wsp>
                  </a:graphicData>
                </a:graphic>
              </wp:anchor>
            </w:drawing>
          </mc:Choice>
          <mc:Fallback>
            <w:pict>
              <v:rect id="_x0000_s1026" o:spid="_x0000_s1026" o:spt="1" style="position:absolute;left:0pt;margin-left:0pt;margin-top:6.45pt;height:601.95pt;width:441pt;z-index:251629568;mso-width-relative:page;mso-height-relative:page;" filled="f" stroked="t" coordsize="21600,21600" o:gfxdata="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25LQrYAAAA&#10;CAEAAA8AAAAAAAAAAQAgAAAAIgAAAGRycy9kb3ducmV2LnhtbFBLAQIUABQAAAAIAIdO4kBZHBnl&#10;5AEAALoDAAAOAAAAAAAAAAEAIAAAACcBAABkcnMvZTJvRG9jLnhtbFBLBQYAAAAABgAGAFkBAAB9&#10;BQAAAAA=&#10;">
                <v:fill on="f" focussize="0,0"/>
                <v:stroke weight="1pt" color="#000000" joinstyle="miter" dashstyle="1 1"/>
                <v:imagedata o:title=""/>
                <o:lock v:ext="edit" aspectratio="f"/>
              </v:rect>
            </w:pict>
          </mc:Fallback>
        </mc:AlternateContent>
      </w:r>
    </w:p>
    <w:p>
      <w:pPr>
        <w:spacing w:line="440" w:lineRule="exact"/>
      </w:pPr>
      <w:r>
        <mc:AlternateContent>
          <mc:Choice Requires="wps">
            <w:drawing>
              <wp:anchor distT="0" distB="0" distL="114300" distR="114300" simplePos="0" relativeHeight="251633664" behindDoc="0" locked="0" layoutInCell="1" allowOverlap="1">
                <wp:simplePos x="0" y="0"/>
                <wp:positionH relativeFrom="column">
                  <wp:posOffset>2743200</wp:posOffset>
                </wp:positionH>
                <wp:positionV relativeFrom="paragraph">
                  <wp:posOffset>217170</wp:posOffset>
                </wp:positionV>
                <wp:extent cx="0" cy="443865"/>
                <wp:effectExtent l="38100" t="0" r="38100" b="13335"/>
                <wp:wrapNone/>
                <wp:docPr id="30" name="直接连接符 2"/>
                <wp:cNvGraphicFramePr/>
                <a:graphic xmlns:a="http://schemas.openxmlformats.org/drawingml/2006/main">
                  <a:graphicData uri="http://schemas.microsoft.com/office/word/2010/wordprocessingShape">
                    <wps:wsp>
                      <wps:cNvCnPr/>
                      <wps:spPr>
                        <a:xfrm flipH="1">
                          <a:off x="0" y="0"/>
                          <a:ext cx="0" cy="44386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接连接符 2" o:spid="_x0000_s1026" o:spt="20" style="position:absolute;left:0pt;flip:x;margin-left:216pt;margin-top:17.1pt;height:34.95pt;width:0pt;z-index:251633664;mso-width-relative:page;mso-height-relative:page;" filled="f" stroked="t" coordsize="21600,21600" o:gfxdata="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jjzPfYAAAA&#10;CgEAAA8AAAAAAAAAAQAgAAAAIgAAAGRycy9kb3ducmV2LnhtbFBLAQIUABQAAAAIAIdO4kAHfn50&#10;5AEAAKYDAAAOAAAAAAAAAAEAIAAAACcBAABkcnMvZTJvRG9jLnhtbFBLBQYAAAAABgAGAFkBAAB9&#10;BQAAAAA=&#10;">
                <v:fill on="f" focussize="0,0"/>
                <v:stroke color="#000000" joinstyle="round" endarrow="block"/>
                <v:imagedata o:title=""/>
                <o:lock v:ext="edit" aspectratio="f"/>
              </v:line>
            </w:pict>
          </mc:Fallback>
        </mc:AlternateContent>
      </w:r>
    </w:p>
    <w:p>
      <w:pPr>
        <w:spacing w:line="440" w:lineRule="exact"/>
      </w:pPr>
    </w:p>
    <w:p>
      <w:pPr>
        <w:spacing w:line="440" w:lineRule="exact"/>
      </w:pPr>
      <w:r>
        <mc:AlternateContent>
          <mc:Choice Requires="wps">
            <w:drawing>
              <wp:anchor distT="0" distB="0" distL="114300" distR="114300" simplePos="0" relativeHeight="251611136" behindDoc="0" locked="0" layoutInCell="1" allowOverlap="1">
                <wp:simplePos x="0" y="0"/>
                <wp:positionH relativeFrom="column">
                  <wp:posOffset>1403350</wp:posOffset>
                </wp:positionH>
                <wp:positionV relativeFrom="paragraph">
                  <wp:posOffset>102870</wp:posOffset>
                </wp:positionV>
                <wp:extent cx="2673350" cy="751840"/>
                <wp:effectExtent l="4445" t="4445" r="8255" b="5715"/>
                <wp:wrapNone/>
                <wp:docPr id="25" name="文本框 25"/>
                <wp:cNvGraphicFramePr/>
                <a:graphic xmlns:a="http://schemas.openxmlformats.org/drawingml/2006/main">
                  <a:graphicData uri="http://schemas.microsoft.com/office/word/2010/wordprocessingShape">
                    <wps:wsp>
                      <wps:cNvSpPr txBox="1"/>
                      <wps:spPr>
                        <a:xfrm>
                          <a:off x="0" y="0"/>
                          <a:ext cx="2673350" cy="751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pPr>
                            <w:r>
                              <w:rPr>
                                <w:rFonts w:hint="eastAsia"/>
                              </w:rPr>
                              <w:t>1 研究相关技术文件和其他有关文件</w:t>
                            </w:r>
                          </w:p>
                          <w:p>
                            <w:pPr>
                              <w:spacing w:line="240" w:lineRule="auto"/>
                            </w:pPr>
                            <w:r>
                              <w:rPr>
                                <w:rFonts w:hint="eastAsia"/>
                              </w:rPr>
                              <w:t>2 进行初步工程分析</w:t>
                            </w:r>
                          </w:p>
                          <w:p>
                            <w:pPr>
                              <w:spacing w:line="240" w:lineRule="auto"/>
                            </w:pPr>
                            <w:r>
                              <w:rPr>
                                <w:rFonts w:hint="eastAsia"/>
                              </w:rPr>
                              <w:t>3 开展初步的环境现状调查</w:t>
                            </w:r>
                          </w:p>
                        </w:txbxContent>
                      </wps:txbx>
                      <wps:bodyPr upright="1"/>
                    </wps:wsp>
                  </a:graphicData>
                </a:graphic>
              </wp:anchor>
            </w:drawing>
          </mc:Choice>
          <mc:Fallback>
            <w:pict>
              <v:shape id="_x0000_s1026" o:spid="_x0000_s1026" o:spt="202" type="#_x0000_t202" style="position:absolute;left:0pt;margin-left:110.5pt;margin-top:8.1pt;height:59.2pt;width:210.5pt;z-index:251611136;mso-width-relative:page;mso-height-relative:page;" fillcolor="#FFFFFF" filled="t" stroked="t" coordsize="21600,21600" o:gfxdata="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ULXrDYAAAACgEAAA8AAAAAAAAAAQAgAAAAIgAAAGRycy9kb3ducmV2Lnht&#10;bFBLAQIUABQAAAAIAIdO4kC88KLr+QEAAPgDAAAOAAAAAAAAAAEAIAAAACcBAABkcnMvZTJvRG9j&#10;LnhtbFBLBQYAAAAABgAGAFkBAACSBQAAAAA=&#10;">
                <v:fill on="t" focussize="0,0"/>
                <v:stroke color="#000000" joinstyle="miter"/>
                <v:imagedata o:title=""/>
                <o:lock v:ext="edit" aspectratio="f"/>
                <v:textbox>
                  <w:txbxContent>
                    <w:p>
                      <w:pPr>
                        <w:spacing w:line="240" w:lineRule="auto"/>
                      </w:pPr>
                      <w:r>
                        <w:rPr>
                          <w:rFonts w:hint="eastAsia"/>
                        </w:rPr>
                        <w:t>1 研究相关技术文件和其他有关文件</w:t>
                      </w:r>
                    </w:p>
                    <w:p>
                      <w:pPr>
                        <w:spacing w:line="240" w:lineRule="auto"/>
                      </w:pPr>
                      <w:r>
                        <w:rPr>
                          <w:rFonts w:hint="eastAsia"/>
                        </w:rPr>
                        <w:t>2 进行初步工程分析</w:t>
                      </w:r>
                    </w:p>
                    <w:p>
                      <w:pPr>
                        <w:spacing w:line="240" w:lineRule="auto"/>
                      </w:pPr>
                      <w:r>
                        <w:rPr>
                          <w:rFonts w:hint="eastAsia"/>
                        </w:rPr>
                        <w:t>3 开展初步的环境现状调查</w:t>
                      </w:r>
                    </w:p>
                  </w:txbxContent>
                </v:textbox>
              </v:shape>
            </w:pict>
          </mc:Fallback>
        </mc:AlternateContent>
      </w:r>
    </w:p>
    <w:p>
      <w:pPr>
        <w:spacing w:line="440" w:lineRule="exact"/>
      </w:pPr>
    </w:p>
    <w:p>
      <w:pPr>
        <w:spacing w:line="440" w:lineRule="exact"/>
      </w:pPr>
      <w:r>
        <mc:AlternateContent>
          <mc:Choice Requires="wps">
            <w:drawing>
              <wp:anchor distT="0" distB="0" distL="114300" distR="114300" simplePos="0" relativeHeight="251630592" behindDoc="0" locked="0" layoutInCell="1" allowOverlap="1">
                <wp:simplePos x="0" y="0"/>
                <wp:positionH relativeFrom="column">
                  <wp:posOffset>114300</wp:posOffset>
                </wp:positionH>
                <wp:positionV relativeFrom="paragraph">
                  <wp:posOffset>88900</wp:posOffset>
                </wp:positionV>
                <wp:extent cx="342900" cy="128778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42900" cy="1287780"/>
                        </a:xfrm>
                        <a:prstGeom prst="rect">
                          <a:avLst/>
                        </a:prstGeom>
                        <a:noFill/>
                        <a:ln w="9525">
                          <a:noFill/>
                        </a:ln>
                        <a:effectLst/>
                      </wps:spPr>
                      <wps:txbx>
                        <w:txbxContent>
                          <w:p>
                            <w:pPr>
                              <w:jc w:val="center"/>
                            </w:pPr>
                            <w:r>
                              <w:rPr>
                                <w:rFonts w:hint="eastAsia"/>
                              </w:rPr>
                              <w:t>第一阶段</w:t>
                            </w:r>
                          </w:p>
                        </w:txbxContent>
                      </wps:txbx>
                      <wps:bodyPr upright="1"/>
                    </wps:wsp>
                  </a:graphicData>
                </a:graphic>
              </wp:anchor>
            </w:drawing>
          </mc:Choice>
          <mc:Fallback>
            <w:pict>
              <v:shape id="_x0000_s1026" o:spid="_x0000_s1026" o:spt="202" type="#_x0000_t202" style="position:absolute;left:0pt;margin-left:9pt;margin-top:7pt;height:101.4pt;width:27pt;z-index:251630592;mso-width-relative:page;mso-height-relative:page;" filled="f" stroked="f" coordsize="21600,21600" o:gfxdata="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d4/ZHUAAAACAEAAA8AAAAAAAAAAQAg&#10;AAAAIgAAAGRycy9kb3ducmV2LnhtbFBLAQIUABQAAAAIAIdO4kBJ5VADoAEAABkDAAAOAAAAAAAA&#10;AAEAIAAAACMBAABkcnMvZTJvRG9jLnhtbFBLBQYAAAAABgAGAFkBAAA1BQAAAAA=&#10;">
                <v:fill on="f" focussize="0,0"/>
                <v:stroke on="f"/>
                <v:imagedata o:title=""/>
                <o:lock v:ext="edit" aspectratio="f"/>
                <v:textbox>
                  <w:txbxContent>
                    <w:p>
                      <w:pPr>
                        <w:jc w:val="center"/>
                      </w:pPr>
                      <w:r>
                        <w:rPr>
                          <w:rFonts w:hint="eastAsia"/>
                        </w:rPr>
                        <w:t>第一阶段</w:t>
                      </w:r>
                    </w:p>
                  </w:txbxContent>
                </v:textbox>
              </v:shape>
            </w:pict>
          </mc:Fallback>
        </mc:AlternateContent>
      </w:r>
    </w:p>
    <w:p>
      <w:pPr>
        <w:spacing w:line="440" w:lineRule="exact"/>
      </w:pPr>
      <w:r>
        <mc:AlternateContent>
          <mc:Choice Requires="wps">
            <w:drawing>
              <wp:anchor distT="0" distB="0" distL="114300" distR="114300" simplePos="0" relativeHeight="251634688" behindDoc="0" locked="0" layoutInCell="1" allowOverlap="1">
                <wp:simplePos x="0" y="0"/>
                <wp:positionH relativeFrom="column">
                  <wp:posOffset>2743200</wp:posOffset>
                </wp:positionH>
                <wp:positionV relativeFrom="paragraph">
                  <wp:posOffset>14605</wp:posOffset>
                </wp:positionV>
                <wp:extent cx="0" cy="443865"/>
                <wp:effectExtent l="38100" t="0" r="38100" b="13335"/>
                <wp:wrapNone/>
                <wp:docPr id="35" name="直接连接符 7"/>
                <wp:cNvGraphicFramePr/>
                <a:graphic xmlns:a="http://schemas.openxmlformats.org/drawingml/2006/main">
                  <a:graphicData uri="http://schemas.microsoft.com/office/word/2010/wordprocessingShape">
                    <wps:wsp>
                      <wps:cNvCnPr/>
                      <wps:spPr>
                        <a:xfrm flipH="1">
                          <a:off x="0" y="0"/>
                          <a:ext cx="0" cy="44386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接连接符 7" o:spid="_x0000_s1026" o:spt="20" style="position:absolute;left:0pt;flip:x;margin-left:216pt;margin-top:1.15pt;height:34.95pt;width:0pt;z-index:251634688;mso-width-relative:page;mso-height-relative:page;" filled="f" stroked="t" coordsize="21600,21600" o:gfxdata="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5EaMdcAAAAI&#10;AQAADwAAAAAAAAABACAAAAAiAAAAZHJzL2Rvd25yZXYueG1sUEsBAhQAFAAAAAgAh07iQD/g6PLk&#10;AQAApgMAAA4AAAAAAAAAAQAgAAAAJgEAAGRycy9lMm9Eb2MueG1sUEsFBgAAAAAGAAYAWQEAAHwF&#10;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08064" behindDoc="1" locked="0" layoutInCell="1" allowOverlap="1">
                <wp:simplePos x="0" y="0"/>
                <wp:positionH relativeFrom="column">
                  <wp:posOffset>0</wp:posOffset>
                </wp:positionH>
                <wp:positionV relativeFrom="paragraph">
                  <wp:posOffset>2068195</wp:posOffset>
                </wp:positionV>
                <wp:extent cx="5600700" cy="0"/>
                <wp:effectExtent l="0" t="0" r="0" b="0"/>
                <wp:wrapNone/>
                <wp:docPr id="24" name="直接连接符 24"/>
                <wp:cNvGraphicFramePr/>
                <a:graphic xmlns:a="http://schemas.openxmlformats.org/drawingml/2006/main">
                  <a:graphicData uri="http://schemas.microsoft.com/office/word/2010/wordprocessingShape">
                    <wps:wsp>
                      <wps:cNvCnPr/>
                      <wps:spPr>
                        <a:xfrm>
                          <a:off x="0" y="0"/>
                          <a:ext cx="5600700" cy="0"/>
                        </a:xfrm>
                        <a:prstGeom prst="line">
                          <a:avLst/>
                        </a:prstGeom>
                        <a:ln w="12700" cap="flat" cmpd="sng">
                          <a:solidFill>
                            <a:srgbClr val="000000"/>
                          </a:solidFill>
                          <a:prstDash val="sysDot"/>
                          <a:headEnd type="none" w="med" len="med"/>
                          <a:tailEnd type="none" w="med" len="med"/>
                        </a:ln>
                        <a:effectLst/>
                      </wps:spPr>
                      <wps:bodyPr/>
                    </wps:wsp>
                  </a:graphicData>
                </a:graphic>
              </wp:anchor>
            </w:drawing>
          </mc:Choice>
          <mc:Fallback>
            <w:pict>
              <v:line id="_x0000_s1026" o:spid="_x0000_s1026" o:spt="20" style="position:absolute;left:0pt;margin-left:0pt;margin-top:162.85pt;height:0pt;width:441pt;z-index:-251708416;mso-width-relative:page;mso-height-relative:page;" filled="f" stroked="t" coordsize="21600,21600" o:gfxdata="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Wciy7VAAAACAEAAA8AAAAAAAAAAQAg&#10;AAAAIgAAAGRycy9kb3ducmV2LnhtbFBLAQIUABQAAAAIAIdO4kA/aC+Y2AEAAJwDAAAOAAAAAAAA&#10;AAEAIAAAACQBAABkcnMvZTJvRG9jLnhtbFBLBQYAAAAABgAGAFkBAABuBQAAAAA=&#10;">
                <v:fill on="f" focussize="0,0"/>
                <v:stroke weight="1pt" color="#000000" joinstyle="round" dashstyle="1 1"/>
                <v:imagedata o:title=""/>
                <o:lock v:ext="edit" aspectratio="f"/>
              </v:line>
            </w:pict>
          </mc:Fallback>
        </mc:AlternateContent>
      </w:r>
    </w:p>
    <w:p>
      <w:pPr>
        <w:spacing w:line="440" w:lineRule="exact"/>
      </w:pPr>
      <w:r>
        <mc:AlternateContent>
          <mc:Choice Requires="wps">
            <w:drawing>
              <wp:anchor distT="0" distB="0" distL="114300" distR="114300" simplePos="0" relativeHeight="251612160" behindDoc="0" locked="0" layoutInCell="1" allowOverlap="1">
                <wp:simplePos x="0" y="0"/>
                <wp:positionH relativeFrom="column">
                  <wp:posOffset>1295400</wp:posOffset>
                </wp:positionH>
                <wp:positionV relativeFrom="paragraph">
                  <wp:posOffset>175260</wp:posOffset>
                </wp:positionV>
                <wp:extent cx="2895600" cy="693420"/>
                <wp:effectExtent l="4445" t="4445" r="14605" b="6985"/>
                <wp:wrapNone/>
                <wp:docPr id="27" name="文本框 27"/>
                <wp:cNvGraphicFramePr/>
                <a:graphic xmlns:a="http://schemas.openxmlformats.org/drawingml/2006/main">
                  <a:graphicData uri="http://schemas.microsoft.com/office/word/2010/wordprocessingShape">
                    <wps:wsp>
                      <wps:cNvSpPr txBox="1"/>
                      <wps:spPr>
                        <a:xfrm>
                          <a:off x="0" y="0"/>
                          <a:ext cx="2895600" cy="6934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pPr>
                            <w:r>
                              <w:rPr>
                                <w:rFonts w:hint="eastAsia"/>
                              </w:rPr>
                              <w:t>1 环境影响识别和评价因子筛选</w:t>
                            </w:r>
                          </w:p>
                          <w:p>
                            <w:pPr>
                              <w:spacing w:line="240" w:lineRule="auto"/>
                            </w:pPr>
                            <w:r>
                              <w:rPr>
                                <w:rFonts w:hint="eastAsia"/>
                              </w:rPr>
                              <w:t>2 明确评价重点和环境保护目标</w:t>
                            </w:r>
                          </w:p>
                          <w:p>
                            <w:pPr>
                              <w:spacing w:line="240" w:lineRule="auto"/>
                            </w:pPr>
                            <w:r>
                              <w:rPr>
                                <w:rFonts w:hint="eastAsia"/>
                              </w:rPr>
                              <w:t>3 确定工作等级、评价范围和评价标准</w:t>
                            </w:r>
                          </w:p>
                        </w:txbxContent>
                      </wps:txbx>
                      <wps:bodyPr upright="1"/>
                    </wps:wsp>
                  </a:graphicData>
                </a:graphic>
              </wp:anchor>
            </w:drawing>
          </mc:Choice>
          <mc:Fallback>
            <w:pict>
              <v:shape id="_x0000_s1026" o:spid="_x0000_s1026" o:spt="202" type="#_x0000_t202" style="position:absolute;left:0pt;margin-left:102pt;margin-top:13.8pt;height:54.6pt;width:228pt;z-index:251612160;mso-width-relative:page;mso-height-relative:page;" fillcolor="#FFFFFF" filled="t" stroked="t" coordsize="21600,21600" o:gfxdata="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VTQ/p2AAAAAoBAAAPAAAAAAAAAAEAIAAAACIAAABkcnMvZG93bnJldi54&#10;bWxQSwECFAAUAAAACACHTuJAVETsrfoBAAD4AwAADgAAAAAAAAABACAAAAAnAQAAZHJzL2Uyb0Rv&#10;Yy54bWxQSwUGAAAAAAYABgBZAQAAkwUAAAAA&#10;">
                <v:fill on="t" focussize="0,0"/>
                <v:stroke color="#000000" joinstyle="miter"/>
                <v:imagedata o:title=""/>
                <o:lock v:ext="edit" aspectratio="f"/>
                <v:textbox>
                  <w:txbxContent>
                    <w:p>
                      <w:pPr>
                        <w:spacing w:line="240" w:lineRule="auto"/>
                      </w:pPr>
                      <w:r>
                        <w:rPr>
                          <w:rFonts w:hint="eastAsia"/>
                        </w:rPr>
                        <w:t>1 环境影响识别和评价因子筛选</w:t>
                      </w:r>
                    </w:p>
                    <w:p>
                      <w:pPr>
                        <w:spacing w:line="240" w:lineRule="auto"/>
                      </w:pPr>
                      <w:r>
                        <w:rPr>
                          <w:rFonts w:hint="eastAsia"/>
                        </w:rPr>
                        <w:t>2 明确评价重点和环境保护目标</w:t>
                      </w:r>
                    </w:p>
                    <w:p>
                      <w:pPr>
                        <w:spacing w:line="240" w:lineRule="auto"/>
                      </w:pPr>
                      <w:r>
                        <w:rPr>
                          <w:rFonts w:hint="eastAsia"/>
                        </w:rPr>
                        <w:t>3 确定工作等级、评价范围和评价标准</w:t>
                      </w:r>
                    </w:p>
                  </w:txbxContent>
                </v:textbox>
              </v:shape>
            </w:pict>
          </mc:Fallback>
        </mc:AlternateContent>
      </w:r>
    </w:p>
    <w:p>
      <w:pPr>
        <w:spacing w:line="440" w:lineRule="exact"/>
      </w:pPr>
    </w:p>
    <w:p>
      <w:pPr>
        <w:spacing w:line="440" w:lineRule="exact"/>
      </w:pPr>
    </w:p>
    <w:p>
      <w:pPr>
        <w:spacing w:line="440" w:lineRule="exact"/>
      </w:pPr>
      <w:r>
        <mc:AlternateContent>
          <mc:Choice Requires="wps">
            <w:drawing>
              <wp:anchor distT="0" distB="0" distL="114300" distR="114300" simplePos="0" relativeHeight="251635712" behindDoc="0" locked="0" layoutInCell="1" allowOverlap="1">
                <wp:simplePos x="0" y="0"/>
                <wp:positionH relativeFrom="column">
                  <wp:posOffset>2743200</wp:posOffset>
                </wp:positionH>
                <wp:positionV relativeFrom="paragraph">
                  <wp:posOffset>28575</wp:posOffset>
                </wp:positionV>
                <wp:extent cx="0" cy="443865"/>
                <wp:effectExtent l="38100" t="0" r="38100" b="13335"/>
                <wp:wrapNone/>
                <wp:docPr id="45" name="直接连接符 6"/>
                <wp:cNvGraphicFramePr/>
                <a:graphic xmlns:a="http://schemas.openxmlformats.org/drawingml/2006/main">
                  <a:graphicData uri="http://schemas.microsoft.com/office/word/2010/wordprocessingShape">
                    <wps:wsp>
                      <wps:cNvCnPr/>
                      <wps:spPr>
                        <a:xfrm flipH="1">
                          <a:off x="0" y="0"/>
                          <a:ext cx="0" cy="44386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接连接符 6" o:spid="_x0000_s1026" o:spt="20" style="position:absolute;left:0pt;flip:x;margin-left:216pt;margin-top:2.25pt;height:34.95pt;width:0pt;z-index:251635712;mso-width-relative:page;mso-height-relative:page;" filled="f" stroked="t" coordsize="21600,21600" o:gfxdata="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ljudV1wAAAAgB&#10;AAAPAAAAAAAAAAEAIAAAACIAAABkcnMvZG93bnJldi54bWxQSwECFAAUAAAACACHTuJAsDJmU+MB&#10;AACmAwAADgAAAAAAAAABACAAAAAmAQAAZHJzL2Uyb0RvYy54bWxQSwUGAAAAAAYABgBZAQAAewUA&#10;AAAA&#10;">
                <v:fill on="f" focussize="0,0"/>
                <v:stroke color="#000000" joinstyle="round" endarrow="block"/>
                <v:imagedata o:title=""/>
                <o:lock v:ext="edit" aspectratio="f"/>
              </v:line>
            </w:pict>
          </mc:Fallback>
        </mc:AlternateContent>
      </w:r>
    </w:p>
    <w:p>
      <w:pPr>
        <w:spacing w:line="440" w:lineRule="exact"/>
      </w:pPr>
      <w:r>
        <mc:AlternateContent>
          <mc:Choice Requires="wps">
            <w:drawing>
              <wp:anchor distT="0" distB="0" distL="114300" distR="114300" simplePos="0" relativeHeight="251613184" behindDoc="0" locked="0" layoutInCell="1" allowOverlap="1">
                <wp:simplePos x="0" y="0"/>
                <wp:positionH relativeFrom="column">
                  <wp:posOffset>2016125</wp:posOffset>
                </wp:positionH>
                <wp:positionV relativeFrom="paragraph">
                  <wp:posOffset>191135</wp:posOffset>
                </wp:positionV>
                <wp:extent cx="1453515" cy="297180"/>
                <wp:effectExtent l="4445" t="4445" r="8890" b="22225"/>
                <wp:wrapNone/>
                <wp:docPr id="12" name="文本框 12"/>
                <wp:cNvGraphicFramePr/>
                <a:graphic xmlns:a="http://schemas.openxmlformats.org/drawingml/2006/main">
                  <a:graphicData uri="http://schemas.microsoft.com/office/word/2010/wordprocessingShape">
                    <wps:wsp>
                      <wps:cNvSpPr txBox="1"/>
                      <wps:spPr>
                        <a:xfrm>
                          <a:off x="0" y="0"/>
                          <a:ext cx="1453515"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制定工作方案</w:t>
                            </w:r>
                          </w:p>
                        </w:txbxContent>
                      </wps:txbx>
                      <wps:bodyPr upright="1"/>
                    </wps:wsp>
                  </a:graphicData>
                </a:graphic>
              </wp:anchor>
            </w:drawing>
          </mc:Choice>
          <mc:Fallback>
            <w:pict>
              <v:shape id="_x0000_s1026" o:spid="_x0000_s1026" o:spt="202" type="#_x0000_t202" style="position:absolute;left:0pt;margin-left:158.75pt;margin-top:15.05pt;height:23.4pt;width:114.45pt;z-index:251613184;mso-width-relative:page;mso-height-relative:page;" fillcolor="#FFFFFF" filled="t" stroked="t" coordsize="21600,21600" o:gfxdata="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xKjqXZAAAACQEAAA8AAAAAAAAAAQAgAAAAIgAAAGRycy9kb3ducmV2Lnht&#10;bFBLAQIUABQAAAAIAIdO4kALwCOE+AEAAPgDAAAOAAAAAAAAAAEAIAAAACgBAABkcnMvZTJvRG9j&#10;LnhtbFBLBQYAAAAABgAGAFkBAACSBQAAAAA=&#10;">
                <v:fill on="t" focussize="0,0"/>
                <v:stroke color="#000000" joinstyle="miter"/>
                <v:imagedata o:title=""/>
                <o:lock v:ext="edit" aspectratio="f"/>
                <v:textbox>
                  <w:txbxContent>
                    <w:p>
                      <w:pPr>
                        <w:jc w:val="center"/>
                      </w:pPr>
                      <w:r>
                        <w:rPr>
                          <w:rFonts w:hint="eastAsia"/>
                        </w:rPr>
                        <w:t>制定工作方案</w:t>
                      </w:r>
                    </w:p>
                  </w:txbxContent>
                </v:textbox>
              </v:shape>
            </w:pict>
          </mc:Fallback>
        </mc:AlternateContent>
      </w:r>
    </w:p>
    <w:p>
      <w:pPr>
        <w:spacing w:line="440" w:lineRule="exact"/>
      </w:pPr>
      <w:r>
        <mc:AlternateContent>
          <mc:Choice Requires="wps">
            <w:drawing>
              <wp:anchor distT="0" distB="0" distL="114300" distR="114300" simplePos="0" relativeHeight="251614208" behindDoc="0" locked="0" layoutInCell="1" allowOverlap="1">
                <wp:simplePos x="0" y="0"/>
                <wp:positionH relativeFrom="column">
                  <wp:posOffset>2743200</wp:posOffset>
                </wp:positionH>
                <wp:positionV relativeFrom="paragraph">
                  <wp:posOffset>214630</wp:posOffset>
                </wp:positionV>
                <wp:extent cx="0" cy="297180"/>
                <wp:effectExtent l="38100" t="0" r="38100" b="7620"/>
                <wp:wrapNone/>
                <wp:docPr id="26" name="直接连接符 26"/>
                <wp:cNvGraphicFramePr/>
                <a:graphic xmlns:a="http://schemas.openxmlformats.org/drawingml/2006/main">
                  <a:graphicData uri="http://schemas.microsoft.com/office/word/2010/wordprocessingShape">
                    <wps:wsp>
                      <wps:cNvCnPr/>
                      <wps:spPr>
                        <a:xfrm flipH="1">
                          <a:off x="0" y="0"/>
                          <a:ext cx="0"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216pt;margin-top:16.9pt;height:23.4pt;width:0pt;z-index:251614208;mso-width-relative:page;mso-height-relative:page;" filled="f" stroked="t" coordsize="21600,21600" o:gfxdata="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e3N0tgA&#10;AAAJAQAADwAAAAAAAAABACAAAAAiAAAAZHJzL2Rvd25yZXYueG1sUEsBAhQAFAAAAAgAh07iQGSz&#10;A1PmAQAApwMAAA4AAAAAAAAAAQAgAAAAJwEAAGRycy9lMm9Eb2MueG1sUEsFBgAAAAAGAAYAWQEA&#10;AH8FAAAAAA==&#10;">
                <v:fill on="f" focussize="0,0"/>
                <v:stroke color="#000000" joinstyle="round" endarrow="block"/>
                <v:imagedata o:title=""/>
                <o:lock v:ext="edit" aspectratio="f"/>
              </v:line>
            </w:pict>
          </mc:Fallback>
        </mc:AlternateContent>
      </w:r>
    </w:p>
    <w:p>
      <w:pPr>
        <w:spacing w:line="440" w:lineRule="exact"/>
      </w:pPr>
      <w:r>
        <mc:AlternateContent>
          <mc:Choice Requires="wps">
            <w:drawing>
              <wp:anchor distT="0" distB="0" distL="114300" distR="114300" simplePos="0" relativeHeight="251617280" behindDoc="0" locked="0" layoutInCell="1" allowOverlap="1">
                <wp:simplePos x="0" y="0"/>
                <wp:positionH relativeFrom="column">
                  <wp:posOffset>3771900</wp:posOffset>
                </wp:positionH>
                <wp:positionV relativeFrom="paragraph">
                  <wp:posOffset>231140</wp:posOffset>
                </wp:positionV>
                <wp:extent cx="635" cy="495300"/>
                <wp:effectExtent l="4445" t="0" r="13970" b="0"/>
                <wp:wrapNone/>
                <wp:docPr id="6" name="直接连接符 3"/>
                <wp:cNvGraphicFramePr/>
                <a:graphic xmlns:a="http://schemas.openxmlformats.org/drawingml/2006/main">
                  <a:graphicData uri="http://schemas.microsoft.com/office/word/2010/wordprocessingShape">
                    <wps:wsp>
                      <wps:cNvCnPr/>
                      <wps:spPr>
                        <a:xfrm flipV="1">
                          <a:off x="0" y="0"/>
                          <a:ext cx="635" cy="49530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3" o:spid="_x0000_s1026" o:spt="20" style="position:absolute;left:0pt;flip:y;margin-left:297pt;margin-top:18.2pt;height:39pt;width:0.05pt;z-index:251617280;mso-width-relative:page;mso-height-relative:page;" filled="f" stroked="t" coordsize="21600,21600" o:gfxdata="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laNnv1wAAAAoBAAAP&#10;AAAAAAAAAAEAIAAAACIAAABkcnMvZG93bnJldi54bWxQSwECFAAUAAAACACHTuJAmZK3x+ABAACj&#10;AwAADgAAAAAAAAABACAAAAAmAQAAZHJzL2Uyb0RvYy54bWxQSwUGAAAAAAYABgBZAQAAe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16256" behindDoc="0" locked="0" layoutInCell="1" allowOverlap="1">
                <wp:simplePos x="0" y="0"/>
                <wp:positionH relativeFrom="column">
                  <wp:posOffset>1714500</wp:posOffset>
                </wp:positionH>
                <wp:positionV relativeFrom="paragraph">
                  <wp:posOffset>231140</wp:posOffset>
                </wp:positionV>
                <wp:extent cx="635" cy="495300"/>
                <wp:effectExtent l="4445" t="0" r="13970" b="0"/>
                <wp:wrapNone/>
                <wp:docPr id="5" name="直接连接符 1"/>
                <wp:cNvGraphicFramePr/>
                <a:graphic xmlns:a="http://schemas.openxmlformats.org/drawingml/2006/main">
                  <a:graphicData uri="http://schemas.microsoft.com/office/word/2010/wordprocessingShape">
                    <wps:wsp>
                      <wps:cNvCnPr/>
                      <wps:spPr>
                        <a:xfrm flipV="1">
                          <a:off x="0" y="0"/>
                          <a:ext cx="635" cy="49530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 o:spid="_x0000_s1026" o:spt="20" style="position:absolute;left:0pt;flip:y;margin-left:135pt;margin-top:18.2pt;height:39pt;width:0.05pt;z-index:251616256;mso-width-relative:page;mso-height-relative:page;" filled="f" stroked="t" coordsize="21600,21600" o:gfxdata="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eQDvk1wAAAAoBAAAP&#10;AAAAAAAAAAEAIAAAACIAAABkcnMvZG93bnJldi54bWxQSwECFAAUAAAACACHTuJA1werauABAACj&#10;AwAADgAAAAAAAAABACAAAAAmAQAAZHJzL2Uyb0RvYy54bWxQSwUGAAAAAAYABgBZAQAAe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15232" behindDoc="0" locked="0" layoutInCell="1" allowOverlap="1">
                <wp:simplePos x="0" y="0"/>
                <wp:positionH relativeFrom="column">
                  <wp:posOffset>1714500</wp:posOffset>
                </wp:positionH>
                <wp:positionV relativeFrom="paragraph">
                  <wp:posOffset>231140</wp:posOffset>
                </wp:positionV>
                <wp:extent cx="2057400" cy="0"/>
                <wp:effectExtent l="0" t="0" r="0" b="0"/>
                <wp:wrapNone/>
                <wp:docPr id="22" name="直接连接符 22"/>
                <wp:cNvGraphicFramePr/>
                <a:graphic xmlns:a="http://schemas.openxmlformats.org/drawingml/2006/main">
                  <a:graphicData uri="http://schemas.microsoft.com/office/word/2010/wordprocessingShape">
                    <wps:wsp>
                      <wps:cNvCnPr/>
                      <wps:spPr>
                        <a:xfrm>
                          <a:off x="0" y="0"/>
                          <a:ext cx="20574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5pt;margin-top:18.2pt;height:0pt;width:162pt;z-index:251615232;mso-width-relative:page;mso-height-relative:page;" filled="f" stroked="t" coordsize="21600,21600" o:gfxdata="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9xDt1gAAAAkBAAAPAAAAAAAAAAEA&#10;IAAAACIAAABkcnMvZG93bnJldi54bWxQSwECFAAUAAAACACHTuJARwXKbNgBAACaAwAADgAAAAAA&#10;AAABACAAAAAlAQAAZHJzL2Uyb0RvYy54bWxQSwUGAAAAAAYABgBZAQAAbwUAAAAA&#10;">
                <v:fill on="f" focussize="0,0"/>
                <v:stroke color="#000000" joinstyle="round"/>
                <v:imagedata o:title=""/>
                <o:lock v:ext="edit" aspectratio="f"/>
              </v:line>
            </w:pict>
          </mc:Fallback>
        </mc:AlternateContent>
      </w:r>
    </w:p>
    <w:p>
      <w:pPr>
        <w:spacing w:line="440" w:lineRule="exact"/>
      </w:pPr>
    </w:p>
    <w:p>
      <w:pPr>
        <w:spacing w:line="440" w:lineRule="exact"/>
      </w:pPr>
      <w:r>
        <mc:AlternateContent>
          <mc:Choice Requires="wps">
            <w:drawing>
              <wp:anchor distT="0" distB="0" distL="114300" distR="114300" simplePos="0" relativeHeight="251631616" behindDoc="0" locked="0" layoutInCell="1" allowOverlap="1">
                <wp:simplePos x="0" y="0"/>
                <wp:positionH relativeFrom="column">
                  <wp:posOffset>114300</wp:posOffset>
                </wp:positionH>
                <wp:positionV relativeFrom="paragraph">
                  <wp:posOffset>68580</wp:posOffset>
                </wp:positionV>
                <wp:extent cx="342900" cy="12877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342900" cy="1287780"/>
                        </a:xfrm>
                        <a:prstGeom prst="rect">
                          <a:avLst/>
                        </a:prstGeom>
                        <a:noFill/>
                        <a:ln w="9525">
                          <a:noFill/>
                        </a:ln>
                        <a:effectLst/>
                      </wps:spPr>
                      <wps:txbx>
                        <w:txbxContent>
                          <w:p>
                            <w:pPr>
                              <w:jc w:val="center"/>
                            </w:pPr>
                            <w:r>
                              <w:rPr>
                                <w:rFonts w:hint="eastAsia"/>
                              </w:rPr>
                              <w:t>第二阶段</w:t>
                            </w:r>
                          </w:p>
                        </w:txbxContent>
                      </wps:txbx>
                      <wps:bodyPr upright="1"/>
                    </wps:wsp>
                  </a:graphicData>
                </a:graphic>
              </wp:anchor>
            </w:drawing>
          </mc:Choice>
          <mc:Fallback>
            <w:pict>
              <v:shape id="_x0000_s1026" o:spid="_x0000_s1026" o:spt="202" type="#_x0000_t202" style="position:absolute;left:0pt;margin-left:9pt;margin-top:5.4pt;height:101.4pt;width:27pt;z-index:251631616;mso-width-relative:page;mso-height-relative:page;" filled="f" stroked="f" coordsize="21600,21600" o:gfxdata="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PWfkw1AAAAAgBAAAPAAAAAAAAAAEA&#10;IAAAACIAAABkcnMvZG93bnJldi54bWxQSwECFAAUAAAACACHTuJA+4uD2aEBAAAZAwAADgAAAAAA&#10;AAABACAAAAAjAQAAZHJzL2Uyb0RvYy54bWxQSwUGAAAAAAYABgBZAQAANgUAAAAA&#10;">
                <v:fill on="f" focussize="0,0"/>
                <v:stroke on="f"/>
                <v:imagedata o:title=""/>
                <o:lock v:ext="edit" aspectratio="f"/>
                <v:textbox>
                  <w:txbxContent>
                    <w:p>
                      <w:pPr>
                        <w:jc w:val="center"/>
                      </w:pPr>
                      <w:r>
                        <w:rPr>
                          <w:rFonts w:hint="eastAsia"/>
                        </w:rPr>
                        <w:t>第二阶段</w:t>
                      </w:r>
                    </w:p>
                  </w:txbxContent>
                </v:textbox>
              </v:shape>
            </w:pict>
          </mc:Fallback>
        </mc:AlternateContent>
      </w:r>
      <w:r>
        <mc:AlternateContent>
          <mc:Choice Requires="wps">
            <w:drawing>
              <wp:anchor distT="0" distB="0" distL="114300" distR="114300" simplePos="0" relativeHeight="251619328" behindDoc="0" locked="0" layoutInCell="1" allowOverlap="1">
                <wp:simplePos x="0" y="0"/>
                <wp:positionH relativeFrom="column">
                  <wp:posOffset>3319145</wp:posOffset>
                </wp:positionH>
                <wp:positionV relativeFrom="paragraph">
                  <wp:posOffset>167640</wp:posOffset>
                </wp:positionV>
                <wp:extent cx="914400" cy="495300"/>
                <wp:effectExtent l="4445" t="4445" r="14605" b="14605"/>
                <wp:wrapNone/>
                <wp:docPr id="15" name="文本框 15"/>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jc w:val="center"/>
                            </w:pPr>
                            <w:r>
                              <w:rPr>
                                <w:rFonts w:hint="eastAsia"/>
                              </w:rPr>
                              <w:t>建设项目工程分析</w:t>
                            </w:r>
                          </w:p>
                        </w:txbxContent>
                      </wps:txbx>
                      <wps:bodyPr upright="1"/>
                    </wps:wsp>
                  </a:graphicData>
                </a:graphic>
              </wp:anchor>
            </w:drawing>
          </mc:Choice>
          <mc:Fallback>
            <w:pict>
              <v:shape id="_x0000_s1026" o:spid="_x0000_s1026" o:spt="202" type="#_x0000_t202" style="position:absolute;left:0pt;margin-left:261.35pt;margin-top:13.2pt;height:39pt;width:72pt;z-index:251619328;mso-width-relative:page;mso-height-relative:page;" fillcolor="#FFFFFF" filled="t" stroked="t" coordsize="21600,21600" o:gfxdata="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ZRUQf2AAAAAoBAAAPAAAAAAAAAAEAIAAAACIAAABkcnMvZG93bnJldi54bWxQSwEC&#10;FAAUAAAACACHTuJA/3hFM/QBAAD3AwAADgAAAAAAAAABACAAAAAnAQAAZHJzL2Uyb0RvYy54bWxQ&#10;SwUGAAAAAAYABgBZAQAAjQUAAAAA&#10;">
                <v:fill on="t" focussize="0,0"/>
                <v:stroke color="#000000" joinstyle="miter"/>
                <v:imagedata o:title=""/>
                <o:lock v:ext="edit" aspectratio="f"/>
                <v:textbox>
                  <w:txbxContent>
                    <w:p>
                      <w:pPr>
                        <w:spacing w:line="240" w:lineRule="auto"/>
                        <w:jc w:val="center"/>
                      </w:pPr>
                      <w:r>
                        <w:rPr>
                          <w:rFonts w:hint="eastAsia"/>
                        </w:rPr>
                        <w:t>建设项目工程分析</w:t>
                      </w:r>
                    </w:p>
                  </w:txbxContent>
                </v:textbox>
              </v:shape>
            </w:pict>
          </mc:Fallback>
        </mc:AlternateContent>
      </w:r>
      <w:r>
        <mc:AlternateContent>
          <mc:Choice Requires="wps">
            <w:drawing>
              <wp:anchor distT="0" distB="0" distL="114300" distR="114300" simplePos="0" relativeHeight="251618304" behindDoc="0" locked="0" layoutInCell="1" allowOverlap="1">
                <wp:simplePos x="0" y="0"/>
                <wp:positionH relativeFrom="column">
                  <wp:posOffset>962025</wp:posOffset>
                </wp:positionH>
                <wp:positionV relativeFrom="paragraph">
                  <wp:posOffset>167640</wp:posOffset>
                </wp:positionV>
                <wp:extent cx="1485900" cy="495300"/>
                <wp:effectExtent l="4445" t="4445" r="14605" b="14605"/>
                <wp:wrapNone/>
                <wp:docPr id="19" name="文本框 19"/>
                <wp:cNvGraphicFramePr/>
                <a:graphic xmlns:a="http://schemas.openxmlformats.org/drawingml/2006/main">
                  <a:graphicData uri="http://schemas.microsoft.com/office/word/2010/wordprocessingShape">
                    <wps:wsp>
                      <wps:cNvSpPr txBox="1"/>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jc w:val="center"/>
                            </w:pPr>
                            <w:r>
                              <w:rPr>
                                <w:rFonts w:hint="eastAsia"/>
                              </w:rPr>
                              <w:t>环境现状调查监测与评价</w:t>
                            </w:r>
                          </w:p>
                        </w:txbxContent>
                      </wps:txbx>
                      <wps:bodyPr upright="1"/>
                    </wps:wsp>
                  </a:graphicData>
                </a:graphic>
              </wp:anchor>
            </w:drawing>
          </mc:Choice>
          <mc:Fallback>
            <w:pict>
              <v:shape id="_x0000_s1026" o:spid="_x0000_s1026" o:spt="202" type="#_x0000_t202" style="position:absolute;left:0pt;margin-left:75.75pt;margin-top:13.2pt;height:39pt;width:117pt;z-index:251618304;mso-width-relative:page;mso-height-relative:page;" fillcolor="#FFFFFF" filled="t" stroked="t" coordsize="21600,21600" o:gfxdata="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bS1EtgAAAAKAQAADwAAAAAAAAABACAAAAAiAAAAZHJzL2Rvd25yZXYueG1sUEsB&#10;AhQAFAAAAAgAh07iQCfYqaf1AQAA+AMAAA4AAAAAAAAAAQAgAAAAJwEAAGRycy9lMm9Eb2MueG1s&#10;UEsFBgAAAAAGAAYAWQEAAI4FAAAAAA==&#10;">
                <v:fill on="t" focussize="0,0"/>
                <v:stroke color="#000000" joinstyle="miter"/>
                <v:imagedata o:title=""/>
                <o:lock v:ext="edit" aspectratio="f"/>
                <v:textbox>
                  <w:txbxContent>
                    <w:p>
                      <w:pPr>
                        <w:spacing w:line="240" w:lineRule="auto"/>
                        <w:jc w:val="center"/>
                      </w:pPr>
                      <w:r>
                        <w:rPr>
                          <w:rFonts w:hint="eastAsia"/>
                        </w:rPr>
                        <w:t>环境现状调查监测与评价</w:t>
                      </w:r>
                    </w:p>
                  </w:txbxContent>
                </v:textbox>
              </v:shape>
            </w:pict>
          </mc:Fallback>
        </mc:AlternateContent>
      </w:r>
    </w:p>
    <w:p>
      <w:pPr>
        <w:spacing w:line="440" w:lineRule="exact"/>
      </w:pPr>
    </w:p>
    <w:p>
      <w:pPr>
        <w:spacing w:line="440" w:lineRule="exact"/>
      </w:pPr>
      <w:r>
        <mc:AlternateContent>
          <mc:Choice Requires="wps">
            <w:drawing>
              <wp:anchor distT="0" distB="0" distL="114300" distR="114300" simplePos="0" relativeHeight="251622400" behindDoc="0" locked="0" layoutInCell="1" allowOverlap="1">
                <wp:simplePos x="0" y="0"/>
                <wp:positionH relativeFrom="column">
                  <wp:posOffset>3771900</wp:posOffset>
                </wp:positionH>
                <wp:positionV relativeFrom="paragraph">
                  <wp:posOffset>104140</wp:posOffset>
                </wp:positionV>
                <wp:extent cx="635" cy="495300"/>
                <wp:effectExtent l="4445" t="0" r="13970" b="0"/>
                <wp:wrapNone/>
                <wp:docPr id="14" name="直接连接符 14"/>
                <wp:cNvGraphicFramePr/>
                <a:graphic xmlns:a="http://schemas.openxmlformats.org/drawingml/2006/main">
                  <a:graphicData uri="http://schemas.microsoft.com/office/word/2010/wordprocessingShape">
                    <wps:wsp>
                      <wps:cNvCnPr/>
                      <wps:spPr>
                        <a:xfrm flipV="1">
                          <a:off x="0" y="0"/>
                          <a:ext cx="635" cy="49530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297pt;margin-top:8.2pt;height:39pt;width:0.05pt;z-index:251622400;mso-width-relative:page;mso-height-relative:page;" filled="f" stroked="t" coordsize="21600,21600" o:gfxdata="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sl9IdYAAAAJAQAA&#10;DwAAAAAAAAABACAAAAAiAAAAZHJzL2Rvd25yZXYueG1sUEsBAhQAFAAAAAgAh07iQJ/H1rziAQAA&#10;pQMAAA4AAAAAAAAAAQAgAAAAJQEAAGRycy9lMm9Eb2MueG1sUEsFBgAAAAAGAAYAWQEAAHkFAAAA&#10;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21376" behindDoc="0" locked="0" layoutInCell="1" allowOverlap="1">
                <wp:simplePos x="0" y="0"/>
                <wp:positionH relativeFrom="column">
                  <wp:posOffset>1714500</wp:posOffset>
                </wp:positionH>
                <wp:positionV relativeFrom="paragraph">
                  <wp:posOffset>104140</wp:posOffset>
                </wp:positionV>
                <wp:extent cx="635" cy="495300"/>
                <wp:effectExtent l="4445" t="0" r="13970" b="0"/>
                <wp:wrapNone/>
                <wp:docPr id="21" name="直接连接符 21"/>
                <wp:cNvGraphicFramePr/>
                <a:graphic xmlns:a="http://schemas.openxmlformats.org/drawingml/2006/main">
                  <a:graphicData uri="http://schemas.microsoft.com/office/word/2010/wordprocessingShape">
                    <wps:wsp>
                      <wps:cNvCnPr/>
                      <wps:spPr>
                        <a:xfrm flipV="1">
                          <a:off x="0" y="0"/>
                          <a:ext cx="635" cy="49530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35pt;margin-top:8.2pt;height:39pt;width:0.05pt;z-index:251621376;mso-width-relative:page;mso-height-relative:page;" filled="f" stroked="t" coordsize="21600,21600" o:gfxdata="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ZOKGNYAAAAJAQAA&#10;DwAAAAAAAAABACAAAAAiAAAAZHJzL2Rvd25yZXYueG1sUEsBAhQAFAAAAAgAh07iQKjqER/iAQAA&#10;pQMAAA4AAAAAAAAAAQAgAAAAJQEAAGRycy9lMm9Eb2MueG1sUEsFBgAAAAAGAAYAWQEAAHkFAAAA&#10;AA==&#10;">
                <v:fill on="f" focussize="0,0"/>
                <v:stroke color="#000000" joinstyle="round"/>
                <v:imagedata o:title=""/>
                <o:lock v:ext="edit" aspectratio="f"/>
              </v:line>
            </w:pict>
          </mc:Fallback>
        </mc:AlternateContent>
      </w:r>
    </w:p>
    <w:p>
      <w:pPr>
        <w:spacing w:line="440" w:lineRule="exact"/>
      </w:pPr>
    </w:p>
    <w:p>
      <w:pPr>
        <w:spacing w:line="440" w:lineRule="exact"/>
      </w:pPr>
      <w:r>
        <mc:AlternateContent>
          <mc:Choice Requires="wps">
            <w:drawing>
              <wp:anchor distT="0" distB="0" distL="114300" distR="114300" simplePos="0" relativeHeight="251623424" behindDoc="0" locked="0" layoutInCell="1" allowOverlap="1">
                <wp:simplePos x="0" y="0"/>
                <wp:positionH relativeFrom="column">
                  <wp:posOffset>2814320</wp:posOffset>
                </wp:positionH>
                <wp:positionV relativeFrom="paragraph">
                  <wp:posOffset>40640</wp:posOffset>
                </wp:positionV>
                <wp:extent cx="635" cy="297180"/>
                <wp:effectExtent l="37465" t="0" r="38100" b="7620"/>
                <wp:wrapNone/>
                <wp:docPr id="16" name="直接连接符 16"/>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21.6pt;margin-top:3.2pt;height:23.4pt;width:0.05pt;z-index:251623424;mso-width-relative:page;mso-height-relative:page;" filled="f" stroked="t" coordsize="21600,21600" o:gfxdata="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7EbvCNgAAAAIAQAA&#10;DwAAAAAAAAABACAAAAAiAAAAZHJzL2Rvd25yZXYueG1sUEsBAhQAFAAAAAgAh07iQGChKZLgAQAA&#10;nwMAAA4AAAAAAAAAAQAgAAAAJwEAAGRycy9lMm9Eb2MueG1sUEsFBgAAAAAGAAYAWQEAAHkFAAAA&#10;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20352" behindDoc="0" locked="0" layoutInCell="1" allowOverlap="1">
                <wp:simplePos x="0" y="0"/>
                <wp:positionH relativeFrom="column">
                  <wp:posOffset>1720850</wp:posOffset>
                </wp:positionH>
                <wp:positionV relativeFrom="paragraph">
                  <wp:posOffset>40640</wp:posOffset>
                </wp:positionV>
                <wp:extent cx="2057400" cy="0"/>
                <wp:effectExtent l="0" t="0" r="0" b="0"/>
                <wp:wrapNone/>
                <wp:docPr id="13" name="直接连接符 13"/>
                <wp:cNvGraphicFramePr/>
                <a:graphic xmlns:a="http://schemas.openxmlformats.org/drawingml/2006/main">
                  <a:graphicData uri="http://schemas.microsoft.com/office/word/2010/wordprocessingShape">
                    <wps:wsp>
                      <wps:cNvCnPr/>
                      <wps:spPr>
                        <a:xfrm>
                          <a:off x="0" y="0"/>
                          <a:ext cx="20574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5.5pt;margin-top:3.2pt;height:0pt;width:162pt;z-index:251620352;mso-width-relative:page;mso-height-relative:page;" filled="f" stroked="t" coordsize="21600,21600" o:gfxdata="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U/aBGNUAAAAHAQAADwAAAAAAAAABACAA&#10;AAAiAAAAZHJzL2Rvd25yZXYueG1sUEsBAhQAFAAAAAgAh07iQJoZbhzXAQAAmgMAAA4AAAAAAAAA&#10;AQAgAAAAJAEAAGRycy9lMm9Eb2MueG1sUEsFBgAAAAAGAAYAWQEAAG0FAAAAAA==&#10;">
                <v:fill on="f" focussize="0,0"/>
                <v:stroke color="#000000" joinstyle="round"/>
                <v:imagedata o:title=""/>
                <o:lock v:ext="edit" aspectratio="f"/>
              </v:line>
            </w:pict>
          </mc:Fallback>
        </mc:AlternateContent>
      </w:r>
    </w:p>
    <w:p>
      <w:pPr>
        <w:spacing w:line="440" w:lineRule="exact"/>
      </w:pPr>
      <w:r>
        <mc:AlternateContent>
          <mc:Choice Requires="wps">
            <w:drawing>
              <wp:anchor distT="0" distB="0" distL="114300" distR="114300" simplePos="0" relativeHeight="251624448" behindDoc="0" locked="0" layoutInCell="1" allowOverlap="1">
                <wp:simplePos x="0" y="0"/>
                <wp:positionH relativeFrom="column">
                  <wp:posOffset>1524635</wp:posOffset>
                </wp:positionH>
                <wp:positionV relativeFrom="paragraph">
                  <wp:posOffset>58420</wp:posOffset>
                </wp:positionV>
                <wp:extent cx="2590165" cy="495300"/>
                <wp:effectExtent l="4445" t="4445" r="15240" b="14605"/>
                <wp:wrapNone/>
                <wp:docPr id="29" name="文本框 29"/>
                <wp:cNvGraphicFramePr/>
                <a:graphic xmlns:a="http://schemas.openxmlformats.org/drawingml/2006/main">
                  <a:graphicData uri="http://schemas.microsoft.com/office/word/2010/wordprocessingShape">
                    <wps:wsp>
                      <wps:cNvSpPr txBox="1"/>
                      <wps:spPr>
                        <a:xfrm>
                          <a:off x="0" y="0"/>
                          <a:ext cx="259016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pPr>
                            <w:r>
                              <w:rPr>
                                <w:rFonts w:hint="eastAsia"/>
                              </w:rPr>
                              <w:t>1 各环境要素环境影响预测与评价</w:t>
                            </w:r>
                          </w:p>
                          <w:p>
                            <w:pPr>
                              <w:spacing w:line="240" w:lineRule="auto"/>
                            </w:pPr>
                            <w:r>
                              <w:rPr>
                                <w:rFonts w:hint="eastAsia"/>
                              </w:rPr>
                              <w:t>2 各专题环境影响分析与评价</w:t>
                            </w:r>
                          </w:p>
                        </w:txbxContent>
                      </wps:txbx>
                      <wps:bodyPr upright="1"/>
                    </wps:wsp>
                  </a:graphicData>
                </a:graphic>
              </wp:anchor>
            </w:drawing>
          </mc:Choice>
          <mc:Fallback>
            <w:pict>
              <v:shape id="_x0000_s1026" o:spid="_x0000_s1026" o:spt="202" type="#_x0000_t202" style="position:absolute;left:0pt;margin-left:120.05pt;margin-top:4.6pt;height:39pt;width:203.95pt;z-index:251624448;mso-width-relative:page;mso-height-relative:page;" fillcolor="#FFFFFF" filled="t" stroked="t" coordsize="21600,21600" o:gfxdata="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Qdo8dcAAAAIAQAADwAAAAAAAAABACAAAAAiAAAAZHJzL2Rvd25yZXYueG1s&#10;UEsBAhQAFAAAAAgAh07iQA5e3ZX5AQAA+AMAAA4AAAAAAAAAAQAgAAAAJgEAAGRycy9lMm9Eb2Mu&#10;eG1sUEsFBgAAAAAGAAYAWQEAAJEFAAAAAA==&#10;">
                <v:fill on="t" focussize="0,0"/>
                <v:stroke color="#000000" joinstyle="miter"/>
                <v:imagedata o:title=""/>
                <o:lock v:ext="edit" aspectratio="f"/>
                <v:textbox>
                  <w:txbxContent>
                    <w:p>
                      <w:pPr>
                        <w:spacing w:line="240" w:lineRule="auto"/>
                      </w:pPr>
                      <w:r>
                        <w:rPr>
                          <w:rFonts w:hint="eastAsia"/>
                        </w:rPr>
                        <w:t>1 各环境要素环境影响预测与评价</w:t>
                      </w:r>
                    </w:p>
                    <w:p>
                      <w:pPr>
                        <w:spacing w:line="240" w:lineRule="auto"/>
                      </w:pPr>
                      <w:r>
                        <w:rPr>
                          <w:rFonts w:hint="eastAsia"/>
                        </w:rPr>
                        <w:t>2 各专题环境影响分析与评价</w:t>
                      </w:r>
                    </w:p>
                  </w:txbxContent>
                </v:textbox>
              </v:shape>
            </w:pict>
          </mc:Fallback>
        </mc:AlternateContent>
      </w:r>
    </w:p>
    <w:p>
      <w:pPr>
        <w:spacing w:line="440" w:lineRule="exact"/>
      </w:pPr>
    </w:p>
    <w:p>
      <w:pPr>
        <w:spacing w:line="440" w:lineRule="exact"/>
      </w:pPr>
      <w:r>
        <mc:AlternateContent>
          <mc:Choice Requires="wps">
            <w:drawing>
              <wp:anchor distT="0" distB="0" distL="114300" distR="114300" simplePos="0" relativeHeight="251626496" behindDoc="0" locked="0" layoutInCell="1" allowOverlap="1">
                <wp:simplePos x="0" y="0"/>
                <wp:positionH relativeFrom="column">
                  <wp:posOffset>1425575</wp:posOffset>
                </wp:positionH>
                <wp:positionV relativeFrom="paragraph">
                  <wp:posOffset>203835</wp:posOffset>
                </wp:positionV>
                <wp:extent cx="2917825" cy="741045"/>
                <wp:effectExtent l="4445" t="4445" r="11430" b="16510"/>
                <wp:wrapNone/>
                <wp:docPr id="8" name="文本框 5"/>
                <wp:cNvGraphicFramePr/>
                <a:graphic xmlns:a="http://schemas.openxmlformats.org/drawingml/2006/main">
                  <a:graphicData uri="http://schemas.microsoft.com/office/word/2010/wordprocessingShape">
                    <wps:wsp>
                      <wps:cNvSpPr txBox="1"/>
                      <wps:spPr>
                        <a:xfrm>
                          <a:off x="0" y="0"/>
                          <a:ext cx="2917825" cy="7410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pPr>
                            <w:r>
                              <w:rPr>
                                <w:rFonts w:hint="eastAsia"/>
                              </w:rPr>
                              <w:t>1 提出环境保护措施，进行技术经济论证</w:t>
                            </w:r>
                          </w:p>
                          <w:p>
                            <w:pPr>
                              <w:spacing w:line="240" w:lineRule="auto"/>
                            </w:pPr>
                            <w:r>
                              <w:rPr>
                                <w:rFonts w:hint="eastAsia"/>
                              </w:rPr>
                              <w:t>2 给出污染物排放清单</w:t>
                            </w:r>
                          </w:p>
                          <w:p>
                            <w:pPr>
                              <w:spacing w:line="240" w:lineRule="auto"/>
                            </w:pPr>
                            <w:r>
                              <w:rPr>
                                <w:rFonts w:hint="eastAsia"/>
                              </w:rPr>
                              <w:t>3 给出建设项目环境影响评价结论</w:t>
                            </w:r>
                          </w:p>
                        </w:txbxContent>
                      </wps:txbx>
                      <wps:bodyPr upright="1"/>
                    </wps:wsp>
                  </a:graphicData>
                </a:graphic>
              </wp:anchor>
            </w:drawing>
          </mc:Choice>
          <mc:Fallback>
            <w:pict>
              <v:shape id="文本框 5" o:spid="_x0000_s1026" o:spt="202" type="#_x0000_t202" style="position:absolute;left:0pt;margin-left:112.25pt;margin-top:16.05pt;height:58.35pt;width:229.75pt;z-index:251626496;mso-width-relative:page;mso-height-relative:page;" fillcolor="#FFFFFF" filled="t" stroked="t" coordsize="21600,21600" o:gfxdata="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EFmQdkAAAAKAQAADwAAAAAAAAABACAAAAAiAAAAZHJzL2Rvd25yZXYueG1s&#10;UEsBAhQAFAAAAAgAh07iQAAiwAf3AQAA9gMAAA4AAAAAAAAAAQAgAAAAKAEAAGRycy9lMm9Eb2Mu&#10;eG1sUEsFBgAAAAAGAAYAWQEAAJEFAAAAAA==&#10;">
                <v:fill on="t" focussize="0,0"/>
                <v:stroke color="#000000" joinstyle="miter"/>
                <v:imagedata o:title=""/>
                <o:lock v:ext="edit" aspectratio="f"/>
                <v:textbox>
                  <w:txbxContent>
                    <w:p>
                      <w:pPr>
                        <w:spacing w:line="240" w:lineRule="auto"/>
                      </w:pPr>
                      <w:r>
                        <w:rPr>
                          <w:rFonts w:hint="eastAsia"/>
                        </w:rPr>
                        <w:t>1 提出环境保护措施，进行技术经济论证</w:t>
                      </w:r>
                    </w:p>
                    <w:p>
                      <w:pPr>
                        <w:spacing w:line="240" w:lineRule="auto"/>
                      </w:pPr>
                      <w:r>
                        <w:rPr>
                          <w:rFonts w:hint="eastAsia"/>
                        </w:rPr>
                        <w:t>2 给出污染物排放清单</w:t>
                      </w:r>
                    </w:p>
                    <w:p>
                      <w:pPr>
                        <w:spacing w:line="240" w:lineRule="auto"/>
                      </w:pPr>
                      <w:r>
                        <w:rPr>
                          <w:rFonts w:hint="eastAsia"/>
                        </w:rPr>
                        <w:t>3 给出建设项目环境影响评价结论</w:t>
                      </w:r>
                    </w:p>
                  </w:txbxContent>
                </v:textbox>
              </v:shape>
            </w:pict>
          </mc:Fallback>
        </mc:AlternateContent>
      </w:r>
      <w:r>
        <mc:AlternateContent>
          <mc:Choice Requires="wps">
            <w:drawing>
              <wp:anchor distT="0" distB="0" distL="114300" distR="114300" simplePos="0" relativeHeight="251609088" behindDoc="1" locked="0" layoutInCell="1" allowOverlap="1">
                <wp:simplePos x="0" y="0"/>
                <wp:positionH relativeFrom="column">
                  <wp:posOffset>0</wp:posOffset>
                </wp:positionH>
                <wp:positionV relativeFrom="paragraph">
                  <wp:posOffset>93980</wp:posOffset>
                </wp:positionV>
                <wp:extent cx="5600700" cy="0"/>
                <wp:effectExtent l="0" t="0" r="0" b="0"/>
                <wp:wrapNone/>
                <wp:docPr id="9" name="直接连接符 9"/>
                <wp:cNvGraphicFramePr/>
                <a:graphic xmlns:a="http://schemas.openxmlformats.org/drawingml/2006/main">
                  <a:graphicData uri="http://schemas.microsoft.com/office/word/2010/wordprocessingShape">
                    <wps:wsp>
                      <wps:cNvCnPr/>
                      <wps:spPr>
                        <a:xfrm>
                          <a:off x="0" y="0"/>
                          <a:ext cx="5600700" cy="0"/>
                        </a:xfrm>
                        <a:prstGeom prst="line">
                          <a:avLst/>
                        </a:prstGeom>
                        <a:ln w="12700" cap="flat" cmpd="sng">
                          <a:solidFill>
                            <a:srgbClr val="000000"/>
                          </a:solidFill>
                          <a:prstDash val="sysDot"/>
                          <a:headEnd type="none" w="med" len="med"/>
                          <a:tailEnd type="none" w="med" len="med"/>
                        </a:ln>
                        <a:effectLst/>
                      </wps:spPr>
                      <wps:bodyPr/>
                    </wps:wsp>
                  </a:graphicData>
                </a:graphic>
              </wp:anchor>
            </w:drawing>
          </mc:Choice>
          <mc:Fallback>
            <w:pict>
              <v:line id="_x0000_s1026" o:spid="_x0000_s1026" o:spt="20" style="position:absolute;left:0pt;margin-left:0pt;margin-top:7.4pt;height:0pt;width:441pt;z-index:-251707392;mso-width-relative:page;mso-height-relative:page;" filled="f" stroked="t" coordsize="21600,21600" o:gfxdata="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KdUj9IAAAAGAQAADwAAAAAAAAABACAAAAAi&#10;AAAAZHJzL2Rvd25yZXYueG1sUEsBAhQAFAAAAAgAh07iQKwM/Z/XAQAAmgMAAA4AAAAAAAAAAQAg&#10;AAAAIQEAAGRycy9lMm9Eb2MueG1sUEsFBgAAAAAGAAYAWQEAAGoFAAAAAA==&#10;">
                <v:fill on="f" focussize="0,0"/>
                <v:stroke weight="1pt" color="#000000" joinstyle="round" dashstyle="1 1"/>
                <v:imagedata o:title=""/>
                <o:lock v:ext="edit" aspectratio="f"/>
              </v:line>
            </w:pict>
          </mc:Fallback>
        </mc:AlternateContent>
      </w:r>
      <w:r>
        <mc:AlternateContent>
          <mc:Choice Requires="wps">
            <w:drawing>
              <wp:anchor distT="0" distB="0" distL="114300" distR="114300" simplePos="0" relativeHeight="251625472" behindDoc="0" locked="0" layoutInCell="1" allowOverlap="1">
                <wp:simplePos x="0" y="0"/>
                <wp:positionH relativeFrom="column">
                  <wp:posOffset>2835910</wp:posOffset>
                </wp:positionH>
                <wp:positionV relativeFrom="paragraph">
                  <wp:posOffset>-5080</wp:posOffset>
                </wp:positionV>
                <wp:extent cx="635" cy="198120"/>
                <wp:effectExtent l="37465" t="0" r="38100" b="11430"/>
                <wp:wrapNone/>
                <wp:docPr id="10" name="直接连接符 10"/>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23.3pt;margin-top:-0.4pt;height:15.6pt;width:0.05pt;z-index:251625472;mso-width-relative:page;mso-height-relative:page;" filled="f" stroked="t" coordsize="21600,21600" o:gfxdata="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JEOUPXAAAACAEAAA8A&#10;AAAAAAAAAQAgAAAAIgAAAGRycy9kb3ducmV2LnhtbFBLAQIUABQAAAAIAIdO4kDwvxgE3wEAAJ8D&#10;AAAOAAAAAAAAAAEAIAAAACYBAABkcnMvZTJvRG9jLnhtbFBLBQYAAAAABgAGAFkBAAB3BQAAAAA=&#10;">
                <v:fill on="f" focussize="0,0"/>
                <v:stroke color="#000000" joinstyle="round" endarrow="block"/>
                <v:imagedata o:title=""/>
                <o:lock v:ext="edit" aspectratio="f"/>
              </v:line>
            </w:pict>
          </mc:Fallback>
        </mc:AlternateContent>
      </w:r>
    </w:p>
    <w:p>
      <w:pPr>
        <w:spacing w:line="440" w:lineRule="exact"/>
      </w:pPr>
      <w:r>
        <mc:AlternateContent>
          <mc:Choice Requires="wps">
            <w:drawing>
              <wp:anchor distT="0" distB="0" distL="114300" distR="114300" simplePos="0" relativeHeight="251632640" behindDoc="0" locked="0" layoutInCell="1" allowOverlap="1">
                <wp:simplePos x="0" y="0"/>
                <wp:positionH relativeFrom="column">
                  <wp:posOffset>161925</wp:posOffset>
                </wp:positionH>
                <wp:positionV relativeFrom="paragraph">
                  <wp:posOffset>45085</wp:posOffset>
                </wp:positionV>
                <wp:extent cx="342900" cy="1177290"/>
                <wp:effectExtent l="0" t="0" r="0" b="0"/>
                <wp:wrapNone/>
                <wp:docPr id="28" name="文本框 8"/>
                <wp:cNvGraphicFramePr/>
                <a:graphic xmlns:a="http://schemas.openxmlformats.org/drawingml/2006/main">
                  <a:graphicData uri="http://schemas.microsoft.com/office/word/2010/wordprocessingShape">
                    <wps:wsp>
                      <wps:cNvSpPr txBox="1"/>
                      <wps:spPr>
                        <a:xfrm>
                          <a:off x="0" y="0"/>
                          <a:ext cx="342900" cy="1177290"/>
                        </a:xfrm>
                        <a:prstGeom prst="rect">
                          <a:avLst/>
                        </a:prstGeom>
                        <a:noFill/>
                        <a:ln w="9525">
                          <a:noFill/>
                        </a:ln>
                        <a:effectLst/>
                      </wps:spPr>
                      <wps:txbx>
                        <w:txbxContent>
                          <w:p>
                            <w:pPr>
                              <w:jc w:val="center"/>
                            </w:pPr>
                            <w:r>
                              <w:rPr>
                                <w:rFonts w:hint="eastAsia"/>
                              </w:rPr>
                              <w:t>第三阶段</w:t>
                            </w:r>
                          </w:p>
                        </w:txbxContent>
                      </wps:txbx>
                      <wps:bodyPr upright="1"/>
                    </wps:wsp>
                  </a:graphicData>
                </a:graphic>
              </wp:anchor>
            </w:drawing>
          </mc:Choice>
          <mc:Fallback>
            <w:pict>
              <v:shape id="文本框 8" o:spid="_x0000_s1026" o:spt="202" type="#_x0000_t202" style="position:absolute;left:0pt;margin-left:12.75pt;margin-top:3.55pt;height:92.7pt;width:27pt;z-index:251632640;mso-width-relative:page;mso-height-relative:page;" filled="f" stroked="f" coordsize="21600,21600" o:gfxdata="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CGpl0TTAAAABwEAAA8AAAAAAAAAAQAgAAAA&#10;IgAAAGRycy9kb3ducmV2LnhtbFBLAQIUABQAAAAIAIdO4kD9izsVngEAABgDAAAOAAAAAAAAAAEA&#10;IAAAACIBAABkcnMvZTJvRG9jLnhtbFBLBQYAAAAABgAGAFkBAAAyBQAAAAA=&#10;">
                <v:fill on="f" focussize="0,0"/>
                <v:stroke on="f"/>
                <v:imagedata o:title=""/>
                <o:lock v:ext="edit" aspectratio="f"/>
                <v:textbox>
                  <w:txbxContent>
                    <w:p>
                      <w:pPr>
                        <w:jc w:val="center"/>
                      </w:pPr>
                      <w:r>
                        <w:rPr>
                          <w:rFonts w:hint="eastAsia"/>
                        </w:rPr>
                        <w:t>第三阶段</w:t>
                      </w:r>
                    </w:p>
                  </w:txbxContent>
                </v:textbox>
              </v:shape>
            </w:pict>
          </mc:Fallback>
        </mc:AlternateContent>
      </w:r>
    </w:p>
    <w:p>
      <w:pPr>
        <w:spacing w:line="440" w:lineRule="exact"/>
      </w:pPr>
    </w:p>
    <w:p>
      <w:pPr>
        <w:spacing w:line="440" w:lineRule="exact"/>
      </w:pPr>
      <w:r>
        <mc:AlternateContent>
          <mc:Choice Requires="wps">
            <w:drawing>
              <wp:anchor distT="0" distB="0" distL="114300" distR="114300" simplePos="0" relativeHeight="251627520" behindDoc="0" locked="0" layoutInCell="1" allowOverlap="1">
                <wp:simplePos x="0" y="0"/>
                <wp:positionH relativeFrom="column">
                  <wp:posOffset>2828925</wp:posOffset>
                </wp:positionH>
                <wp:positionV relativeFrom="paragraph">
                  <wp:posOffset>106680</wp:posOffset>
                </wp:positionV>
                <wp:extent cx="635" cy="198120"/>
                <wp:effectExtent l="37465" t="0" r="38100" b="11430"/>
                <wp:wrapNone/>
                <wp:docPr id="20" name="直接连接符 20"/>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22.75pt;margin-top:8.4pt;height:15.6pt;width:0.05pt;z-index:251627520;mso-width-relative:page;mso-height-relative:page;" filled="f" stroked="t" coordsize="21600,21600" o:gfxdata="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czYcNkAAAAJAQAA&#10;DwAAAAAAAAABACAAAAAiAAAAZHJzL2Rvd25yZXYueG1sUEsBAhQAFAAAAAgAh07iQFxoKcPfAQAA&#10;nwMAAA4AAAAAAAAAAQAgAAAAKAEAAGRycy9lMm9Eb2MueG1sUEsFBgAAAAAGAAYAWQEAAHkFAAAA&#10;AA==&#10;">
                <v:fill on="f" focussize="0,0"/>
                <v:stroke color="#000000" joinstyle="round" endarrow="block"/>
                <v:imagedata o:title=""/>
                <o:lock v:ext="edit" aspectratio="f"/>
              </v:line>
            </w:pict>
          </mc:Fallback>
        </mc:AlternateContent>
      </w:r>
    </w:p>
    <w:p>
      <w:pPr>
        <w:spacing w:line="440" w:lineRule="exact"/>
      </w:pPr>
      <w:r>
        <mc:AlternateContent>
          <mc:Choice Requires="wps">
            <w:drawing>
              <wp:anchor distT="0" distB="0" distL="114300" distR="114300" simplePos="0" relativeHeight="251628544" behindDoc="0" locked="0" layoutInCell="1" allowOverlap="1">
                <wp:simplePos x="0" y="0"/>
                <wp:positionH relativeFrom="column">
                  <wp:posOffset>1950085</wp:posOffset>
                </wp:positionH>
                <wp:positionV relativeFrom="paragraph">
                  <wp:posOffset>45085</wp:posOffset>
                </wp:positionV>
                <wp:extent cx="1802765" cy="297180"/>
                <wp:effectExtent l="4445" t="4445" r="21590" b="22225"/>
                <wp:wrapNone/>
                <wp:docPr id="23" name="文本框 23"/>
                <wp:cNvGraphicFramePr/>
                <a:graphic xmlns:a="http://schemas.openxmlformats.org/drawingml/2006/main">
                  <a:graphicData uri="http://schemas.microsoft.com/office/word/2010/wordprocessingShape">
                    <wps:wsp>
                      <wps:cNvSpPr txBox="1"/>
                      <wps:spPr>
                        <a:xfrm>
                          <a:off x="0" y="0"/>
                          <a:ext cx="1802765"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编制环境影响评价文件</w:t>
                            </w:r>
                          </w:p>
                        </w:txbxContent>
                      </wps:txbx>
                      <wps:bodyPr upright="1"/>
                    </wps:wsp>
                  </a:graphicData>
                </a:graphic>
              </wp:anchor>
            </w:drawing>
          </mc:Choice>
          <mc:Fallback>
            <w:pict>
              <v:shape id="_x0000_s1026" o:spid="_x0000_s1026" o:spt="202" type="#_x0000_t202" style="position:absolute;left:0pt;margin-left:153.55pt;margin-top:3.55pt;height:23.4pt;width:141.95pt;z-index:251628544;mso-width-relative:page;mso-height-relative:page;" fillcolor="#FFFFFF" filled="t" stroked="t" coordsize="21600,21600" o:gfxdata="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hvMp1wAAAAgBAAAPAAAAAAAAAAEAIAAAACIAAABkcnMvZG93bnJldi54bWxQSwEC&#10;FAAUAAAACACHTuJAYUmX9PUBAAD4AwAADgAAAAAAAAABACAAAAAmAQAAZHJzL2Uyb0RvYy54bWxQ&#10;SwUGAAAAAAYABgBZAQAAjQUAAAAA&#10;">
                <v:fill on="t" focussize="0,0"/>
                <v:stroke color="#000000" joinstyle="miter"/>
                <v:imagedata o:title=""/>
                <o:lock v:ext="edit" aspectratio="f"/>
                <v:textbox>
                  <w:txbxContent>
                    <w:p>
                      <w:pPr>
                        <w:jc w:val="center"/>
                      </w:pPr>
                      <w:r>
                        <w:rPr>
                          <w:rFonts w:hint="eastAsia"/>
                        </w:rPr>
                        <w:t>编制环境影响评价文件</w:t>
                      </w:r>
                    </w:p>
                  </w:txbxContent>
                </v:textbox>
              </v:shape>
            </w:pict>
          </mc:Fallback>
        </mc:AlternateContent>
      </w:r>
    </w:p>
    <w:p>
      <w:pPr>
        <w:spacing w:line="440" w:lineRule="exact"/>
      </w:pPr>
    </w:p>
    <w:p>
      <w:pPr>
        <w:jc w:val="center"/>
        <w:rPr>
          <w:b/>
          <w:bCs/>
          <w:sz w:val="24"/>
          <w:szCs w:val="24"/>
        </w:rPr>
      </w:pPr>
      <w:bookmarkStart w:id="144" w:name="_Toc10100_WPSOffice_Level2"/>
      <w:bookmarkStart w:id="145" w:name="_Toc7907_WPSOffice_Level2"/>
      <w:bookmarkStart w:id="146" w:name="_Toc14672_WPSOffice_Level2"/>
      <w:bookmarkStart w:id="147" w:name="_Toc14867_WPSOffice_Level2"/>
      <w:r>
        <w:rPr>
          <w:b/>
          <w:bCs/>
          <w:sz w:val="24"/>
          <w:szCs w:val="24"/>
        </w:rPr>
        <w:t>图1.1</w:t>
      </w:r>
      <w:r>
        <w:rPr>
          <w:rFonts w:hint="eastAsia"/>
          <w:b/>
          <w:bCs/>
          <w:sz w:val="24"/>
          <w:szCs w:val="24"/>
        </w:rPr>
        <w:t>2</w:t>
      </w:r>
      <w:r>
        <w:rPr>
          <w:b/>
          <w:bCs/>
          <w:sz w:val="24"/>
          <w:szCs w:val="24"/>
        </w:rPr>
        <w:t>-</w:t>
      </w:r>
      <w:r>
        <w:rPr>
          <w:rFonts w:hint="eastAsia"/>
          <w:b/>
          <w:bCs/>
          <w:sz w:val="24"/>
          <w:szCs w:val="24"/>
          <w:lang w:val="en-US" w:eastAsia="zh-CN"/>
        </w:rPr>
        <w:t>3</w:t>
      </w:r>
      <w:r>
        <w:rPr>
          <w:b/>
          <w:bCs/>
          <w:sz w:val="24"/>
          <w:szCs w:val="24"/>
        </w:rPr>
        <w:t xml:space="preserve">  本次环境影响评价工作技术路线图</w:t>
      </w:r>
      <w:bookmarkEnd w:id="144"/>
      <w:bookmarkEnd w:id="145"/>
      <w:bookmarkEnd w:id="146"/>
      <w:bookmarkEnd w:id="147"/>
    </w:p>
    <w:p>
      <w:pPr>
        <w:jc w:val="center"/>
        <w:rPr>
          <w:b/>
          <w:bCs/>
          <w:sz w:val="28"/>
          <w:szCs w:val="28"/>
        </w:rPr>
        <w:sectPr>
          <w:pgSz w:w="11906" w:h="16838"/>
          <w:pgMar w:top="1440" w:right="1701" w:bottom="1440" w:left="1587" w:header="851" w:footer="992" w:gutter="0"/>
          <w:pgBorders>
            <w:top w:val="none" w:sz="0" w:space="0"/>
            <w:left w:val="none" w:sz="0" w:space="0"/>
            <w:bottom w:val="none" w:sz="0" w:space="0"/>
            <w:right w:val="none" w:sz="0" w:space="0"/>
          </w:pgBorders>
          <w:cols w:space="720" w:num="1"/>
          <w:docGrid w:linePitch="312" w:charSpace="0"/>
        </w:sectPr>
      </w:pPr>
    </w:p>
    <w:p>
      <w:pPr>
        <w:pStyle w:val="5"/>
        <w:jc w:val="center"/>
        <w:rPr>
          <w:rFonts w:eastAsia="黑体"/>
          <w:sz w:val="36"/>
          <w:szCs w:val="36"/>
        </w:rPr>
      </w:pPr>
      <w:bookmarkStart w:id="148" w:name="_Toc23080_WPSOffice_Level1"/>
      <w:bookmarkStart w:id="149" w:name="_Toc532395292"/>
      <w:r>
        <w:rPr>
          <w:rFonts w:eastAsia="黑体"/>
          <w:sz w:val="36"/>
          <w:szCs w:val="36"/>
        </w:rPr>
        <w:t>第二章 建设项目工程分析</w:t>
      </w:r>
      <w:bookmarkEnd w:id="148"/>
      <w:bookmarkEnd w:id="149"/>
    </w:p>
    <w:p>
      <w:pPr>
        <w:pStyle w:val="5"/>
        <w:rPr>
          <w:sz w:val="24"/>
          <w:szCs w:val="24"/>
        </w:rPr>
      </w:pPr>
      <w:bookmarkStart w:id="150" w:name="_Toc30957_WPSOffice_Level2"/>
      <w:bookmarkStart w:id="151" w:name="_Toc28317_WPSOffice_Level2"/>
      <w:bookmarkStart w:id="152" w:name="_Toc532395293"/>
      <w:r>
        <w:rPr>
          <w:sz w:val="24"/>
          <w:szCs w:val="24"/>
        </w:rPr>
        <w:t>2.1 建设项目概况</w:t>
      </w:r>
      <w:bookmarkEnd w:id="150"/>
      <w:bookmarkEnd w:id="151"/>
      <w:bookmarkEnd w:id="152"/>
    </w:p>
    <w:p>
      <w:pPr>
        <w:pStyle w:val="5"/>
        <w:ind w:firstLine="480" w:firstLineChars="200"/>
        <w:rPr>
          <w:rFonts w:hint="eastAsia" w:eastAsia="宋体"/>
          <w:b w:val="0"/>
          <w:bCs w:val="0"/>
          <w:color w:val="000000" w:themeColor="text1"/>
          <w:spacing w:val="-12"/>
          <w:sz w:val="24"/>
          <w:szCs w:val="24"/>
          <w:lang w:eastAsia="zh-CN"/>
          <w14:textFill>
            <w14:solidFill>
              <w14:schemeClr w14:val="tx1"/>
            </w14:solidFill>
          </w14:textFill>
        </w:rPr>
      </w:pPr>
      <w:r>
        <w:rPr>
          <w:b w:val="0"/>
          <w:bCs w:val="0"/>
          <w:color w:val="000000" w:themeColor="text1"/>
          <w:sz w:val="24"/>
          <w:szCs w:val="24"/>
          <w14:textFill>
            <w14:solidFill>
              <w14:schemeClr w14:val="tx1"/>
            </w14:solidFill>
          </w14:textFill>
        </w:rPr>
        <w:t>（1）项目名称：</w:t>
      </w:r>
      <w:r>
        <w:rPr>
          <w:rFonts w:hint="eastAsia"/>
          <w:b w:val="0"/>
          <w:bCs w:val="0"/>
          <w:color w:val="000000" w:themeColor="text1"/>
          <w:spacing w:val="-12"/>
          <w:sz w:val="24"/>
          <w:szCs w:val="24"/>
          <w:lang w:eastAsia="zh-CN"/>
          <w14:textFill>
            <w14:solidFill>
              <w14:schemeClr w14:val="tx1"/>
            </w14:solidFill>
          </w14:textFill>
        </w:rPr>
        <w:t>六安凯旭服饰有限公司年产150万件职工编制生产线项目</w:t>
      </w:r>
    </w:p>
    <w:p>
      <w:pPr>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（2）建设性质：新建</w:t>
      </w:r>
    </w:p>
    <w:p>
      <w:pPr>
        <w:ind w:firstLine="480" w:firstLineChars="200"/>
        <w:rPr>
          <w:rFonts w:hint="eastAsia" w:eastAsia="宋体"/>
          <w:color w:val="000000" w:themeColor="text1"/>
          <w:sz w:val="24"/>
          <w:szCs w:val="24"/>
          <w:lang w:eastAsia="zh-CN"/>
          <w14:textFill>
            <w14:solidFill>
              <w14:schemeClr w14:val="tx1"/>
            </w14:solidFill>
          </w14:textFill>
        </w:rPr>
      </w:pPr>
      <w:r>
        <w:rPr>
          <w:color w:val="000000" w:themeColor="text1"/>
          <w:sz w:val="24"/>
          <w:szCs w:val="24"/>
          <w14:textFill>
            <w14:solidFill>
              <w14:schemeClr w14:val="tx1"/>
            </w14:solidFill>
          </w14:textFill>
        </w:rPr>
        <w:t>（3）建设单位：</w:t>
      </w:r>
      <w:r>
        <w:rPr>
          <w:rFonts w:hint="eastAsia"/>
          <w:color w:val="000000" w:themeColor="text1"/>
          <w:sz w:val="24"/>
          <w:szCs w:val="24"/>
          <w:lang w:eastAsia="zh-CN"/>
          <w14:textFill>
            <w14:solidFill>
              <w14:schemeClr w14:val="tx1"/>
            </w14:solidFill>
          </w14:textFill>
        </w:rPr>
        <w:t>六安凯旭服饰有限公司</w:t>
      </w:r>
    </w:p>
    <w:p>
      <w:pPr>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（4）建设地点：六安市</w:t>
      </w:r>
      <w:r>
        <w:rPr>
          <w:rFonts w:hint="eastAsia"/>
          <w:color w:val="000000" w:themeColor="text1"/>
          <w:sz w:val="24"/>
          <w:szCs w:val="24"/>
          <w:lang w:eastAsia="zh-CN"/>
          <w14:textFill>
            <w14:solidFill>
              <w14:schemeClr w14:val="tx1"/>
            </w14:solidFill>
          </w14:textFill>
        </w:rPr>
        <w:t>经济开发区东城都路</w:t>
      </w:r>
      <w:r>
        <w:rPr>
          <w:color w:val="000000" w:themeColor="text1"/>
          <w:sz w:val="24"/>
          <w:szCs w:val="24"/>
          <w14:textFill>
            <w14:solidFill>
              <w14:schemeClr w14:val="tx1"/>
            </w14:solidFill>
          </w14:textFill>
        </w:rPr>
        <w:t>，中心地理位置坐标为11</w:t>
      </w:r>
      <w:r>
        <w:rPr>
          <w:rFonts w:hint="eastAsia"/>
          <w:color w:val="000000" w:themeColor="text1"/>
          <w:sz w:val="24"/>
          <w:szCs w:val="24"/>
          <w:lang w:val="en-US" w:eastAsia="zh-CN"/>
          <w14:textFill>
            <w14:solidFill>
              <w14:schemeClr w14:val="tx1"/>
            </w14:solidFill>
          </w14:textFill>
        </w:rPr>
        <w:t>6</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192578</w:t>
      </w:r>
      <w:r>
        <w:rPr>
          <w:color w:val="000000" w:themeColor="text1"/>
          <w:sz w:val="24"/>
          <w:szCs w:val="24"/>
          <w14:textFill>
            <w14:solidFill>
              <w14:schemeClr w14:val="tx1"/>
            </w14:solidFill>
          </w14:textFill>
        </w:rPr>
        <w:t>E°，31.50</w:t>
      </w:r>
      <w:r>
        <w:rPr>
          <w:rFonts w:hint="eastAsia"/>
          <w:color w:val="000000" w:themeColor="text1"/>
          <w:sz w:val="24"/>
          <w:szCs w:val="24"/>
          <w:lang w:val="en-US" w:eastAsia="zh-CN"/>
          <w14:textFill>
            <w14:solidFill>
              <w14:schemeClr w14:val="tx1"/>
            </w14:solidFill>
          </w14:textFill>
        </w:rPr>
        <w:t>6813</w:t>
      </w:r>
      <w:r>
        <w:rPr>
          <w:color w:val="000000" w:themeColor="text1"/>
          <w:sz w:val="24"/>
          <w:szCs w:val="24"/>
          <w14:textFill>
            <w14:solidFill>
              <w14:schemeClr w14:val="tx1"/>
            </w14:solidFill>
          </w14:textFill>
        </w:rPr>
        <w:t>N°，见图2.1-1。</w:t>
      </w:r>
    </w:p>
    <w:p>
      <w:pPr>
        <w:ind w:firstLine="480" w:firstLineChars="200"/>
        <w:rPr>
          <w:color w:val="FF0000"/>
          <w:sz w:val="24"/>
          <w:szCs w:val="24"/>
        </w:rPr>
      </w:pPr>
      <w:r>
        <w:rPr>
          <w:sz w:val="24"/>
          <w:szCs w:val="24"/>
        </w:rPr>
        <w:t>（5）建设规模：</w:t>
      </w:r>
      <w:r>
        <w:rPr>
          <w:color w:val="auto"/>
          <w:sz w:val="24"/>
          <w:szCs w:val="24"/>
        </w:rPr>
        <w:t>总占地面积</w:t>
      </w:r>
      <w:r>
        <w:rPr>
          <w:rFonts w:hint="eastAsia"/>
          <w:color w:val="auto"/>
          <w:sz w:val="24"/>
          <w:szCs w:val="24"/>
          <w:lang w:val="en-US" w:eastAsia="zh-CN"/>
        </w:rPr>
        <w:t>9983</w:t>
      </w:r>
      <w:r>
        <w:rPr>
          <w:color w:val="auto"/>
          <w:sz w:val="24"/>
          <w:szCs w:val="24"/>
        </w:rPr>
        <w:t>m</w:t>
      </w:r>
      <w:r>
        <w:rPr>
          <w:color w:val="auto"/>
          <w:sz w:val="24"/>
          <w:szCs w:val="24"/>
          <w:vertAlign w:val="superscript"/>
        </w:rPr>
        <w:t>2</w:t>
      </w:r>
      <w:r>
        <w:rPr>
          <w:color w:val="auto"/>
          <w:sz w:val="24"/>
          <w:szCs w:val="24"/>
        </w:rPr>
        <w:t>，规划总建筑面积为</w:t>
      </w:r>
      <w:r>
        <w:rPr>
          <w:rFonts w:hint="eastAsia"/>
          <w:color w:val="auto"/>
          <w:sz w:val="24"/>
          <w:szCs w:val="24"/>
          <w:lang w:val="en-US" w:eastAsia="zh-CN"/>
        </w:rPr>
        <w:t>12147</w:t>
      </w:r>
      <w:r>
        <w:rPr>
          <w:color w:val="auto"/>
          <w:sz w:val="24"/>
          <w:szCs w:val="24"/>
        </w:rPr>
        <w:t>m</w:t>
      </w:r>
      <w:r>
        <w:rPr>
          <w:color w:val="auto"/>
          <w:sz w:val="24"/>
          <w:szCs w:val="24"/>
          <w:vertAlign w:val="superscript"/>
        </w:rPr>
        <w:t>2</w:t>
      </w:r>
      <w:r>
        <w:rPr>
          <w:color w:val="auto"/>
          <w:sz w:val="24"/>
          <w:szCs w:val="24"/>
        </w:rPr>
        <w:t>，总投资</w:t>
      </w:r>
      <w:r>
        <w:rPr>
          <w:rFonts w:hint="eastAsia"/>
          <w:color w:val="auto"/>
          <w:sz w:val="24"/>
          <w:szCs w:val="24"/>
          <w:lang w:val="en-US" w:eastAsia="zh-CN"/>
        </w:rPr>
        <w:t>1000</w:t>
      </w:r>
      <w:r>
        <w:rPr>
          <w:color w:val="auto"/>
          <w:sz w:val="24"/>
          <w:szCs w:val="24"/>
        </w:rPr>
        <w:t>万元，其中环保投资</w:t>
      </w:r>
      <w:r>
        <w:rPr>
          <w:rFonts w:hint="eastAsia"/>
          <w:color w:val="auto"/>
          <w:sz w:val="24"/>
          <w:szCs w:val="24"/>
          <w:lang w:val="en-US" w:eastAsia="zh-CN"/>
        </w:rPr>
        <w:t>35</w:t>
      </w:r>
      <w:r>
        <w:rPr>
          <w:color w:val="auto"/>
          <w:sz w:val="24"/>
          <w:szCs w:val="24"/>
        </w:rPr>
        <w:t>万元，占总投资的</w:t>
      </w:r>
      <w:r>
        <w:rPr>
          <w:rFonts w:hint="eastAsia"/>
          <w:color w:val="auto"/>
          <w:sz w:val="24"/>
          <w:szCs w:val="24"/>
          <w:lang w:val="en-US" w:eastAsia="zh-CN"/>
        </w:rPr>
        <w:t>3.5</w:t>
      </w:r>
      <w:r>
        <w:rPr>
          <w:color w:val="auto"/>
          <w:sz w:val="24"/>
          <w:szCs w:val="24"/>
        </w:rPr>
        <w:t>%。</w:t>
      </w:r>
      <w:r>
        <w:rPr>
          <w:rFonts w:hint="eastAsia"/>
          <w:color w:val="auto"/>
          <w:sz w:val="24"/>
          <w:szCs w:val="24"/>
        </w:rPr>
        <w:t>项目主要由</w:t>
      </w:r>
      <w:r>
        <w:rPr>
          <w:rFonts w:hint="eastAsia"/>
          <w:color w:val="auto"/>
          <w:sz w:val="24"/>
          <w:szCs w:val="24"/>
          <w:lang w:eastAsia="zh-CN"/>
        </w:rPr>
        <w:t>服装加工生产线</w:t>
      </w:r>
      <w:r>
        <w:rPr>
          <w:rFonts w:hint="eastAsia"/>
          <w:color w:val="auto"/>
          <w:sz w:val="24"/>
          <w:szCs w:val="24"/>
        </w:rPr>
        <w:t>、检验区、</w:t>
      </w:r>
      <w:r>
        <w:rPr>
          <w:rFonts w:hint="eastAsia"/>
          <w:color w:val="auto"/>
          <w:sz w:val="24"/>
          <w:szCs w:val="24"/>
          <w:lang w:eastAsia="zh-CN"/>
        </w:rPr>
        <w:t>成品</w:t>
      </w:r>
      <w:r>
        <w:rPr>
          <w:rFonts w:hint="eastAsia"/>
          <w:color w:val="auto"/>
          <w:sz w:val="24"/>
          <w:szCs w:val="24"/>
        </w:rPr>
        <w:t>仓库、</w:t>
      </w:r>
      <w:r>
        <w:rPr>
          <w:rFonts w:hint="eastAsia"/>
          <w:color w:val="auto"/>
          <w:sz w:val="24"/>
          <w:szCs w:val="24"/>
          <w:lang w:eastAsia="zh-CN"/>
        </w:rPr>
        <w:t>原料仓库</w:t>
      </w:r>
      <w:r>
        <w:rPr>
          <w:rFonts w:hint="eastAsia"/>
          <w:color w:val="auto"/>
          <w:sz w:val="24"/>
          <w:szCs w:val="24"/>
        </w:rPr>
        <w:t>及相关环保工程组成，其中</w:t>
      </w:r>
      <w:r>
        <w:rPr>
          <w:rFonts w:hint="eastAsia"/>
          <w:color w:val="auto"/>
          <w:sz w:val="24"/>
          <w:szCs w:val="24"/>
          <w:lang w:eastAsia="zh-CN"/>
        </w:rPr>
        <w:t>服装加工生产线</w:t>
      </w:r>
      <w:r>
        <w:rPr>
          <w:rFonts w:hint="eastAsia"/>
          <w:color w:val="auto"/>
          <w:sz w:val="24"/>
          <w:szCs w:val="24"/>
        </w:rPr>
        <w:t>布设</w:t>
      </w:r>
      <w:r>
        <w:rPr>
          <w:rFonts w:hint="eastAsia"/>
          <w:color w:val="auto"/>
          <w:sz w:val="24"/>
          <w:szCs w:val="24"/>
          <w:lang w:eastAsia="zh-CN"/>
        </w:rPr>
        <w:t>电脑横机、平车机、套口机、工业洗衣机、脱水机等</w:t>
      </w:r>
      <w:r>
        <w:rPr>
          <w:rFonts w:hint="eastAsia"/>
          <w:color w:val="auto"/>
          <w:sz w:val="24"/>
          <w:szCs w:val="24"/>
        </w:rPr>
        <w:t>设备进行</w:t>
      </w:r>
      <w:r>
        <w:rPr>
          <w:rFonts w:hint="eastAsia"/>
          <w:color w:val="auto"/>
          <w:sz w:val="24"/>
          <w:szCs w:val="24"/>
          <w:lang w:eastAsia="zh-CN"/>
        </w:rPr>
        <w:t>服装加工水洗</w:t>
      </w:r>
      <w:r>
        <w:rPr>
          <w:rFonts w:hint="eastAsia"/>
          <w:color w:val="auto"/>
          <w:sz w:val="24"/>
          <w:szCs w:val="24"/>
        </w:rPr>
        <w:t>，</w:t>
      </w:r>
      <w:r>
        <w:rPr>
          <w:color w:val="auto"/>
          <w:sz w:val="24"/>
          <w:szCs w:val="24"/>
        </w:rPr>
        <w:t>运行后能够达到</w:t>
      </w:r>
      <w:r>
        <w:rPr>
          <w:rFonts w:hint="eastAsia"/>
          <w:color w:val="auto"/>
          <w:sz w:val="24"/>
          <w:szCs w:val="24"/>
          <w:lang w:eastAsia="zh-CN"/>
        </w:rPr>
        <w:t>年产</w:t>
      </w:r>
      <w:r>
        <w:rPr>
          <w:rFonts w:hint="eastAsia"/>
          <w:color w:val="auto"/>
          <w:sz w:val="24"/>
          <w:szCs w:val="24"/>
          <w:lang w:val="en-US" w:eastAsia="zh-CN"/>
        </w:rPr>
        <w:t>150万件服装</w:t>
      </w:r>
      <w:r>
        <w:rPr>
          <w:rFonts w:hint="eastAsia"/>
          <w:color w:val="auto"/>
          <w:sz w:val="24"/>
          <w:szCs w:val="24"/>
        </w:rPr>
        <w:t>生产能力</w:t>
      </w:r>
      <w:r>
        <w:rPr>
          <w:color w:val="auto"/>
          <w:sz w:val="24"/>
          <w:szCs w:val="24"/>
        </w:rPr>
        <w:t>。</w:t>
      </w:r>
    </w:p>
    <w:p>
      <w:pP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2.1.1 建设内容</w:t>
      </w:r>
    </w:p>
    <w:p>
      <w:pPr>
        <w:ind w:firstLine="480" w:firstLineChars="200"/>
        <w:rPr>
          <w:color w:val="FF0000"/>
          <w:sz w:val="24"/>
          <w:szCs w:val="24"/>
        </w:rPr>
      </w:pPr>
      <w:r>
        <w:rPr>
          <w:rFonts w:hint="eastAsia"/>
          <w:color w:val="auto"/>
          <w:sz w:val="24"/>
          <w:szCs w:val="24"/>
          <w:lang w:eastAsia="zh-CN"/>
        </w:rPr>
        <w:t>六安凯旭服饰有限公司年产150万件职工编制生产线项目</w:t>
      </w:r>
      <w:r>
        <w:rPr>
          <w:color w:val="auto"/>
          <w:sz w:val="24"/>
          <w:szCs w:val="24"/>
        </w:rPr>
        <w:t>主要从事</w:t>
      </w:r>
      <w:r>
        <w:rPr>
          <w:rFonts w:hint="eastAsia"/>
          <w:color w:val="auto"/>
          <w:sz w:val="24"/>
          <w:szCs w:val="24"/>
          <w:lang w:eastAsia="zh-CN"/>
        </w:rPr>
        <w:t>服装加工水洗等</w:t>
      </w:r>
      <w:r>
        <w:rPr>
          <w:color w:val="auto"/>
          <w:sz w:val="24"/>
          <w:szCs w:val="24"/>
        </w:rPr>
        <w:t>生产活动，总占地面积</w:t>
      </w:r>
      <w:r>
        <w:rPr>
          <w:rFonts w:hint="eastAsia"/>
          <w:color w:val="auto"/>
          <w:sz w:val="24"/>
          <w:szCs w:val="24"/>
          <w:lang w:val="en-US" w:eastAsia="zh-CN"/>
        </w:rPr>
        <w:t>9983</w:t>
      </w:r>
      <w:r>
        <w:rPr>
          <w:color w:val="auto"/>
          <w:sz w:val="24"/>
          <w:szCs w:val="24"/>
        </w:rPr>
        <w:t>m</w:t>
      </w:r>
      <w:r>
        <w:rPr>
          <w:color w:val="auto"/>
          <w:sz w:val="24"/>
          <w:szCs w:val="24"/>
          <w:vertAlign w:val="superscript"/>
        </w:rPr>
        <w:t>2</w:t>
      </w:r>
      <w:r>
        <w:rPr>
          <w:color w:val="auto"/>
          <w:sz w:val="24"/>
          <w:szCs w:val="24"/>
        </w:rPr>
        <w:t>，规划总建筑面积为</w:t>
      </w:r>
      <w:r>
        <w:rPr>
          <w:rFonts w:hint="eastAsia"/>
          <w:color w:val="auto"/>
          <w:sz w:val="24"/>
          <w:szCs w:val="24"/>
          <w:lang w:val="en-US" w:eastAsia="zh-CN"/>
        </w:rPr>
        <w:t>12147</w:t>
      </w:r>
      <w:r>
        <w:rPr>
          <w:color w:val="auto"/>
          <w:sz w:val="24"/>
          <w:szCs w:val="24"/>
        </w:rPr>
        <w:t>m</w:t>
      </w:r>
      <w:r>
        <w:rPr>
          <w:color w:val="auto"/>
          <w:sz w:val="24"/>
          <w:szCs w:val="24"/>
          <w:vertAlign w:val="superscript"/>
        </w:rPr>
        <w:t>2</w:t>
      </w:r>
      <w:r>
        <w:rPr>
          <w:color w:val="auto"/>
          <w:sz w:val="24"/>
          <w:szCs w:val="24"/>
        </w:rPr>
        <w:t>，总投资</w:t>
      </w:r>
      <w:r>
        <w:rPr>
          <w:rFonts w:hint="eastAsia"/>
          <w:color w:val="auto"/>
          <w:sz w:val="24"/>
          <w:szCs w:val="24"/>
          <w:lang w:val="en-US" w:eastAsia="zh-CN"/>
        </w:rPr>
        <w:t>1000</w:t>
      </w:r>
      <w:r>
        <w:rPr>
          <w:color w:val="auto"/>
          <w:sz w:val="24"/>
          <w:szCs w:val="24"/>
        </w:rPr>
        <w:t>万元，其中环保投资</w:t>
      </w:r>
      <w:r>
        <w:rPr>
          <w:rFonts w:hint="eastAsia"/>
          <w:color w:val="auto"/>
          <w:sz w:val="24"/>
          <w:szCs w:val="24"/>
          <w:lang w:val="en-US" w:eastAsia="zh-CN"/>
        </w:rPr>
        <w:t>35</w:t>
      </w:r>
      <w:r>
        <w:rPr>
          <w:color w:val="auto"/>
          <w:sz w:val="24"/>
          <w:szCs w:val="24"/>
        </w:rPr>
        <w:t>万元，占总投资的</w:t>
      </w:r>
      <w:r>
        <w:rPr>
          <w:rFonts w:hint="eastAsia"/>
          <w:color w:val="auto"/>
          <w:sz w:val="24"/>
          <w:szCs w:val="24"/>
          <w:lang w:val="en-US" w:eastAsia="zh-CN"/>
        </w:rPr>
        <w:t>3.5</w:t>
      </w:r>
      <w:r>
        <w:rPr>
          <w:color w:val="auto"/>
          <w:sz w:val="24"/>
          <w:szCs w:val="24"/>
        </w:rPr>
        <w:t>%。</w:t>
      </w:r>
      <w:r>
        <w:rPr>
          <w:rFonts w:hint="eastAsia"/>
          <w:color w:val="auto"/>
          <w:sz w:val="24"/>
          <w:szCs w:val="24"/>
        </w:rPr>
        <w:t>项目主要由</w:t>
      </w:r>
      <w:r>
        <w:rPr>
          <w:rFonts w:hint="eastAsia"/>
          <w:color w:val="auto"/>
          <w:sz w:val="24"/>
          <w:szCs w:val="24"/>
          <w:lang w:eastAsia="zh-CN"/>
        </w:rPr>
        <w:t>服装加工生产线</w:t>
      </w:r>
      <w:r>
        <w:rPr>
          <w:rFonts w:hint="eastAsia"/>
          <w:color w:val="auto"/>
          <w:sz w:val="24"/>
          <w:szCs w:val="24"/>
        </w:rPr>
        <w:t>、检验区、</w:t>
      </w:r>
      <w:r>
        <w:rPr>
          <w:rFonts w:hint="eastAsia"/>
          <w:color w:val="auto"/>
          <w:sz w:val="24"/>
          <w:szCs w:val="24"/>
          <w:lang w:eastAsia="zh-CN"/>
        </w:rPr>
        <w:t>成品</w:t>
      </w:r>
      <w:r>
        <w:rPr>
          <w:rFonts w:hint="eastAsia"/>
          <w:color w:val="auto"/>
          <w:sz w:val="24"/>
          <w:szCs w:val="24"/>
        </w:rPr>
        <w:t>仓库、</w:t>
      </w:r>
      <w:r>
        <w:rPr>
          <w:rFonts w:hint="eastAsia"/>
          <w:color w:val="auto"/>
          <w:sz w:val="24"/>
          <w:szCs w:val="24"/>
          <w:lang w:eastAsia="zh-CN"/>
        </w:rPr>
        <w:t>原料仓库</w:t>
      </w:r>
      <w:r>
        <w:rPr>
          <w:rFonts w:hint="eastAsia"/>
          <w:color w:val="auto"/>
          <w:sz w:val="24"/>
          <w:szCs w:val="24"/>
        </w:rPr>
        <w:t>及相关环保工程组成，其中</w:t>
      </w:r>
      <w:r>
        <w:rPr>
          <w:rFonts w:hint="eastAsia"/>
          <w:color w:val="auto"/>
          <w:sz w:val="24"/>
          <w:szCs w:val="24"/>
          <w:lang w:eastAsia="zh-CN"/>
        </w:rPr>
        <w:t>服装加工生产线</w:t>
      </w:r>
      <w:r>
        <w:rPr>
          <w:rFonts w:hint="eastAsia"/>
          <w:color w:val="auto"/>
          <w:sz w:val="24"/>
          <w:szCs w:val="24"/>
        </w:rPr>
        <w:t>布设</w:t>
      </w:r>
      <w:r>
        <w:rPr>
          <w:rFonts w:hint="eastAsia"/>
          <w:color w:val="auto"/>
          <w:sz w:val="24"/>
          <w:szCs w:val="24"/>
          <w:lang w:eastAsia="zh-CN"/>
        </w:rPr>
        <w:t>电脑横机、平车机、套口机、工业洗衣机、脱水机等</w:t>
      </w:r>
      <w:r>
        <w:rPr>
          <w:rFonts w:hint="eastAsia"/>
          <w:color w:val="auto"/>
          <w:sz w:val="24"/>
          <w:szCs w:val="24"/>
        </w:rPr>
        <w:t>设备进行</w:t>
      </w:r>
      <w:r>
        <w:rPr>
          <w:rFonts w:hint="eastAsia"/>
          <w:color w:val="auto"/>
          <w:sz w:val="24"/>
          <w:szCs w:val="24"/>
          <w:lang w:eastAsia="zh-CN"/>
        </w:rPr>
        <w:t>服装加工水洗</w:t>
      </w:r>
      <w:r>
        <w:rPr>
          <w:rFonts w:hint="eastAsia"/>
          <w:color w:val="auto"/>
          <w:sz w:val="24"/>
          <w:szCs w:val="24"/>
        </w:rPr>
        <w:t>，</w:t>
      </w:r>
      <w:r>
        <w:rPr>
          <w:color w:val="auto"/>
          <w:sz w:val="24"/>
          <w:szCs w:val="24"/>
        </w:rPr>
        <w:t>运行后能够达到</w:t>
      </w:r>
      <w:r>
        <w:rPr>
          <w:rFonts w:hint="eastAsia"/>
          <w:color w:val="auto"/>
          <w:sz w:val="24"/>
          <w:szCs w:val="24"/>
          <w:lang w:eastAsia="zh-CN"/>
        </w:rPr>
        <w:t>年产</w:t>
      </w:r>
      <w:r>
        <w:rPr>
          <w:rFonts w:hint="eastAsia"/>
          <w:color w:val="auto"/>
          <w:sz w:val="24"/>
          <w:szCs w:val="24"/>
          <w:lang w:val="en-US" w:eastAsia="zh-CN"/>
        </w:rPr>
        <w:t>150万件服装</w:t>
      </w:r>
      <w:r>
        <w:rPr>
          <w:rFonts w:hint="eastAsia"/>
          <w:color w:val="auto"/>
          <w:sz w:val="24"/>
          <w:szCs w:val="24"/>
        </w:rPr>
        <w:t>生产能力</w:t>
      </w:r>
      <w:r>
        <w:rPr>
          <w:color w:val="auto"/>
          <w:sz w:val="24"/>
          <w:szCs w:val="24"/>
        </w:rPr>
        <w:t>。</w:t>
      </w:r>
    </w:p>
    <w:p>
      <w:pPr>
        <w:ind w:firstLine="480" w:firstLineChars="200"/>
        <w:rPr>
          <w:sz w:val="24"/>
          <w:szCs w:val="24"/>
        </w:rPr>
      </w:pPr>
      <w:r>
        <w:rPr>
          <w:sz w:val="24"/>
          <w:szCs w:val="24"/>
        </w:rPr>
        <w:t>项目主要建设内容详见表2.1-1。</w:t>
      </w:r>
    </w:p>
    <w:p>
      <w:pPr>
        <w:rPr>
          <w:bCs/>
          <w:sz w:val="24"/>
          <w:szCs w:val="24"/>
        </w:rPr>
        <w:sectPr>
          <w:pgSz w:w="11906" w:h="16838"/>
          <w:pgMar w:top="1440" w:right="1701" w:bottom="1440" w:left="1587" w:header="851" w:footer="992" w:gutter="0"/>
          <w:pgBorders>
            <w:top w:val="none" w:sz="0" w:space="0"/>
            <w:left w:val="none" w:sz="0" w:space="0"/>
            <w:bottom w:val="none" w:sz="0" w:space="0"/>
            <w:right w:val="none" w:sz="0" w:space="0"/>
          </w:pgBorders>
          <w:cols w:space="720" w:num="1"/>
          <w:docGrid w:linePitch="312" w:charSpace="0"/>
        </w:sectPr>
      </w:pPr>
    </w:p>
    <w:p>
      <w:pPr>
        <w:jc w:val="center"/>
        <w:rPr>
          <w:b/>
          <w:bCs/>
        </w:rPr>
      </w:pPr>
      <w:r>
        <mc:AlternateContent>
          <mc:Choice Requires="wps">
            <w:drawing>
              <wp:anchor distT="0" distB="0" distL="114300" distR="114300" simplePos="0" relativeHeight="251672576" behindDoc="0" locked="0" layoutInCell="1" allowOverlap="1">
                <wp:simplePos x="0" y="0"/>
                <wp:positionH relativeFrom="column">
                  <wp:posOffset>4246245</wp:posOffset>
                </wp:positionH>
                <wp:positionV relativeFrom="paragraph">
                  <wp:posOffset>3156585</wp:posOffset>
                </wp:positionV>
                <wp:extent cx="1057275" cy="266065"/>
                <wp:effectExtent l="0" t="0" r="0" b="0"/>
                <wp:wrapNone/>
                <wp:docPr id="487" name="文本框 487"/>
                <wp:cNvGraphicFramePr/>
                <a:graphic xmlns:a="http://schemas.openxmlformats.org/drawingml/2006/main">
                  <a:graphicData uri="http://schemas.microsoft.com/office/word/2010/wordprocessingShape">
                    <wps:wsp>
                      <wps:cNvSpPr txBox="1"/>
                      <wps:spPr>
                        <a:xfrm>
                          <a:off x="5303520" y="4288155"/>
                          <a:ext cx="1057275" cy="266065"/>
                        </a:xfrm>
                        <a:prstGeom prst="rect">
                          <a:avLst/>
                        </a:prstGeom>
                        <a:noFill/>
                        <a:ln w="6350">
                          <a:noFill/>
                        </a:ln>
                        <a:effectLst/>
                      </wps:spPr>
                      <wps:txbx>
                        <w:txbxContent>
                          <w:p>
                            <w:pPr>
                              <w:rPr>
                                <w:b/>
                                <w:bCs/>
                                <w:color w:val="FF0000"/>
                              </w:rPr>
                            </w:pPr>
                            <w:r>
                              <w:rPr>
                                <w:rFonts w:hint="eastAsia"/>
                                <w:b/>
                                <w:bCs/>
                                <w:color w:val="FF0000"/>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35pt;margin-top:248.55pt;height:20.95pt;width:83.25pt;z-index:251672576;mso-width-relative:page;mso-height-relative:page;" filled="f" stroked="f" coordsize="21600,21600" o:gfxdata="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AsOzXdAAAACwEAAA8AAAAAAAAAAQAgAAAAIgAAAGRycy9kb3du&#10;cmV2LnhtbFBLAQIUABQAAAAIAIdO4kDB2dyzMwIAADYEAAAOAAAAAAAAAAEAIAAAACwBAABkcnMv&#10;ZTJvRG9jLnhtbFBLBQYAAAAABgAGAFkBAADRBQAAAAA=&#10;">
                <v:fill on="f" focussize="0,0"/>
                <v:stroke on="f" weight="0.5pt"/>
                <v:imagedata o:title=""/>
                <o:lock v:ext="edit" aspectratio="f"/>
                <v:textbox>
                  <w:txbxContent>
                    <w:p>
                      <w:pPr>
                        <w:rPr>
                          <w:b/>
                          <w:bCs/>
                          <w:color w:val="FF0000"/>
                        </w:rPr>
                      </w:pPr>
                      <w:r>
                        <w:rPr>
                          <w:rFonts w:hint="eastAsia"/>
                          <w:b/>
                          <w:bCs/>
                          <w:color w:val="FF0000"/>
                        </w:rPr>
                        <w:t>项目所在地</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3855720</wp:posOffset>
                </wp:positionH>
                <wp:positionV relativeFrom="paragraph">
                  <wp:posOffset>2566035</wp:posOffset>
                </wp:positionV>
                <wp:extent cx="523875" cy="571500"/>
                <wp:effectExtent l="0" t="0" r="9525" b="19050"/>
                <wp:wrapNone/>
                <wp:docPr id="486" name="直接箭头连接符 486"/>
                <wp:cNvGraphicFramePr/>
                <a:graphic xmlns:a="http://schemas.openxmlformats.org/drawingml/2006/main">
                  <a:graphicData uri="http://schemas.microsoft.com/office/word/2010/wordprocessingShape">
                    <wps:wsp>
                      <wps:cNvCnPr/>
                      <wps:spPr>
                        <a:xfrm flipH="1" flipV="1">
                          <a:off x="4921885" y="3564255"/>
                          <a:ext cx="523875" cy="571500"/>
                        </a:xfrm>
                        <a:prstGeom prst="straightConnector1">
                          <a:avLst/>
                        </a:prstGeom>
                        <a:noFill/>
                        <a:ln w="19050" cap="flat" cmpd="sng" algn="ctr">
                          <a:solidFill>
                            <a:srgbClr val="FF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303.6pt;margin-top:202.05pt;height:45pt;width:41.25pt;z-index:251671552;mso-width-relative:page;mso-height-relative:page;" filled="f" stroked="t" coordsize="21600,21600" o:gfxdata="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q4D+t2QAAAAsBAAAPAAAAAAAA&#10;AAEAIAAAACIAAABkcnMvZG93bnJldi54bWxQSwECFAAUAAAACACHTuJAHApTbhECAADHAwAADgAA&#10;AAAAAAABACAAAAAoAQAAZHJzL2Uyb0RvYy54bWxQSwUGAAAAAAYABgBZAQAAqwUAAAAA&#10;">
                <v:fill on="f" focussize="0,0"/>
                <v:stroke weight="1.5pt" color="#FF0000" miterlimit="8" joinstyle="miter" endarrow="open"/>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3693795</wp:posOffset>
                </wp:positionH>
                <wp:positionV relativeFrom="paragraph">
                  <wp:posOffset>2442210</wp:posOffset>
                </wp:positionV>
                <wp:extent cx="152400" cy="114300"/>
                <wp:effectExtent l="23495" t="16510" r="33655" b="21590"/>
                <wp:wrapNone/>
                <wp:docPr id="485" name="五角星 485"/>
                <wp:cNvGraphicFramePr/>
                <a:graphic xmlns:a="http://schemas.openxmlformats.org/drawingml/2006/main">
                  <a:graphicData uri="http://schemas.microsoft.com/office/word/2010/wordprocessingShape">
                    <wps:wsp>
                      <wps:cNvSpPr/>
                      <wps:spPr>
                        <a:xfrm>
                          <a:off x="4798695" y="3449955"/>
                          <a:ext cx="152400" cy="114300"/>
                        </a:xfrm>
                        <a:prstGeom prst="star5">
                          <a:avLst>
                            <a:gd name="adj" fmla="val 19347"/>
                            <a:gd name="hf" fmla="val 105146"/>
                            <a:gd name="vf" fmla="val 110557"/>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90.85pt;margin-top:192.3pt;height:9pt;width:12pt;z-index:251670528;v-text-anchor:middle;mso-width-relative:page;mso-height-relative:page;" fillcolor="#FF0000" filled="t" stroked="t" coordsize="152400,114300" o:gfxdata="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ypGgY2gAAAAsBAAAPAAAAAAAAAAEAIAAAACIAAABkcnMvZG93bnJldi54bWxQSwECFAAU&#10;AAAACACHTuJADRBltZoCAAA5BQAADgAAAAAAAAABACAAAAApAQAAZHJzL2Uyb0RvYy54bWxQSwUG&#10;AAAAAAYABgBZAQAANQYAAAAA&#10;" path="m0,43658l57977,43404,76200,0,94422,43404,152399,43658,105684,70738,123294,114299,76200,87631,29105,114299,46715,70738xe">
                <v:path o:connectlocs="76200,0;0,43658;29105,114299;123294,114299;152399,43658" o:connectangles="247,164,82,82,0"/>
                <v:fill on="t" focussize="0,0"/>
                <v:stroke weight="1pt" color="#FF0000" miterlimit="8" joinstyle="miter"/>
                <v:imagedata o:title=""/>
                <o:lock v:ext="edit" aspectratio="f"/>
              </v:shape>
            </w:pict>
          </mc:Fallback>
        </mc:AlternateContent>
      </w:r>
      <w:r>
        <w:drawing>
          <wp:inline distT="0" distB="0" distL="114300" distR="114300">
            <wp:extent cx="8853170" cy="5145405"/>
            <wp:effectExtent l="9525" t="9525" r="14605" b="26670"/>
            <wp:docPr id="58" name="图片 58" descr="微信截图_2019092409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截图_20190924094739"/>
                    <pic:cNvPicPr>
                      <a:picLocks noChangeAspect="1"/>
                    </pic:cNvPicPr>
                  </pic:nvPicPr>
                  <pic:blipFill>
                    <a:blip r:embed="rId21"/>
                    <a:stretch>
                      <a:fillRect/>
                    </a:stretch>
                  </pic:blipFill>
                  <pic:spPr>
                    <a:xfrm>
                      <a:off x="0" y="0"/>
                      <a:ext cx="8853170" cy="5145405"/>
                    </a:xfrm>
                    <a:prstGeom prst="rect">
                      <a:avLst/>
                    </a:prstGeom>
                    <a:ln>
                      <a:solidFill>
                        <a:schemeClr val="tx1"/>
                      </a:solidFill>
                    </a:ln>
                  </pic:spPr>
                </pic:pic>
              </a:graphicData>
            </a:graphic>
          </wp:inline>
        </w:drawing>
      </w:r>
      <w:r>
        <mc:AlternateContent>
          <mc:Choice Requires="wps">
            <w:drawing>
              <wp:anchor distT="0" distB="0" distL="114300" distR="114300" simplePos="0" relativeHeight="251607040" behindDoc="1" locked="0" layoutInCell="1" allowOverlap="1">
                <wp:simplePos x="0" y="0"/>
                <wp:positionH relativeFrom="column">
                  <wp:posOffset>3326130</wp:posOffset>
                </wp:positionH>
                <wp:positionV relativeFrom="paragraph">
                  <wp:posOffset>5363845</wp:posOffset>
                </wp:positionV>
                <wp:extent cx="2212975" cy="434340"/>
                <wp:effectExtent l="0" t="0" r="0" b="0"/>
                <wp:wrapNone/>
                <wp:docPr id="59" name="文本框 59"/>
                <wp:cNvGraphicFramePr/>
                <a:graphic xmlns:a="http://schemas.openxmlformats.org/drawingml/2006/main">
                  <a:graphicData uri="http://schemas.microsoft.com/office/word/2010/wordprocessingShape">
                    <wps:wsp>
                      <wps:cNvSpPr txBox="1"/>
                      <wps:spPr>
                        <a:xfrm>
                          <a:off x="3515360" y="6147435"/>
                          <a:ext cx="2212975" cy="434340"/>
                        </a:xfrm>
                        <a:prstGeom prst="rect">
                          <a:avLst/>
                        </a:prstGeom>
                        <a:noFill/>
                        <a:ln w="6350">
                          <a:noFill/>
                        </a:ln>
                        <a:effectLst/>
                      </wps:spPr>
                      <wps:txbx>
                        <w:txbxContent>
                          <w:p>
                            <w:pPr>
                              <w:rPr>
                                <w:b/>
                                <w:bCs/>
                                <w:sz w:val="24"/>
                                <w:szCs w:val="24"/>
                              </w:rPr>
                            </w:pPr>
                            <w:r>
                              <w:rPr>
                                <w:rFonts w:hint="eastAsia"/>
                                <w:b/>
                                <w:bCs/>
                                <w:sz w:val="24"/>
                                <w:szCs w:val="24"/>
                              </w:rPr>
                              <w:t>图2.1-1 项目地理位置示意图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9pt;margin-top:422.35pt;height:34.2pt;width:174.25pt;z-index:-251709440;mso-width-relative:page;mso-height-relative:page;" filled="f" stroked="f" coordsize="21600,21600" o:gfxdata="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YkjlF3QAAAAsBAAAPAAAAAAAAAAEAIAAAACIAAABkcnMvZG93&#10;bnJldi54bWxQSwECFAAUAAAACACHTuJAuHTrhjQCAAA0BAAADgAAAAAAAAABACAAAAAsAQAAZHJz&#10;L2Uyb0RvYy54bWxQSwUGAAAAAAYABgBZAQAA0gUAAAAA&#10;">
                <v:fill on="f" focussize="0,0"/>
                <v:stroke on="f" weight="0.5pt"/>
                <v:imagedata o:title=""/>
                <o:lock v:ext="edit" aspectratio="f"/>
                <v:textbox>
                  <w:txbxContent>
                    <w:p>
                      <w:pPr>
                        <w:rPr>
                          <w:b/>
                          <w:bCs/>
                          <w:sz w:val="24"/>
                          <w:szCs w:val="24"/>
                        </w:rPr>
                      </w:pPr>
                      <w:r>
                        <w:rPr>
                          <w:rFonts w:hint="eastAsia"/>
                          <w:b/>
                          <w:bCs/>
                          <w:sz w:val="24"/>
                          <w:szCs w:val="24"/>
                        </w:rPr>
                        <w:t>图2.1-1 项目地理位置示意图</w:t>
                      </w:r>
                    </w:p>
                  </w:txbxContent>
                </v:textbox>
              </v:shape>
            </w:pict>
          </mc:Fallback>
        </mc:AlternateContent>
      </w:r>
    </w:p>
    <w:p>
      <w:pPr>
        <w:jc w:val="center"/>
        <w:rPr>
          <w:b/>
          <w:bCs/>
        </w:rPr>
        <w:sectPr>
          <w:pgSz w:w="16838" w:h="11906" w:orient="landscape"/>
          <w:pgMar w:top="1587" w:right="1440" w:bottom="1701" w:left="1440" w:header="851" w:footer="992" w:gutter="0"/>
          <w:pgBorders>
            <w:top w:val="none" w:sz="0" w:space="0"/>
            <w:left w:val="none" w:sz="0" w:space="0"/>
            <w:bottom w:val="none" w:sz="0" w:space="0"/>
            <w:right w:val="none" w:sz="0" w:space="0"/>
          </w:pgBorders>
          <w:cols w:space="720" w:num="1"/>
          <w:docGrid w:linePitch="312" w:charSpace="0"/>
        </w:sectPr>
      </w:pPr>
    </w:p>
    <w:p>
      <w:pPr>
        <w:spacing w:line="240" w:lineRule="auto"/>
        <w:ind w:firstLine="2650" w:firstLineChars="1100"/>
        <w:rPr>
          <w:b/>
          <w:bCs/>
          <w:sz w:val="24"/>
          <w:szCs w:val="24"/>
        </w:rPr>
      </w:pPr>
      <w:r>
        <w:rPr>
          <w:b/>
          <w:bCs/>
          <w:sz w:val="24"/>
          <w:szCs w:val="24"/>
        </w:rPr>
        <w:t>表2</w:t>
      </w:r>
      <w:r>
        <w:rPr>
          <w:rFonts w:hint="eastAsia"/>
          <w:b/>
          <w:bCs/>
          <w:sz w:val="24"/>
          <w:szCs w:val="24"/>
          <w:lang w:val="en-US" w:eastAsia="zh-CN"/>
        </w:rPr>
        <w:t>.</w:t>
      </w:r>
      <w:r>
        <w:rPr>
          <w:b/>
          <w:bCs/>
          <w:sz w:val="24"/>
          <w:szCs w:val="24"/>
        </w:rPr>
        <w:t>1-1  建设项目主要组成一览表</w:t>
      </w:r>
    </w:p>
    <w:tbl>
      <w:tblPr>
        <w:tblStyle w:val="22"/>
        <w:tblW w:w="883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2125"/>
        <w:gridCol w:w="54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288" w:type="dxa"/>
            <w:vAlign w:val="center"/>
          </w:tcPr>
          <w:p>
            <w:pPr>
              <w:tabs>
                <w:tab w:val="left" w:pos="3255"/>
              </w:tabs>
              <w:spacing w:line="240" w:lineRule="auto"/>
              <w:jc w:val="center"/>
            </w:pPr>
            <w:r>
              <w:t>工程</w:t>
            </w:r>
          </w:p>
          <w:p>
            <w:pPr>
              <w:tabs>
                <w:tab w:val="left" w:pos="3255"/>
              </w:tabs>
              <w:spacing w:line="240" w:lineRule="auto"/>
              <w:jc w:val="center"/>
            </w:pPr>
            <w:r>
              <w:t>类别</w:t>
            </w:r>
          </w:p>
        </w:tc>
        <w:tc>
          <w:tcPr>
            <w:tcW w:w="2125" w:type="dxa"/>
            <w:vAlign w:val="center"/>
          </w:tcPr>
          <w:p>
            <w:pPr>
              <w:tabs>
                <w:tab w:val="left" w:pos="3255"/>
              </w:tabs>
              <w:spacing w:line="240" w:lineRule="auto"/>
              <w:jc w:val="center"/>
            </w:pPr>
            <w:r>
              <w:t>单项工程</w:t>
            </w:r>
          </w:p>
        </w:tc>
        <w:tc>
          <w:tcPr>
            <w:tcW w:w="5421" w:type="dxa"/>
            <w:vAlign w:val="center"/>
          </w:tcPr>
          <w:p>
            <w:pPr>
              <w:tabs>
                <w:tab w:val="left" w:pos="3255"/>
              </w:tabs>
              <w:spacing w:line="240" w:lineRule="auto"/>
              <w:jc w:val="center"/>
            </w:pPr>
            <w:r>
              <w:t>工程内容</w:t>
            </w:r>
            <w:r>
              <w:rPr>
                <w:rFonts w:hint="eastAsia"/>
              </w:rPr>
              <w:t>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8" w:type="dxa"/>
            <w:vMerge w:val="restart"/>
            <w:vAlign w:val="center"/>
          </w:tcPr>
          <w:p>
            <w:pPr>
              <w:tabs>
                <w:tab w:val="left" w:pos="3255"/>
              </w:tabs>
              <w:spacing w:line="240" w:lineRule="auto"/>
              <w:jc w:val="center"/>
            </w:pPr>
            <w:r>
              <w:t>主体</w:t>
            </w:r>
          </w:p>
          <w:p>
            <w:pPr>
              <w:tabs>
                <w:tab w:val="left" w:pos="3255"/>
              </w:tabs>
              <w:spacing w:line="240" w:lineRule="auto"/>
              <w:jc w:val="center"/>
            </w:pPr>
            <w:r>
              <w:t>工程</w:t>
            </w:r>
          </w:p>
        </w:tc>
        <w:tc>
          <w:tcPr>
            <w:tcW w:w="2125" w:type="dxa"/>
            <w:vAlign w:val="center"/>
          </w:tcPr>
          <w:p>
            <w:pPr>
              <w:tabs>
                <w:tab w:val="left" w:pos="3255"/>
              </w:tabs>
              <w:spacing w:line="240" w:lineRule="auto"/>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倒纱织片区</w:t>
            </w:r>
          </w:p>
        </w:tc>
        <w:tc>
          <w:tcPr>
            <w:tcW w:w="5421" w:type="dxa"/>
            <w:vAlign w:val="center"/>
          </w:tcPr>
          <w:p>
            <w:pPr>
              <w:tabs>
                <w:tab w:val="left" w:pos="3255"/>
              </w:tabs>
              <w:spacing w:line="240" w:lineRule="auto"/>
              <w:jc w:val="center"/>
              <w:rPr>
                <w:rFonts w:hint="eastAsia"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位于</w:t>
            </w:r>
            <w:r>
              <w:rPr>
                <w:rFonts w:hint="eastAsia"/>
                <w:color w:val="000000" w:themeColor="text1"/>
                <w:lang w:val="en-US" w:eastAsia="zh-CN"/>
                <w14:textFill>
                  <w14:solidFill>
                    <w14:schemeClr w14:val="tx1"/>
                  </w14:solidFill>
                </w14:textFill>
              </w:rPr>
              <w:t>2#车间3层和4层的南侧，建筑面积约</w:t>
            </w:r>
            <w:r>
              <w:rPr>
                <w:rFonts w:hint="eastAsia"/>
                <w:lang w:val="en-US" w:eastAsia="zh-CN"/>
              </w:rPr>
              <w:t>1500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布设倒纱机、电脑横机等设备对原料进行加工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8" w:type="dxa"/>
            <w:vMerge w:val="continue"/>
            <w:vAlign w:val="center"/>
          </w:tcPr>
          <w:p>
            <w:pPr>
              <w:tabs>
                <w:tab w:val="left" w:pos="3255"/>
              </w:tabs>
              <w:spacing w:line="240" w:lineRule="auto"/>
              <w:jc w:val="center"/>
            </w:pPr>
          </w:p>
        </w:tc>
        <w:tc>
          <w:tcPr>
            <w:tcW w:w="2125" w:type="dxa"/>
            <w:vAlign w:val="center"/>
          </w:tcPr>
          <w:p>
            <w:pPr>
              <w:tabs>
                <w:tab w:val="left" w:pos="3255"/>
              </w:tabs>
              <w:spacing w:line="240" w:lineRule="auto"/>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套口缝合区</w:t>
            </w:r>
          </w:p>
        </w:tc>
        <w:tc>
          <w:tcPr>
            <w:tcW w:w="5421" w:type="dxa"/>
            <w:vAlign w:val="center"/>
          </w:tcPr>
          <w:p>
            <w:pPr>
              <w:tabs>
                <w:tab w:val="left" w:pos="3255"/>
              </w:tabs>
              <w:spacing w:line="240" w:lineRule="auto"/>
              <w:jc w:val="center"/>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位于</w:t>
            </w:r>
            <w:r>
              <w:rPr>
                <w:rFonts w:hint="eastAsia"/>
                <w:color w:val="000000" w:themeColor="text1"/>
                <w:lang w:val="en-US" w:eastAsia="zh-CN"/>
                <w14:textFill>
                  <w14:solidFill>
                    <w14:schemeClr w14:val="tx1"/>
                  </w14:solidFill>
                </w14:textFill>
              </w:rPr>
              <w:t>2#车间3层和4层的北侧，建筑面积约</w:t>
            </w:r>
            <w:r>
              <w:rPr>
                <w:rFonts w:hint="eastAsia"/>
                <w:lang w:val="en-US" w:eastAsia="zh-CN"/>
              </w:rPr>
              <w:t>970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布设套口机等设备对服装半成品进行加工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8" w:type="dxa"/>
            <w:vMerge w:val="continue"/>
            <w:vAlign w:val="center"/>
          </w:tcPr>
          <w:p>
            <w:pPr>
              <w:tabs>
                <w:tab w:val="left" w:pos="3255"/>
              </w:tabs>
              <w:spacing w:line="240" w:lineRule="auto"/>
              <w:jc w:val="center"/>
            </w:pPr>
          </w:p>
        </w:tc>
        <w:tc>
          <w:tcPr>
            <w:tcW w:w="2125" w:type="dxa"/>
            <w:vAlign w:val="center"/>
          </w:tcPr>
          <w:p>
            <w:pPr>
              <w:spacing w:line="240" w:lineRule="auto"/>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水洗区</w:t>
            </w:r>
          </w:p>
        </w:tc>
        <w:tc>
          <w:tcPr>
            <w:tcW w:w="5421" w:type="dxa"/>
            <w:vAlign w:val="center"/>
          </w:tcPr>
          <w:p>
            <w:pPr>
              <w:tabs>
                <w:tab w:val="left" w:pos="3255"/>
              </w:tabs>
              <w:spacing w:line="240" w:lineRule="auto"/>
              <w:jc w:val="center"/>
              <w:rPr>
                <w:rFonts w:hint="eastAsia" w:eastAsia="宋体"/>
                <w:color w:val="000000" w:themeColor="text1"/>
                <w:lang w:val="en-US" w:eastAsia="zh-CN"/>
                <w14:textFill>
                  <w14:solidFill>
                    <w14:schemeClr w14:val="tx1"/>
                  </w14:solidFill>
                </w14:textFill>
              </w:rPr>
            </w:pPr>
            <w:r>
              <w:t>位于</w:t>
            </w:r>
            <w:r>
              <w:rPr>
                <w:rFonts w:hint="eastAsia"/>
                <w:lang w:val="en-US" w:eastAsia="zh-CN"/>
              </w:rPr>
              <w:t>1#车间内东北侧，建筑面积约300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布设工业洗衣机、脱水机、烘干机等设备对服装进行水洗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8" w:type="dxa"/>
            <w:vMerge w:val="restart"/>
            <w:vAlign w:val="center"/>
          </w:tcPr>
          <w:p>
            <w:pPr>
              <w:tabs>
                <w:tab w:val="left" w:pos="3255"/>
              </w:tabs>
              <w:spacing w:line="240" w:lineRule="auto"/>
              <w:jc w:val="center"/>
            </w:pPr>
            <w:r>
              <w:t>辅助</w:t>
            </w:r>
          </w:p>
          <w:p>
            <w:pPr>
              <w:tabs>
                <w:tab w:val="left" w:pos="3255"/>
              </w:tabs>
              <w:spacing w:line="240" w:lineRule="auto"/>
              <w:jc w:val="center"/>
            </w:pPr>
            <w:r>
              <w:t>工程</w:t>
            </w:r>
          </w:p>
        </w:tc>
        <w:tc>
          <w:tcPr>
            <w:tcW w:w="2125" w:type="dxa"/>
            <w:vAlign w:val="center"/>
          </w:tcPr>
          <w:p>
            <w:pPr>
              <w:spacing w:line="240" w:lineRule="auto"/>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综合楼</w:t>
            </w:r>
          </w:p>
        </w:tc>
        <w:tc>
          <w:tcPr>
            <w:tcW w:w="5421" w:type="dxa"/>
            <w:vAlign w:val="center"/>
          </w:tcPr>
          <w:p>
            <w:pPr>
              <w:tabs>
                <w:tab w:val="left" w:pos="3255"/>
              </w:tabs>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位于</w:t>
            </w:r>
            <w:r>
              <w:rPr>
                <w:rFonts w:hint="eastAsia"/>
                <w:color w:val="000000" w:themeColor="text1"/>
                <w:lang w:val="en-US" w:eastAsia="zh-CN"/>
                <w14:textFill>
                  <w14:solidFill>
                    <w14:schemeClr w14:val="tx1"/>
                  </w14:solidFill>
                </w14:textFill>
              </w:rPr>
              <w:t>1#车间外西侧2层建筑物，建筑面积约1800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其中</w:t>
            </w:r>
            <w:r>
              <w:rPr>
                <w:rFonts w:hint="eastAsia"/>
                <w:color w:val="000000" w:themeColor="text1"/>
                <w:lang w:val="en-US" w:eastAsia="zh-CN"/>
                <w14:textFill>
                  <w14:solidFill>
                    <w14:schemeClr w14:val="tx1"/>
                  </w14:solidFill>
                </w14:textFill>
              </w:rPr>
              <w:t>1层作为展厅，2层作为</w:t>
            </w:r>
            <w:r>
              <w:rPr>
                <w:color w:val="000000" w:themeColor="text1"/>
                <w14:textFill>
                  <w14:solidFill>
                    <w14:schemeClr w14:val="tx1"/>
                  </w14:solidFill>
                </w14:textFill>
              </w:rPr>
              <w:t>用于员工办公及交易使用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8" w:type="dxa"/>
            <w:vMerge w:val="continue"/>
            <w:vAlign w:val="center"/>
          </w:tcPr>
          <w:p>
            <w:pPr>
              <w:tabs>
                <w:tab w:val="left" w:pos="3255"/>
              </w:tabs>
              <w:spacing w:line="240" w:lineRule="auto"/>
              <w:jc w:val="center"/>
            </w:pPr>
          </w:p>
        </w:tc>
        <w:tc>
          <w:tcPr>
            <w:tcW w:w="2125" w:type="dxa"/>
            <w:vAlign w:val="center"/>
          </w:tcPr>
          <w:p>
            <w:pPr>
              <w:tabs>
                <w:tab w:val="left" w:pos="3255"/>
              </w:tabs>
              <w:spacing w:line="240" w:lineRule="auto"/>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办公区</w:t>
            </w:r>
          </w:p>
        </w:tc>
        <w:tc>
          <w:tcPr>
            <w:tcW w:w="5421" w:type="dxa"/>
            <w:vAlign w:val="center"/>
          </w:tcPr>
          <w:p>
            <w:pPr>
              <w:tabs>
                <w:tab w:val="left" w:pos="3255"/>
              </w:tabs>
              <w:spacing w:line="240" w:lineRule="auto"/>
              <w:jc w:val="center"/>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位于</w:t>
            </w:r>
            <w:r>
              <w:rPr>
                <w:rFonts w:hint="eastAsia"/>
                <w:color w:val="000000" w:themeColor="text1"/>
                <w:lang w:val="en-US" w:eastAsia="zh-CN"/>
                <w14:textFill>
                  <w14:solidFill>
                    <w14:schemeClr w14:val="tx1"/>
                  </w14:solidFill>
                </w14:textFill>
              </w:rPr>
              <w:t>2#车间5层</w:t>
            </w:r>
            <w:r>
              <w:rPr>
                <w:color w:val="000000" w:themeColor="text1"/>
                <w14:textFill>
                  <w14:solidFill>
                    <w14:schemeClr w14:val="tx1"/>
                  </w14:solidFill>
                </w14:textFill>
              </w:rPr>
              <w:t>，建筑面积约</w:t>
            </w:r>
            <w:r>
              <w:rPr>
                <w:rFonts w:hint="eastAsia"/>
                <w:color w:val="000000" w:themeColor="text1"/>
                <w:lang w:val="en-US" w:eastAsia="zh-CN"/>
                <w14:textFill>
                  <w14:solidFill>
                    <w14:schemeClr w14:val="tx1"/>
                  </w14:solidFill>
                </w14:textFill>
              </w:rPr>
              <w:t>1236</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，用于</w:t>
            </w:r>
            <w:r>
              <w:rPr>
                <w:rFonts w:hint="eastAsia"/>
                <w:color w:val="000000" w:themeColor="text1"/>
                <w:lang w:eastAsia="zh-CN"/>
                <w14:textFill>
                  <w14:solidFill>
                    <w14:schemeClr w14:val="tx1"/>
                  </w14:solidFill>
                </w14:textFill>
              </w:rPr>
              <w:t>员工办公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8" w:type="dxa"/>
            <w:vMerge w:val="continue"/>
            <w:vAlign w:val="center"/>
          </w:tcPr>
          <w:p>
            <w:pPr>
              <w:tabs>
                <w:tab w:val="left" w:pos="3255"/>
              </w:tabs>
              <w:spacing w:line="240" w:lineRule="auto"/>
              <w:jc w:val="center"/>
            </w:pPr>
          </w:p>
        </w:tc>
        <w:tc>
          <w:tcPr>
            <w:tcW w:w="2125" w:type="dxa"/>
            <w:vAlign w:val="center"/>
          </w:tcPr>
          <w:p>
            <w:pPr>
              <w:tabs>
                <w:tab w:val="left" w:pos="3255"/>
              </w:tabs>
              <w:spacing w:line="240" w:lineRule="auto"/>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整理区</w:t>
            </w:r>
          </w:p>
        </w:tc>
        <w:tc>
          <w:tcPr>
            <w:tcW w:w="5421" w:type="dxa"/>
            <w:vAlign w:val="center"/>
          </w:tcPr>
          <w:p>
            <w:pPr>
              <w:tabs>
                <w:tab w:val="left" w:pos="3255"/>
              </w:tabs>
              <w:spacing w:line="240" w:lineRule="auto"/>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位于</w:t>
            </w:r>
            <w:r>
              <w:t>位于</w:t>
            </w:r>
            <w:r>
              <w:rPr>
                <w:rFonts w:hint="eastAsia"/>
                <w:lang w:val="en-US" w:eastAsia="zh-CN"/>
              </w:rPr>
              <w:t>1#车间内南侧，建筑面积约1370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布设钉扣机、锁眼机等设备对服装半成品进行钉扣等工序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88" w:type="dxa"/>
            <w:vMerge w:val="continue"/>
            <w:vAlign w:val="center"/>
          </w:tcPr>
          <w:p>
            <w:pPr>
              <w:tabs>
                <w:tab w:val="left" w:pos="3255"/>
              </w:tabs>
              <w:spacing w:line="240" w:lineRule="auto"/>
              <w:jc w:val="center"/>
            </w:pPr>
          </w:p>
        </w:tc>
        <w:tc>
          <w:tcPr>
            <w:tcW w:w="2125" w:type="dxa"/>
            <w:vAlign w:val="center"/>
          </w:tcPr>
          <w:p>
            <w:pPr>
              <w:spacing w:line="240" w:lineRule="auto"/>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包装区</w:t>
            </w:r>
          </w:p>
        </w:tc>
        <w:tc>
          <w:tcPr>
            <w:tcW w:w="5421" w:type="dxa"/>
            <w:vAlign w:val="center"/>
          </w:tcPr>
          <w:p>
            <w:pPr>
              <w:tabs>
                <w:tab w:val="left" w:pos="3255"/>
              </w:tabs>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位于</w:t>
            </w:r>
            <w:r>
              <w:rPr>
                <w:rFonts w:hint="eastAsia"/>
                <w:color w:val="000000" w:themeColor="text1"/>
                <w:lang w:val="en-US" w:eastAsia="zh-CN"/>
                <w14:textFill>
                  <w14:solidFill>
                    <w14:schemeClr w14:val="tx1"/>
                  </w14:solidFill>
                </w14:textFill>
              </w:rPr>
              <w:t>1#车间内南侧</w:t>
            </w:r>
            <w:r>
              <w:rPr>
                <w:color w:val="000000" w:themeColor="text1"/>
                <w14:textFill>
                  <w14:solidFill>
                    <w14:schemeClr w14:val="tx1"/>
                  </w14:solidFill>
                </w14:textFill>
              </w:rPr>
              <w:t>，建筑面积约</w:t>
            </w:r>
            <w:r>
              <w:rPr>
                <w:rFonts w:hint="eastAsia"/>
                <w:color w:val="000000" w:themeColor="text1"/>
                <w:lang w:val="en-US" w:eastAsia="zh-CN"/>
                <w14:textFill>
                  <w14:solidFill>
                    <w14:schemeClr w14:val="tx1"/>
                  </w14:solidFill>
                </w14:textFill>
              </w:rPr>
              <w:t>450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，用于</w:t>
            </w:r>
            <w:r>
              <w:rPr>
                <w:rFonts w:hint="eastAsia"/>
                <w:color w:val="000000" w:themeColor="text1"/>
                <w:lang w:eastAsia="zh-CN"/>
                <w14:textFill>
                  <w14:solidFill>
                    <w14:schemeClr w14:val="tx1"/>
                  </w14:solidFill>
                </w14:textFill>
              </w:rPr>
              <w:t>服装成品装箱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8" w:type="dxa"/>
            <w:vMerge w:val="continue"/>
            <w:vAlign w:val="center"/>
          </w:tcPr>
          <w:p>
            <w:pPr>
              <w:tabs>
                <w:tab w:val="left" w:pos="3255"/>
              </w:tabs>
              <w:spacing w:line="240" w:lineRule="auto"/>
              <w:jc w:val="center"/>
            </w:pPr>
          </w:p>
        </w:tc>
        <w:tc>
          <w:tcPr>
            <w:tcW w:w="2125"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检验区</w:t>
            </w:r>
          </w:p>
        </w:tc>
        <w:tc>
          <w:tcPr>
            <w:tcW w:w="5421" w:type="dxa"/>
            <w:vAlign w:val="center"/>
          </w:tcPr>
          <w:p>
            <w:pPr>
              <w:tabs>
                <w:tab w:val="left" w:pos="3255"/>
              </w:tabs>
              <w:spacing w:line="240" w:lineRule="auto"/>
              <w:jc w:val="center"/>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位于</w:t>
            </w:r>
            <w:r>
              <w:rPr>
                <w:rFonts w:hint="eastAsia"/>
                <w:color w:val="000000" w:themeColor="text1"/>
                <w:lang w:val="en-US" w:eastAsia="zh-CN"/>
                <w14:textFill>
                  <w14:solidFill>
                    <w14:schemeClr w14:val="tx1"/>
                  </w14:solidFill>
                </w14:textFill>
              </w:rPr>
              <w:t>1#车间内南侧</w:t>
            </w:r>
            <w:r>
              <w:rPr>
                <w:color w:val="000000" w:themeColor="text1"/>
                <w14:textFill>
                  <w14:solidFill>
                    <w14:schemeClr w14:val="tx1"/>
                  </w14:solidFill>
                </w14:textFill>
              </w:rPr>
              <w:t>，建筑面积约</w:t>
            </w:r>
            <w:r>
              <w:rPr>
                <w:rFonts w:hint="eastAsia"/>
                <w:color w:val="000000" w:themeColor="text1"/>
                <w:lang w:val="en-US" w:eastAsia="zh-CN"/>
                <w14:textFill>
                  <w14:solidFill>
                    <w14:schemeClr w14:val="tx1"/>
                  </w14:solidFill>
                </w14:textFill>
              </w:rPr>
              <w:t>800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，用于</w:t>
            </w:r>
            <w:r>
              <w:rPr>
                <w:rFonts w:hint="eastAsia"/>
                <w:color w:val="000000" w:themeColor="text1"/>
                <w:lang w:eastAsia="zh-CN"/>
                <w14:textFill>
                  <w14:solidFill>
                    <w14:schemeClr w14:val="tx1"/>
                  </w14:solidFill>
                </w14:textFill>
              </w:rPr>
              <w:t>服装半成品以及成衣检验，并给服装进行套袋包装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8" w:type="dxa"/>
            <w:vMerge w:val="continue"/>
            <w:vAlign w:val="center"/>
          </w:tcPr>
          <w:p>
            <w:pPr>
              <w:tabs>
                <w:tab w:val="left" w:pos="3255"/>
              </w:tabs>
              <w:spacing w:line="240" w:lineRule="auto"/>
              <w:jc w:val="center"/>
            </w:pPr>
          </w:p>
        </w:tc>
        <w:tc>
          <w:tcPr>
            <w:tcW w:w="2125" w:type="dxa"/>
            <w:vAlign w:val="center"/>
          </w:tcPr>
          <w:p>
            <w:pPr>
              <w:spacing w:line="240" w:lineRule="auto"/>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宿舍楼</w:t>
            </w:r>
          </w:p>
        </w:tc>
        <w:tc>
          <w:tcPr>
            <w:tcW w:w="5421" w:type="dxa"/>
            <w:vAlign w:val="center"/>
          </w:tcPr>
          <w:p>
            <w:pPr>
              <w:tabs>
                <w:tab w:val="left" w:pos="3255"/>
              </w:tabs>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位于厂区南侧</w:t>
            </w:r>
            <w:r>
              <w:rPr>
                <w:rFonts w:hint="eastAsia"/>
                <w:color w:val="000000" w:themeColor="text1"/>
                <w:lang w:val="en-US" w:eastAsia="zh-CN"/>
                <w14:textFill>
                  <w14:solidFill>
                    <w14:schemeClr w14:val="tx1"/>
                  </w14:solidFill>
                </w14:textFill>
              </w:rPr>
              <w:t>1栋建筑物2层和3层</w:t>
            </w:r>
            <w:r>
              <w:rPr>
                <w:rFonts w:hint="eastAsia"/>
                <w:color w:val="000000" w:themeColor="text1"/>
                <w:lang w:eastAsia="zh-CN"/>
                <w14:textFill>
                  <w14:solidFill>
                    <w14:schemeClr w14:val="tx1"/>
                  </w14:solidFill>
                </w14:textFill>
              </w:rPr>
              <w:t>，建筑面积约</w:t>
            </w:r>
            <w:r>
              <w:rPr>
                <w:rFonts w:hint="eastAsia"/>
                <w:color w:val="000000" w:themeColor="text1"/>
                <w:lang w:val="en-US" w:eastAsia="zh-CN"/>
                <w14:textFill>
                  <w14:solidFill>
                    <w14:schemeClr w14:val="tx1"/>
                  </w14:solidFill>
                </w14:textFill>
              </w:rPr>
              <w:t>1520m</w:t>
            </w:r>
            <w:r>
              <w:rPr>
                <w:rFonts w:hint="eastAsia"/>
                <w:color w:val="000000" w:themeColor="text1"/>
                <w:vertAlign w:val="superscript"/>
                <w:lang w:val="en-US" w:eastAsia="zh-CN"/>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8" w:type="dxa"/>
            <w:vMerge w:val="continue"/>
            <w:vAlign w:val="center"/>
          </w:tcPr>
          <w:p>
            <w:pPr>
              <w:tabs>
                <w:tab w:val="left" w:pos="3255"/>
              </w:tabs>
              <w:spacing w:line="240" w:lineRule="auto"/>
              <w:jc w:val="center"/>
            </w:pPr>
          </w:p>
        </w:tc>
        <w:tc>
          <w:tcPr>
            <w:tcW w:w="2125" w:type="dxa"/>
            <w:vAlign w:val="center"/>
          </w:tcPr>
          <w:p>
            <w:pPr>
              <w:spacing w:line="240" w:lineRule="auto"/>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食堂</w:t>
            </w:r>
          </w:p>
        </w:tc>
        <w:tc>
          <w:tcPr>
            <w:tcW w:w="5421" w:type="dxa"/>
            <w:vAlign w:val="center"/>
          </w:tcPr>
          <w:p>
            <w:pPr>
              <w:tabs>
                <w:tab w:val="left" w:pos="3255"/>
              </w:tabs>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位于</w:t>
            </w:r>
            <w:r>
              <w:rPr>
                <w:rFonts w:hint="eastAsia"/>
                <w:color w:val="000000" w:themeColor="text1"/>
                <w:lang w:val="en-US" w:eastAsia="zh-CN"/>
                <w14:textFill>
                  <w14:solidFill>
                    <w14:schemeClr w14:val="tx1"/>
                  </w14:solidFill>
                </w14:textFill>
              </w:rPr>
              <w:t>宿舍楼1层南侧，建筑面积约620m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vertAlign w:val="baseline"/>
                <w:lang w:val="en-US" w:eastAsia="zh-CN"/>
                <w14:textFill>
                  <w14:solidFill>
                    <w14:schemeClr w14:val="tx1"/>
                  </w14:solidFill>
                </w14:textFill>
              </w:rPr>
              <w:t>，用于职工用餐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8" w:type="dxa"/>
            <w:vMerge w:val="restart"/>
            <w:vAlign w:val="center"/>
          </w:tcPr>
          <w:p>
            <w:pPr>
              <w:tabs>
                <w:tab w:val="left" w:pos="3255"/>
              </w:tabs>
              <w:spacing w:line="240" w:lineRule="auto"/>
              <w:jc w:val="center"/>
            </w:pPr>
            <w:r>
              <w:rPr>
                <w:rFonts w:hint="eastAsia"/>
              </w:rPr>
              <w:t>储运工程</w:t>
            </w:r>
          </w:p>
        </w:tc>
        <w:tc>
          <w:tcPr>
            <w:tcW w:w="2125" w:type="dxa"/>
            <w:vAlign w:val="center"/>
          </w:tcPr>
          <w:p>
            <w:pPr>
              <w:spacing w:line="240" w:lineRule="auto"/>
              <w:jc w:val="center"/>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成品</w:t>
            </w:r>
            <w:r>
              <w:rPr>
                <w:rFonts w:hint="eastAsia"/>
                <w:color w:val="000000" w:themeColor="text1"/>
                <w14:textFill>
                  <w14:solidFill>
                    <w14:schemeClr w14:val="tx1"/>
                  </w14:solidFill>
                </w14:textFill>
              </w:rPr>
              <w:t>仓库</w:t>
            </w:r>
          </w:p>
        </w:tc>
        <w:tc>
          <w:tcPr>
            <w:tcW w:w="5421" w:type="dxa"/>
            <w:vAlign w:val="center"/>
          </w:tcPr>
          <w:p>
            <w:pPr>
              <w:tabs>
                <w:tab w:val="left" w:pos="3255"/>
              </w:tabs>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用于存放生产或员工生活所需物品，建筑面积约50m</w:t>
            </w:r>
            <w:r>
              <w:rPr>
                <w:color w:val="000000" w:themeColor="text1"/>
                <w:vertAlign w:val="superscript"/>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8" w:type="dxa"/>
            <w:vMerge w:val="continue"/>
            <w:vAlign w:val="center"/>
          </w:tcPr>
          <w:p>
            <w:pPr>
              <w:tabs>
                <w:tab w:val="left" w:pos="3255"/>
              </w:tabs>
              <w:spacing w:line="240" w:lineRule="auto"/>
              <w:jc w:val="center"/>
            </w:pPr>
          </w:p>
        </w:tc>
        <w:tc>
          <w:tcPr>
            <w:tcW w:w="2125" w:type="dxa"/>
            <w:vAlign w:val="center"/>
          </w:tcPr>
          <w:p>
            <w:pPr>
              <w:spacing w:line="240" w:lineRule="auto"/>
              <w:jc w:val="center"/>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原料</w:t>
            </w:r>
            <w:r>
              <w:rPr>
                <w:rFonts w:hint="eastAsia"/>
                <w:color w:val="000000" w:themeColor="text1"/>
                <w14:textFill>
                  <w14:solidFill>
                    <w14:schemeClr w14:val="tx1"/>
                  </w14:solidFill>
                </w14:textFill>
              </w:rPr>
              <w:t>仓库</w:t>
            </w:r>
          </w:p>
        </w:tc>
        <w:tc>
          <w:tcPr>
            <w:tcW w:w="5421" w:type="dxa"/>
            <w:vAlign w:val="center"/>
          </w:tcPr>
          <w:p>
            <w:pPr>
              <w:tabs>
                <w:tab w:val="left" w:pos="3255"/>
              </w:tabs>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用于堆放生物质，建筑面积约200m</w:t>
            </w:r>
            <w:r>
              <w:rPr>
                <w:color w:val="000000" w:themeColor="text1"/>
                <w:vertAlign w:val="superscript"/>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8" w:type="dxa"/>
            <w:vMerge w:val="restart"/>
            <w:vAlign w:val="center"/>
          </w:tcPr>
          <w:p>
            <w:pPr>
              <w:tabs>
                <w:tab w:val="left" w:pos="3255"/>
              </w:tabs>
              <w:spacing w:line="240" w:lineRule="auto"/>
              <w:jc w:val="center"/>
            </w:pPr>
            <w:r>
              <w:t>公用</w:t>
            </w:r>
          </w:p>
          <w:p>
            <w:pPr>
              <w:tabs>
                <w:tab w:val="left" w:pos="3255"/>
              </w:tabs>
              <w:spacing w:line="240" w:lineRule="auto"/>
              <w:jc w:val="center"/>
            </w:pPr>
            <w:r>
              <w:t>工程</w:t>
            </w:r>
          </w:p>
        </w:tc>
        <w:tc>
          <w:tcPr>
            <w:tcW w:w="2125" w:type="dxa"/>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供水</w:t>
            </w:r>
          </w:p>
        </w:tc>
        <w:tc>
          <w:tcPr>
            <w:tcW w:w="5421" w:type="dxa"/>
            <w:vAlign w:val="center"/>
          </w:tcPr>
          <w:p>
            <w:pPr>
              <w:pStyle w:val="38"/>
              <w:adjustRightInd/>
              <w:spacing w:line="240" w:lineRule="auto"/>
              <w:textAlignment w:val="auto"/>
              <w:rPr>
                <w:color w:val="000000" w:themeColor="text1"/>
                <w:kern w:val="2"/>
                <w14:textFill>
                  <w14:solidFill>
                    <w14:schemeClr w14:val="tx1"/>
                  </w14:solidFill>
                </w14:textFill>
              </w:rPr>
            </w:pPr>
            <w:r>
              <w:rPr>
                <w:color w:val="000000" w:themeColor="text1"/>
                <w14:textFill>
                  <w14:solidFill>
                    <w14:schemeClr w14:val="tx1"/>
                  </w14:solidFill>
                </w14:textFill>
              </w:rPr>
              <w:t>市政管网供给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8" w:type="dxa"/>
            <w:vMerge w:val="continue"/>
            <w:vAlign w:val="center"/>
          </w:tcPr>
          <w:p>
            <w:pPr>
              <w:tabs>
                <w:tab w:val="left" w:pos="3255"/>
              </w:tabs>
              <w:spacing w:line="240" w:lineRule="auto"/>
              <w:jc w:val="center"/>
            </w:pPr>
          </w:p>
        </w:tc>
        <w:tc>
          <w:tcPr>
            <w:tcW w:w="2125" w:type="dxa"/>
            <w:vAlign w:val="center"/>
          </w:tcPr>
          <w:p>
            <w:pPr>
              <w:tabs>
                <w:tab w:val="left" w:pos="3255"/>
              </w:tabs>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排水</w:t>
            </w:r>
          </w:p>
        </w:tc>
        <w:tc>
          <w:tcPr>
            <w:tcW w:w="5421" w:type="dxa"/>
            <w:vAlign w:val="center"/>
          </w:tcPr>
          <w:p>
            <w:pPr>
              <w:tabs>
                <w:tab w:val="left" w:pos="3255"/>
              </w:tabs>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雨污分流，</w:t>
            </w:r>
            <w:r>
              <w:rPr>
                <w:rFonts w:hint="eastAsia"/>
                <w:color w:val="000000" w:themeColor="text1"/>
                <w14:textFill>
                  <w14:solidFill>
                    <w14:schemeClr w14:val="tx1"/>
                  </w14:solidFill>
                </w14:textFill>
              </w:rPr>
              <w:t>雨水经雨水管道排入</w:t>
            </w:r>
            <w:r>
              <w:rPr>
                <w:rFonts w:hint="eastAsia"/>
                <w:color w:val="000000" w:themeColor="text1"/>
                <w:lang w:eastAsia="zh-CN"/>
                <w14:textFill>
                  <w14:solidFill>
                    <w14:schemeClr w14:val="tx1"/>
                  </w14:solidFill>
                </w14:textFill>
              </w:rPr>
              <w:t>雨水管网</w:t>
            </w:r>
            <w:r>
              <w:rPr>
                <w:rFonts w:hint="eastAsia"/>
                <w:color w:val="000000" w:themeColor="text1"/>
                <w14:textFill>
                  <w14:solidFill>
                    <w14:schemeClr w14:val="tx1"/>
                  </w14:solidFill>
                </w14:textFill>
              </w:rPr>
              <w:t>；生产废水经自建污水站处理达标后汇同经隔油池和化粪池预处理后的生活污水经市政污水管网排入城北污水处理厂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8" w:type="dxa"/>
            <w:vMerge w:val="continue"/>
            <w:vAlign w:val="center"/>
          </w:tcPr>
          <w:p>
            <w:pPr>
              <w:tabs>
                <w:tab w:val="left" w:pos="3255"/>
              </w:tabs>
              <w:spacing w:line="240" w:lineRule="auto"/>
              <w:jc w:val="center"/>
            </w:pPr>
          </w:p>
        </w:tc>
        <w:tc>
          <w:tcPr>
            <w:tcW w:w="2125" w:type="dxa"/>
            <w:vAlign w:val="center"/>
          </w:tcPr>
          <w:p>
            <w:pPr>
              <w:tabs>
                <w:tab w:val="left" w:pos="3255"/>
              </w:tabs>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供热</w:t>
            </w:r>
          </w:p>
        </w:tc>
        <w:tc>
          <w:tcPr>
            <w:tcW w:w="5421" w:type="dxa"/>
            <w:vAlign w:val="center"/>
          </w:tcPr>
          <w:p>
            <w:pPr>
              <w:tabs>
                <w:tab w:val="left" w:pos="3255"/>
              </w:tabs>
              <w:spacing w:line="240" w:lineRule="auto"/>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由六安经济开发区集中供热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8" w:type="dxa"/>
            <w:vMerge w:val="continue"/>
            <w:vAlign w:val="center"/>
          </w:tcPr>
          <w:p>
            <w:pPr>
              <w:tabs>
                <w:tab w:val="left" w:pos="3255"/>
              </w:tabs>
              <w:spacing w:line="240" w:lineRule="auto"/>
              <w:jc w:val="center"/>
            </w:pPr>
          </w:p>
        </w:tc>
        <w:tc>
          <w:tcPr>
            <w:tcW w:w="2125" w:type="dxa"/>
            <w:vAlign w:val="center"/>
          </w:tcPr>
          <w:p>
            <w:pPr>
              <w:tabs>
                <w:tab w:val="left" w:pos="3255"/>
              </w:tabs>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供电</w:t>
            </w:r>
          </w:p>
        </w:tc>
        <w:tc>
          <w:tcPr>
            <w:tcW w:w="5421" w:type="dxa"/>
            <w:vAlign w:val="center"/>
          </w:tcPr>
          <w:p>
            <w:pPr>
              <w:tabs>
                <w:tab w:val="left" w:pos="3255"/>
              </w:tabs>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市政电</w:t>
            </w:r>
            <w:r>
              <w:rPr>
                <w:color w:val="000000" w:themeColor="text1"/>
                <w14:textFill>
                  <w14:solidFill>
                    <w14:schemeClr w14:val="tx1"/>
                  </w14:solidFill>
                </w14:textFill>
              </w:rPr>
              <w:t>网供给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8" w:type="dxa"/>
            <w:vMerge w:val="restart"/>
            <w:vAlign w:val="center"/>
          </w:tcPr>
          <w:p>
            <w:pPr>
              <w:tabs>
                <w:tab w:val="left" w:pos="3255"/>
              </w:tabs>
              <w:spacing w:line="240" w:lineRule="auto"/>
              <w:jc w:val="center"/>
            </w:pPr>
            <w:r>
              <w:t>环保</w:t>
            </w:r>
          </w:p>
          <w:p>
            <w:pPr>
              <w:tabs>
                <w:tab w:val="left" w:pos="3255"/>
              </w:tabs>
              <w:spacing w:line="240" w:lineRule="auto"/>
              <w:jc w:val="center"/>
            </w:pPr>
            <w:r>
              <w:t>工程</w:t>
            </w:r>
          </w:p>
        </w:tc>
        <w:tc>
          <w:tcPr>
            <w:tcW w:w="2125" w:type="dxa"/>
            <w:tcBorders>
              <w:bottom w:val="single" w:color="auto" w:sz="4" w:space="0"/>
            </w:tcBorders>
            <w:vAlign w:val="center"/>
          </w:tcPr>
          <w:p>
            <w:pPr>
              <w:tabs>
                <w:tab w:val="left" w:pos="3255"/>
              </w:tabs>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废水治理</w:t>
            </w:r>
          </w:p>
        </w:tc>
        <w:tc>
          <w:tcPr>
            <w:tcW w:w="5421" w:type="dxa"/>
            <w:tcBorders>
              <w:bottom w:val="single" w:color="auto" w:sz="4" w:space="0"/>
            </w:tcBorders>
            <w:vAlign w:val="center"/>
          </w:tcPr>
          <w:p>
            <w:pPr>
              <w:tabs>
                <w:tab w:val="left" w:pos="3255"/>
              </w:tabs>
              <w:spacing w:line="240" w:lineRule="auto"/>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生产</w:t>
            </w:r>
            <w:r>
              <w:rPr>
                <w:color w:val="000000" w:themeColor="text1"/>
                <w14:textFill>
                  <w14:solidFill>
                    <w14:schemeClr w14:val="tx1"/>
                  </w14:solidFill>
                </w14:textFill>
              </w:rPr>
              <w:t>废水经自建的</w:t>
            </w:r>
            <w:r>
              <w:rPr>
                <w:rFonts w:hint="eastAsia"/>
                <w:color w:val="000000" w:themeColor="text1"/>
                <w14:textFill>
                  <w14:solidFill>
                    <w14:schemeClr w14:val="tx1"/>
                  </w14:solidFill>
                </w14:textFill>
              </w:rPr>
              <w:t>日处理能力为</w:t>
            </w: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/d的</w:t>
            </w:r>
            <w:r>
              <w:rPr>
                <w:color w:val="000000" w:themeColor="text1"/>
                <w14:textFill>
                  <w14:solidFill>
                    <w14:schemeClr w14:val="tx1"/>
                  </w14:solidFill>
                </w14:textFill>
              </w:rPr>
              <w:t>污水处理设施</w:t>
            </w:r>
            <w:r>
              <w:rPr>
                <w:rFonts w:hint="eastAsia"/>
                <w:color w:val="000000" w:themeColor="text1"/>
                <w14:textFill>
                  <w14:solidFill>
                    <w14:schemeClr w14:val="tx1"/>
                  </w14:solidFill>
                </w14:textFill>
              </w:rPr>
              <w:t>（采用“预处理+A</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O”）</w:t>
            </w:r>
            <w:r>
              <w:rPr>
                <w:color w:val="000000" w:themeColor="text1"/>
                <w14:textFill>
                  <w14:solidFill>
                    <w14:schemeClr w14:val="tx1"/>
                  </w14:solidFill>
                </w14:textFill>
              </w:rPr>
              <w:t>处理</w:t>
            </w:r>
            <w:r>
              <w:rPr>
                <w:rFonts w:hint="eastAsia"/>
                <w:color w:val="000000" w:themeColor="text1"/>
                <w:lang w:eastAsia="zh-CN"/>
                <w14:textFill>
                  <w14:solidFill>
                    <w14:schemeClr w14:val="tx1"/>
                  </w14:solidFill>
                </w14:textFill>
              </w:rPr>
              <w:t>，生活污水经隔油池和化粪池预处理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88" w:type="dxa"/>
            <w:vMerge w:val="continue"/>
            <w:vAlign w:val="center"/>
          </w:tcPr>
          <w:p>
            <w:pPr>
              <w:tabs>
                <w:tab w:val="left" w:pos="3255"/>
              </w:tabs>
              <w:spacing w:line="240" w:lineRule="auto"/>
              <w:jc w:val="center"/>
            </w:pPr>
          </w:p>
        </w:tc>
        <w:tc>
          <w:tcPr>
            <w:tcW w:w="2125" w:type="dxa"/>
            <w:vAlign w:val="center"/>
          </w:tcPr>
          <w:p>
            <w:pPr>
              <w:tabs>
                <w:tab w:val="left" w:pos="3255"/>
              </w:tabs>
              <w:spacing w:line="240" w:lineRule="auto"/>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废气治理</w:t>
            </w:r>
          </w:p>
        </w:tc>
        <w:tc>
          <w:tcPr>
            <w:tcW w:w="5421" w:type="dxa"/>
            <w:vAlign w:val="center"/>
          </w:tcPr>
          <w:p>
            <w:pPr>
              <w:tabs>
                <w:tab w:val="left" w:pos="3255"/>
              </w:tabs>
              <w:spacing w:line="240" w:lineRule="auto"/>
              <w:jc w:val="center"/>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污水处理站</w:t>
            </w:r>
            <w:r>
              <w:rPr>
                <w:rFonts w:hint="eastAsia"/>
                <w:color w:val="000000" w:themeColor="text1"/>
                <w14:textFill>
                  <w14:solidFill>
                    <w14:schemeClr w14:val="tx1"/>
                  </w14:solidFill>
                </w14:textFill>
              </w:rPr>
              <w:t>恶臭</w:t>
            </w:r>
            <w:r>
              <w:rPr>
                <w:color w:val="000000" w:themeColor="text1"/>
                <w14:textFill>
                  <w14:solidFill>
                    <w14:schemeClr w14:val="tx1"/>
                  </w14:solidFill>
                </w14:textFill>
              </w:rPr>
              <w:t>：污水处理池体加盖密闭，加强厂区清洁并及时喷洒除臭剂，加强厂区绿化等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8" w:type="dxa"/>
            <w:vMerge w:val="continue"/>
            <w:vAlign w:val="center"/>
          </w:tcPr>
          <w:p>
            <w:pPr>
              <w:tabs>
                <w:tab w:val="left" w:pos="3255"/>
              </w:tabs>
              <w:spacing w:line="240" w:lineRule="auto"/>
              <w:jc w:val="center"/>
            </w:pPr>
          </w:p>
        </w:tc>
        <w:tc>
          <w:tcPr>
            <w:tcW w:w="2125" w:type="dxa"/>
            <w:vAlign w:val="center"/>
          </w:tcPr>
          <w:p>
            <w:pPr>
              <w:tabs>
                <w:tab w:val="left" w:pos="3255"/>
              </w:tabs>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噪声治理</w:t>
            </w:r>
          </w:p>
        </w:tc>
        <w:tc>
          <w:tcPr>
            <w:tcW w:w="5421" w:type="dxa"/>
            <w:vAlign w:val="center"/>
          </w:tcPr>
          <w:p>
            <w:pPr>
              <w:tabs>
                <w:tab w:val="left" w:pos="3255"/>
              </w:tabs>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选用低噪声、振动小的设备，安装减震器，设备处于封闭车间内，高噪设备设置专用机房或设置围挡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jc w:val="center"/>
        </w:trPr>
        <w:tc>
          <w:tcPr>
            <w:tcW w:w="1288" w:type="dxa"/>
            <w:vMerge w:val="continue"/>
            <w:vAlign w:val="center"/>
          </w:tcPr>
          <w:p>
            <w:pPr>
              <w:tabs>
                <w:tab w:val="left" w:pos="3255"/>
              </w:tabs>
              <w:spacing w:line="240" w:lineRule="auto"/>
              <w:jc w:val="center"/>
            </w:pPr>
          </w:p>
        </w:tc>
        <w:tc>
          <w:tcPr>
            <w:tcW w:w="2125" w:type="dxa"/>
            <w:vAlign w:val="center"/>
          </w:tcPr>
          <w:p>
            <w:pPr>
              <w:tabs>
                <w:tab w:val="left" w:pos="3255"/>
              </w:tabs>
              <w:spacing w:line="240" w:lineRule="auto"/>
              <w:jc w:val="center"/>
            </w:pPr>
            <w:r>
              <w:t>固废处置</w:t>
            </w:r>
          </w:p>
        </w:tc>
        <w:tc>
          <w:tcPr>
            <w:tcW w:w="5421" w:type="dxa"/>
            <w:vAlign w:val="center"/>
          </w:tcPr>
          <w:p>
            <w:pPr>
              <w:tabs>
                <w:tab w:val="left" w:pos="3255"/>
              </w:tabs>
              <w:spacing w:line="240" w:lineRule="auto"/>
              <w:jc w:val="center"/>
              <w:rPr>
                <w:color w:val="000000" w:themeColor="text1"/>
                <w14:textFill>
                  <w14:solidFill>
                    <w14:schemeClr w14:val="tx1"/>
                  </w14:solidFill>
                </w14:textFill>
              </w:rPr>
            </w:pPr>
            <w:r>
              <w:rPr>
                <w:color w:val="000000" w:themeColor="text1"/>
                <w:lang w:val="zh-CN"/>
                <w14:textFill>
                  <w14:solidFill>
                    <w14:schemeClr w14:val="tx1"/>
                  </w14:solidFill>
                </w14:textFill>
              </w:rPr>
              <w:t>一般工业固废：设置一般工业固废临时储存所，集中收集后外售</w:t>
            </w:r>
            <w:r>
              <w:rPr>
                <w:rFonts w:hint="eastAsia"/>
                <w:color w:val="000000" w:themeColor="text1"/>
                <w:lang w:val="zh-CN"/>
                <w14:textFill>
                  <w14:solidFill>
                    <w14:schemeClr w14:val="tx1"/>
                  </w14:solidFill>
                </w14:textFill>
              </w:rPr>
              <w:t>；水洗剂添加桶经厂区集中收集后由商家回收</w:t>
            </w:r>
          </w:p>
        </w:tc>
      </w:tr>
    </w:tbl>
    <w:p>
      <w:pPr>
        <w:rPr>
          <w:b/>
          <w:bCs/>
          <w:sz w:val="24"/>
          <w:szCs w:val="24"/>
        </w:rPr>
      </w:pPr>
      <w:r>
        <w:rPr>
          <w:b/>
          <w:bCs/>
          <w:sz w:val="24"/>
          <w:szCs w:val="24"/>
        </w:rPr>
        <w:t>2.1.4项目原辅料产品方案</w:t>
      </w:r>
    </w:p>
    <w:p>
      <w:pPr>
        <w:ind w:firstLine="480" w:firstLineChars="200"/>
        <w:rPr>
          <w:sz w:val="24"/>
          <w:szCs w:val="24"/>
        </w:rPr>
      </w:pPr>
      <w:r>
        <w:rPr>
          <w:sz w:val="24"/>
          <w:szCs w:val="24"/>
        </w:rPr>
        <w:t>项目规划年</w:t>
      </w:r>
      <w:r>
        <w:rPr>
          <w:rFonts w:hint="eastAsia"/>
          <w:sz w:val="24"/>
          <w:szCs w:val="24"/>
          <w:lang w:eastAsia="zh-CN"/>
        </w:rPr>
        <w:t>产</w:t>
      </w:r>
      <w:r>
        <w:rPr>
          <w:rFonts w:hint="eastAsia"/>
          <w:sz w:val="24"/>
          <w:szCs w:val="24"/>
          <w:lang w:val="en-US" w:eastAsia="zh-CN"/>
        </w:rPr>
        <w:t>150万件服装，</w:t>
      </w:r>
      <w:r>
        <w:rPr>
          <w:sz w:val="24"/>
          <w:szCs w:val="24"/>
        </w:rPr>
        <w:t>其具体产品方案详见下表：</w:t>
      </w:r>
    </w:p>
    <w:p>
      <w:pPr>
        <w:spacing w:line="240" w:lineRule="auto"/>
        <w:jc w:val="center"/>
        <w:rPr>
          <w:b/>
          <w:bCs/>
          <w:sz w:val="24"/>
          <w:szCs w:val="24"/>
        </w:rPr>
      </w:pPr>
      <w:r>
        <w:rPr>
          <w:b/>
          <w:bCs/>
          <w:sz w:val="24"/>
          <w:szCs w:val="24"/>
        </w:rPr>
        <w:t>表2</w:t>
      </w:r>
      <w:r>
        <w:rPr>
          <w:rFonts w:hint="eastAsia"/>
          <w:b/>
          <w:bCs/>
          <w:sz w:val="24"/>
          <w:szCs w:val="24"/>
          <w:lang w:val="en-US" w:eastAsia="zh-CN"/>
        </w:rPr>
        <w:t>.</w:t>
      </w:r>
      <w:r>
        <w:rPr>
          <w:b/>
          <w:bCs/>
          <w:sz w:val="24"/>
          <w:szCs w:val="24"/>
        </w:rPr>
        <w:t>1-2  项目产品方案一览表</w:t>
      </w:r>
    </w:p>
    <w:tbl>
      <w:tblPr>
        <w:tblStyle w:val="22"/>
        <w:tblW w:w="8816"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203"/>
        <w:gridCol w:w="2205"/>
        <w:gridCol w:w="1764"/>
        <w:gridCol w:w="264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12" w:hRule="atLeast"/>
          <w:jc w:val="center"/>
        </w:trPr>
        <w:tc>
          <w:tcPr>
            <w:tcW w:w="2203" w:type="dxa"/>
            <w:tcBorders>
              <w:tl2br w:val="nil"/>
              <w:tr2bl w:val="nil"/>
            </w:tcBorders>
            <w:vAlign w:val="center"/>
          </w:tcPr>
          <w:p>
            <w:pPr>
              <w:spacing w:line="240" w:lineRule="exact"/>
              <w:jc w:val="center"/>
            </w:pPr>
            <w:r>
              <w:t>产品名称</w:t>
            </w:r>
          </w:p>
        </w:tc>
        <w:tc>
          <w:tcPr>
            <w:tcW w:w="2205" w:type="dxa"/>
            <w:tcBorders>
              <w:tl2br w:val="nil"/>
              <w:tr2bl w:val="nil"/>
            </w:tcBorders>
            <w:vAlign w:val="center"/>
          </w:tcPr>
          <w:p>
            <w:pPr>
              <w:spacing w:line="240" w:lineRule="exact"/>
              <w:jc w:val="center"/>
            </w:pPr>
            <w:r>
              <w:t>产量单位</w:t>
            </w:r>
          </w:p>
        </w:tc>
        <w:tc>
          <w:tcPr>
            <w:tcW w:w="1764" w:type="dxa"/>
            <w:tcBorders>
              <w:tl2br w:val="nil"/>
              <w:tr2bl w:val="nil"/>
            </w:tcBorders>
            <w:vAlign w:val="center"/>
          </w:tcPr>
          <w:p>
            <w:pPr>
              <w:spacing w:line="240" w:lineRule="exact"/>
              <w:jc w:val="center"/>
            </w:pPr>
            <w:r>
              <w:t>年产量</w:t>
            </w:r>
          </w:p>
        </w:tc>
        <w:tc>
          <w:tcPr>
            <w:tcW w:w="2644" w:type="dxa"/>
            <w:tcBorders>
              <w:tl2br w:val="nil"/>
              <w:tr2bl w:val="nil"/>
            </w:tcBorders>
            <w:vAlign w:val="center"/>
          </w:tcPr>
          <w:p>
            <w:pPr>
              <w:spacing w:line="240" w:lineRule="exact"/>
              <w:jc w:val="center"/>
            </w:pPr>
            <w:r>
              <w:rPr>
                <w:rFonts w:hint="eastAsia"/>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12" w:hRule="atLeast"/>
          <w:jc w:val="center"/>
        </w:trPr>
        <w:tc>
          <w:tcPr>
            <w:tcW w:w="2203" w:type="dxa"/>
            <w:tcBorders>
              <w:tl2br w:val="nil"/>
              <w:tr2bl w:val="nil"/>
            </w:tcBorders>
            <w:vAlign w:val="center"/>
          </w:tcPr>
          <w:p>
            <w:pPr>
              <w:spacing w:line="240" w:lineRule="exact"/>
              <w:jc w:val="center"/>
              <w:rPr>
                <w:rFonts w:hint="eastAsia" w:eastAsia="宋体"/>
                <w:lang w:eastAsia="zh-CN"/>
              </w:rPr>
            </w:pPr>
            <w:r>
              <w:rPr>
                <w:rFonts w:hint="eastAsia"/>
                <w:lang w:eastAsia="zh-CN"/>
              </w:rPr>
              <w:t>女士羊毛衫</w:t>
            </w:r>
          </w:p>
        </w:tc>
        <w:tc>
          <w:tcPr>
            <w:tcW w:w="2205" w:type="dxa"/>
            <w:tcBorders>
              <w:tl2br w:val="nil"/>
              <w:tr2bl w:val="nil"/>
            </w:tcBorders>
            <w:vAlign w:val="center"/>
          </w:tcPr>
          <w:p>
            <w:pPr>
              <w:spacing w:line="240" w:lineRule="exact"/>
              <w:jc w:val="center"/>
              <w:rPr>
                <w:rFonts w:hint="default" w:eastAsia="宋体"/>
                <w:lang w:val="en-US" w:eastAsia="zh-CN"/>
              </w:rPr>
            </w:pPr>
            <w:r>
              <w:rPr>
                <w:rFonts w:hint="eastAsia"/>
                <w:kern w:val="0"/>
                <w:lang w:val="zh-CN"/>
              </w:rPr>
              <w:t>万件</w:t>
            </w:r>
            <w:r>
              <w:rPr>
                <w:rFonts w:hint="eastAsia"/>
                <w:kern w:val="0"/>
                <w:lang w:val="en-US" w:eastAsia="zh-CN"/>
              </w:rPr>
              <w:t>/</w:t>
            </w:r>
            <w:r>
              <w:rPr>
                <w:rFonts w:hint="eastAsia"/>
                <w:kern w:val="0"/>
                <w:lang w:val="zh-CN"/>
              </w:rPr>
              <w:t>年</w:t>
            </w:r>
          </w:p>
        </w:tc>
        <w:tc>
          <w:tcPr>
            <w:tcW w:w="1764" w:type="dxa"/>
            <w:tcBorders>
              <w:tl2br w:val="nil"/>
              <w:tr2bl w:val="nil"/>
            </w:tcBorders>
            <w:vAlign w:val="center"/>
          </w:tcPr>
          <w:p>
            <w:pPr>
              <w:spacing w:line="240" w:lineRule="exact"/>
              <w:jc w:val="center"/>
              <w:rPr>
                <w:rFonts w:hint="default" w:eastAsia="宋体"/>
                <w:lang w:val="en-US" w:eastAsia="zh-CN"/>
              </w:rPr>
            </w:pPr>
            <w:r>
              <w:rPr>
                <w:rFonts w:hint="eastAsia"/>
                <w:lang w:val="en-US" w:eastAsia="zh-CN"/>
              </w:rPr>
              <w:t>100</w:t>
            </w:r>
          </w:p>
        </w:tc>
        <w:tc>
          <w:tcPr>
            <w:tcW w:w="2644" w:type="dxa"/>
            <w:tcBorders>
              <w:tl2br w:val="nil"/>
              <w:tr2bl w:val="nil"/>
            </w:tcBorders>
            <w:vAlign w:val="center"/>
          </w:tcPr>
          <w:p>
            <w:pPr>
              <w:spacing w:line="240" w:lineRule="exact"/>
              <w:jc w:val="center"/>
              <w:rPr>
                <w:rFonts w:hint="default" w:eastAsia="宋体"/>
                <w:lang w:val="en-US" w:eastAsia="zh-CN"/>
              </w:rPr>
            </w:pPr>
            <w:r>
              <w:rPr>
                <w:rFonts w:hint="eastAsia"/>
                <w:lang w:val="en-US" w:eastAsia="zh-CN"/>
              </w:rPr>
              <w:t>1件约350克</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12" w:hRule="atLeast"/>
          <w:jc w:val="center"/>
        </w:trPr>
        <w:tc>
          <w:tcPr>
            <w:tcW w:w="2203" w:type="dxa"/>
            <w:tcBorders>
              <w:tl2br w:val="nil"/>
              <w:tr2bl w:val="nil"/>
            </w:tcBorders>
            <w:vAlign w:val="center"/>
          </w:tcPr>
          <w:p>
            <w:pPr>
              <w:spacing w:line="240" w:lineRule="exact"/>
              <w:jc w:val="center"/>
              <w:rPr>
                <w:rFonts w:hint="eastAsia" w:eastAsia="宋体"/>
                <w:lang w:eastAsia="zh-CN"/>
              </w:rPr>
            </w:pPr>
            <w:r>
              <w:rPr>
                <w:rFonts w:hint="eastAsia"/>
                <w:lang w:eastAsia="zh-CN"/>
              </w:rPr>
              <w:t>男士羊毛衫</w:t>
            </w:r>
          </w:p>
        </w:tc>
        <w:tc>
          <w:tcPr>
            <w:tcW w:w="2205" w:type="dxa"/>
            <w:tcBorders>
              <w:tl2br w:val="nil"/>
              <w:tr2bl w:val="nil"/>
            </w:tcBorders>
            <w:vAlign w:val="center"/>
          </w:tcPr>
          <w:p>
            <w:pPr>
              <w:spacing w:line="240" w:lineRule="exact"/>
              <w:jc w:val="center"/>
              <w:rPr>
                <w:rFonts w:hint="eastAsia"/>
                <w:kern w:val="0"/>
                <w:lang w:val="zh-CN"/>
              </w:rPr>
            </w:pPr>
            <w:r>
              <w:rPr>
                <w:rFonts w:hint="eastAsia"/>
                <w:kern w:val="0"/>
                <w:lang w:val="zh-CN"/>
              </w:rPr>
              <w:t>万件</w:t>
            </w:r>
            <w:r>
              <w:rPr>
                <w:rFonts w:hint="eastAsia"/>
                <w:kern w:val="0"/>
                <w:lang w:val="en-US" w:eastAsia="zh-CN"/>
              </w:rPr>
              <w:t>/</w:t>
            </w:r>
            <w:r>
              <w:rPr>
                <w:rFonts w:hint="eastAsia"/>
                <w:kern w:val="0"/>
                <w:lang w:val="zh-CN"/>
              </w:rPr>
              <w:t>年</w:t>
            </w:r>
          </w:p>
        </w:tc>
        <w:tc>
          <w:tcPr>
            <w:tcW w:w="1764" w:type="dxa"/>
            <w:tcBorders>
              <w:tl2br w:val="nil"/>
              <w:tr2bl w:val="nil"/>
            </w:tcBorders>
            <w:vAlign w:val="center"/>
          </w:tcPr>
          <w:p>
            <w:pPr>
              <w:spacing w:line="240" w:lineRule="exact"/>
              <w:jc w:val="center"/>
              <w:rPr>
                <w:rFonts w:hint="default" w:eastAsia="宋体"/>
                <w:lang w:val="en-US" w:eastAsia="zh-CN"/>
              </w:rPr>
            </w:pPr>
            <w:r>
              <w:rPr>
                <w:rFonts w:hint="eastAsia"/>
                <w:lang w:val="en-US" w:eastAsia="zh-CN"/>
              </w:rPr>
              <w:t>20</w:t>
            </w:r>
          </w:p>
        </w:tc>
        <w:tc>
          <w:tcPr>
            <w:tcW w:w="2644" w:type="dxa"/>
            <w:tcBorders>
              <w:tl2br w:val="nil"/>
              <w:tr2bl w:val="nil"/>
            </w:tcBorders>
            <w:vAlign w:val="center"/>
          </w:tcPr>
          <w:p>
            <w:pPr>
              <w:spacing w:line="240" w:lineRule="exact"/>
              <w:jc w:val="center"/>
              <w:rPr>
                <w:rFonts w:hint="eastAsia"/>
              </w:rPr>
            </w:pPr>
            <w:r>
              <w:rPr>
                <w:rFonts w:hint="eastAsia"/>
                <w:lang w:val="en-US" w:eastAsia="zh-CN"/>
              </w:rPr>
              <w:t>1件约500克</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12" w:hRule="atLeast"/>
          <w:jc w:val="center"/>
        </w:trPr>
        <w:tc>
          <w:tcPr>
            <w:tcW w:w="2203" w:type="dxa"/>
            <w:tcBorders>
              <w:tl2br w:val="nil"/>
              <w:tr2bl w:val="nil"/>
            </w:tcBorders>
            <w:vAlign w:val="center"/>
          </w:tcPr>
          <w:p>
            <w:pPr>
              <w:spacing w:line="240" w:lineRule="exact"/>
              <w:jc w:val="center"/>
              <w:rPr>
                <w:rFonts w:hint="eastAsia" w:eastAsia="宋体"/>
                <w:lang w:eastAsia="zh-CN"/>
              </w:rPr>
            </w:pPr>
            <w:r>
              <w:rPr>
                <w:rFonts w:hint="eastAsia"/>
                <w:lang w:eastAsia="zh-CN"/>
              </w:rPr>
              <w:t>围巾、帽子</w:t>
            </w:r>
          </w:p>
        </w:tc>
        <w:tc>
          <w:tcPr>
            <w:tcW w:w="2205" w:type="dxa"/>
            <w:tcBorders>
              <w:tl2br w:val="nil"/>
              <w:tr2bl w:val="nil"/>
            </w:tcBorders>
            <w:vAlign w:val="center"/>
          </w:tcPr>
          <w:p>
            <w:pPr>
              <w:spacing w:line="240" w:lineRule="exact"/>
              <w:jc w:val="center"/>
              <w:rPr>
                <w:rFonts w:hint="eastAsia"/>
                <w:kern w:val="0"/>
                <w:lang w:val="zh-CN"/>
              </w:rPr>
            </w:pPr>
            <w:r>
              <w:rPr>
                <w:rFonts w:hint="eastAsia"/>
                <w:kern w:val="0"/>
                <w:lang w:val="zh-CN"/>
              </w:rPr>
              <w:t>万件</w:t>
            </w:r>
            <w:r>
              <w:rPr>
                <w:rFonts w:hint="eastAsia"/>
                <w:kern w:val="0"/>
                <w:lang w:val="en-US" w:eastAsia="zh-CN"/>
              </w:rPr>
              <w:t>/</w:t>
            </w:r>
            <w:r>
              <w:rPr>
                <w:rFonts w:hint="eastAsia"/>
                <w:kern w:val="0"/>
                <w:lang w:val="zh-CN"/>
              </w:rPr>
              <w:t>年</w:t>
            </w:r>
          </w:p>
        </w:tc>
        <w:tc>
          <w:tcPr>
            <w:tcW w:w="1764" w:type="dxa"/>
            <w:tcBorders>
              <w:tl2br w:val="nil"/>
              <w:tr2bl w:val="nil"/>
            </w:tcBorders>
            <w:vAlign w:val="center"/>
          </w:tcPr>
          <w:p>
            <w:pPr>
              <w:spacing w:line="240" w:lineRule="exact"/>
              <w:jc w:val="center"/>
              <w:rPr>
                <w:rFonts w:hint="default" w:eastAsia="宋体"/>
                <w:lang w:val="en-US" w:eastAsia="zh-CN"/>
              </w:rPr>
            </w:pPr>
            <w:r>
              <w:rPr>
                <w:rFonts w:hint="eastAsia"/>
                <w:lang w:val="en-US" w:eastAsia="zh-CN"/>
              </w:rPr>
              <w:t>10</w:t>
            </w:r>
          </w:p>
        </w:tc>
        <w:tc>
          <w:tcPr>
            <w:tcW w:w="2644" w:type="dxa"/>
            <w:tcBorders>
              <w:tl2br w:val="nil"/>
              <w:tr2bl w:val="nil"/>
            </w:tcBorders>
            <w:vAlign w:val="center"/>
          </w:tcPr>
          <w:p>
            <w:pPr>
              <w:spacing w:line="240" w:lineRule="exact"/>
              <w:jc w:val="center"/>
              <w:rPr>
                <w:rFonts w:hint="eastAsia"/>
              </w:rPr>
            </w:pPr>
            <w:r>
              <w:rPr>
                <w:rFonts w:hint="eastAsia"/>
                <w:lang w:val="en-US" w:eastAsia="zh-CN"/>
              </w:rPr>
              <w:t>1件约150克</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82" w:hRule="atLeast"/>
          <w:jc w:val="center"/>
        </w:trPr>
        <w:tc>
          <w:tcPr>
            <w:tcW w:w="2203" w:type="dxa"/>
            <w:tcBorders>
              <w:tl2br w:val="nil"/>
              <w:tr2bl w:val="nil"/>
            </w:tcBorders>
            <w:vAlign w:val="center"/>
          </w:tcPr>
          <w:p>
            <w:pPr>
              <w:spacing w:line="240" w:lineRule="exact"/>
              <w:jc w:val="center"/>
              <w:rPr>
                <w:rFonts w:hint="eastAsia" w:eastAsia="宋体"/>
                <w:lang w:eastAsia="zh-CN"/>
              </w:rPr>
            </w:pPr>
            <w:r>
              <w:rPr>
                <w:rFonts w:hint="eastAsia"/>
                <w:lang w:eastAsia="zh-CN"/>
              </w:rPr>
              <w:t>童装</w:t>
            </w:r>
          </w:p>
        </w:tc>
        <w:tc>
          <w:tcPr>
            <w:tcW w:w="2205" w:type="dxa"/>
            <w:tcBorders>
              <w:tl2br w:val="nil"/>
              <w:tr2bl w:val="nil"/>
            </w:tcBorders>
            <w:vAlign w:val="center"/>
          </w:tcPr>
          <w:p>
            <w:pPr>
              <w:spacing w:line="240" w:lineRule="exact"/>
              <w:jc w:val="center"/>
              <w:rPr>
                <w:rFonts w:hint="eastAsia"/>
                <w:kern w:val="0"/>
                <w:lang w:val="zh-CN"/>
              </w:rPr>
            </w:pPr>
            <w:r>
              <w:rPr>
                <w:rFonts w:hint="eastAsia"/>
                <w:kern w:val="0"/>
                <w:lang w:val="zh-CN"/>
              </w:rPr>
              <w:t>万件</w:t>
            </w:r>
            <w:r>
              <w:rPr>
                <w:rFonts w:hint="eastAsia"/>
                <w:kern w:val="0"/>
                <w:lang w:val="en-US" w:eastAsia="zh-CN"/>
              </w:rPr>
              <w:t>/</w:t>
            </w:r>
            <w:r>
              <w:rPr>
                <w:rFonts w:hint="eastAsia"/>
                <w:kern w:val="0"/>
                <w:lang w:val="zh-CN"/>
              </w:rPr>
              <w:t>年</w:t>
            </w:r>
          </w:p>
        </w:tc>
        <w:tc>
          <w:tcPr>
            <w:tcW w:w="1764" w:type="dxa"/>
            <w:tcBorders>
              <w:tl2br w:val="nil"/>
              <w:tr2bl w:val="nil"/>
            </w:tcBorders>
            <w:vAlign w:val="center"/>
          </w:tcPr>
          <w:p>
            <w:pPr>
              <w:spacing w:line="240" w:lineRule="exact"/>
              <w:jc w:val="center"/>
              <w:rPr>
                <w:rFonts w:hint="default" w:eastAsia="宋体"/>
                <w:lang w:val="en-US" w:eastAsia="zh-CN"/>
              </w:rPr>
            </w:pPr>
            <w:r>
              <w:rPr>
                <w:rFonts w:hint="eastAsia"/>
                <w:lang w:val="en-US" w:eastAsia="zh-CN"/>
              </w:rPr>
              <w:t>20</w:t>
            </w:r>
          </w:p>
        </w:tc>
        <w:tc>
          <w:tcPr>
            <w:tcW w:w="2644" w:type="dxa"/>
            <w:tcBorders>
              <w:tl2br w:val="nil"/>
              <w:tr2bl w:val="nil"/>
            </w:tcBorders>
            <w:vAlign w:val="center"/>
          </w:tcPr>
          <w:p>
            <w:pPr>
              <w:spacing w:line="240" w:lineRule="exact"/>
              <w:jc w:val="center"/>
              <w:rPr>
                <w:rFonts w:hint="eastAsia"/>
              </w:rPr>
            </w:pPr>
            <w:r>
              <w:rPr>
                <w:rFonts w:hint="eastAsia"/>
                <w:lang w:val="en-US" w:eastAsia="zh-CN"/>
              </w:rPr>
              <w:t>1件约300克</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12" w:hRule="atLeast"/>
          <w:jc w:val="center"/>
        </w:trPr>
        <w:tc>
          <w:tcPr>
            <w:tcW w:w="2203" w:type="dxa"/>
            <w:tcBorders>
              <w:tl2br w:val="nil"/>
              <w:tr2bl w:val="nil"/>
            </w:tcBorders>
            <w:vAlign w:val="center"/>
          </w:tcPr>
          <w:p>
            <w:pPr>
              <w:spacing w:line="240" w:lineRule="exact"/>
              <w:jc w:val="center"/>
              <w:rPr>
                <w:rFonts w:hint="eastAsia"/>
                <w:lang w:eastAsia="zh-CN"/>
              </w:rPr>
            </w:pPr>
            <w:r>
              <w:rPr>
                <w:rFonts w:hint="eastAsia"/>
                <w:lang w:eastAsia="zh-CN"/>
              </w:rPr>
              <w:t>合计</w:t>
            </w:r>
          </w:p>
        </w:tc>
        <w:tc>
          <w:tcPr>
            <w:tcW w:w="2205" w:type="dxa"/>
            <w:tcBorders>
              <w:tl2br w:val="nil"/>
              <w:tr2bl w:val="nil"/>
            </w:tcBorders>
            <w:vAlign w:val="center"/>
          </w:tcPr>
          <w:p>
            <w:pPr>
              <w:spacing w:line="240" w:lineRule="exact"/>
              <w:jc w:val="center"/>
              <w:rPr>
                <w:rFonts w:hint="eastAsia"/>
                <w:kern w:val="0"/>
                <w:lang w:val="zh-CN"/>
              </w:rPr>
            </w:pPr>
            <w:r>
              <w:rPr>
                <w:rFonts w:hint="eastAsia"/>
                <w:kern w:val="0"/>
                <w:lang w:val="zh-CN"/>
              </w:rPr>
              <w:t>万件</w:t>
            </w:r>
            <w:r>
              <w:rPr>
                <w:rFonts w:hint="eastAsia"/>
                <w:kern w:val="0"/>
                <w:lang w:val="en-US" w:eastAsia="zh-CN"/>
              </w:rPr>
              <w:t>/</w:t>
            </w:r>
            <w:r>
              <w:rPr>
                <w:rFonts w:hint="eastAsia"/>
                <w:kern w:val="0"/>
                <w:lang w:val="zh-CN"/>
              </w:rPr>
              <w:t>年</w:t>
            </w:r>
          </w:p>
        </w:tc>
        <w:tc>
          <w:tcPr>
            <w:tcW w:w="1764" w:type="dxa"/>
            <w:tcBorders>
              <w:tl2br w:val="nil"/>
              <w:tr2bl w:val="nil"/>
            </w:tcBorders>
            <w:vAlign w:val="center"/>
          </w:tcPr>
          <w:p>
            <w:pPr>
              <w:spacing w:line="240" w:lineRule="exact"/>
              <w:jc w:val="center"/>
              <w:rPr>
                <w:rFonts w:hint="default" w:eastAsia="宋体"/>
                <w:lang w:val="en-US" w:eastAsia="zh-CN"/>
              </w:rPr>
            </w:pPr>
            <w:r>
              <w:rPr>
                <w:rFonts w:hint="eastAsia"/>
                <w:lang w:val="en-US" w:eastAsia="zh-CN"/>
              </w:rPr>
              <w:t>150</w:t>
            </w:r>
          </w:p>
        </w:tc>
        <w:tc>
          <w:tcPr>
            <w:tcW w:w="2644" w:type="dxa"/>
            <w:tcBorders>
              <w:tl2br w:val="nil"/>
              <w:tr2bl w:val="nil"/>
            </w:tcBorders>
            <w:vAlign w:val="center"/>
          </w:tcPr>
          <w:p>
            <w:pPr>
              <w:spacing w:line="240" w:lineRule="exact"/>
              <w:jc w:val="center"/>
              <w:rPr>
                <w:rFonts w:hint="eastAsia" w:eastAsia="宋体"/>
                <w:lang w:val="en-US" w:eastAsia="zh-CN"/>
              </w:rPr>
            </w:pPr>
            <w:r>
              <w:rPr>
                <w:rFonts w:hint="eastAsia"/>
                <w:lang w:val="en-US" w:eastAsia="zh-CN"/>
              </w:rPr>
              <w:t>-</w:t>
            </w:r>
          </w:p>
        </w:tc>
      </w:tr>
    </w:tbl>
    <w:p>
      <w:pPr>
        <w:pStyle w:val="36"/>
      </w:pPr>
    </w:p>
    <w:p>
      <w:pPr>
        <w:rPr>
          <w:b/>
          <w:bCs/>
          <w:color w:val="000000" w:themeColor="text1"/>
          <w:sz w:val="24"/>
          <w:szCs w:val="24"/>
          <w14:textFill>
            <w14:solidFill>
              <w14:schemeClr w14:val="tx1"/>
            </w14:solidFill>
          </w14:textFill>
        </w:rPr>
      </w:pPr>
      <w:r>
        <w:rPr>
          <w:b/>
          <w:sz w:val="24"/>
          <w:szCs w:val="24"/>
        </w:rPr>
        <w:t>2.1.5 主要原辅</w:t>
      </w:r>
      <w:r>
        <w:rPr>
          <w:b/>
          <w:color w:val="000000" w:themeColor="text1"/>
          <w:sz w:val="24"/>
          <w:szCs w:val="24"/>
          <w14:textFill>
            <w14:solidFill>
              <w14:schemeClr w14:val="tx1"/>
            </w14:solidFill>
          </w14:textFill>
        </w:rPr>
        <w:t>材料及其</w:t>
      </w:r>
      <w:r>
        <w:rPr>
          <w:b/>
          <w:bCs/>
          <w:color w:val="000000" w:themeColor="text1"/>
          <w:sz w:val="24"/>
          <w:szCs w:val="24"/>
          <w14:textFill>
            <w14:solidFill>
              <w14:schemeClr w14:val="tx1"/>
            </w14:solidFill>
          </w14:textFill>
        </w:rPr>
        <w:t>理化</w:t>
      </w:r>
      <w:r>
        <w:rPr>
          <w:b/>
          <w:color w:val="000000" w:themeColor="text1"/>
          <w:sz w:val="24"/>
          <w:szCs w:val="24"/>
          <w14:textFill>
            <w14:solidFill>
              <w14:schemeClr w14:val="tx1"/>
            </w14:solidFill>
          </w14:textFill>
        </w:rPr>
        <w:t>性质</w:t>
      </w:r>
    </w:p>
    <w:p>
      <w:pPr>
        <w:spacing w:line="24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表2</w:t>
      </w:r>
      <w:r>
        <w:rPr>
          <w:rFonts w:hint="eastAsia"/>
          <w:b/>
          <w:bCs/>
          <w:color w:val="000000" w:themeColor="text1"/>
          <w:sz w:val="24"/>
          <w:szCs w:val="24"/>
          <w:lang w:val="en-US" w:eastAsia="zh-CN"/>
          <w14:textFill>
            <w14:solidFill>
              <w14:schemeClr w14:val="tx1"/>
            </w14:solidFill>
          </w14:textFill>
        </w:rPr>
        <w:t>.</w:t>
      </w:r>
      <w:r>
        <w:rPr>
          <w:b/>
          <w:bCs/>
          <w:color w:val="000000" w:themeColor="text1"/>
          <w:sz w:val="24"/>
          <w:szCs w:val="24"/>
          <w14:textFill>
            <w14:solidFill>
              <w14:schemeClr w14:val="tx1"/>
            </w14:solidFill>
          </w14:textFill>
        </w:rPr>
        <w:t>1-3  主要原辅材料年消耗一览表</w:t>
      </w:r>
    </w:p>
    <w:tbl>
      <w:tblPr>
        <w:tblStyle w:val="22"/>
        <w:tblW w:w="974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2123"/>
        <w:gridCol w:w="1845"/>
        <w:gridCol w:w="1845"/>
        <w:gridCol w:w="26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6" w:hRule="exact"/>
          <w:jc w:val="center"/>
        </w:trPr>
        <w:tc>
          <w:tcPr>
            <w:tcW w:w="1270" w:type="dxa"/>
            <w:vAlign w:val="center"/>
          </w:tcPr>
          <w:p>
            <w:pPr>
              <w:spacing w:line="240" w:lineRule="auto"/>
              <w:jc w:val="center"/>
            </w:pPr>
            <w:r>
              <w:t>类别</w:t>
            </w:r>
          </w:p>
        </w:tc>
        <w:tc>
          <w:tcPr>
            <w:tcW w:w="2123" w:type="dxa"/>
            <w:vAlign w:val="center"/>
          </w:tcPr>
          <w:p>
            <w:pPr>
              <w:spacing w:line="240" w:lineRule="auto"/>
              <w:jc w:val="center"/>
            </w:pPr>
            <w:r>
              <w:t>名称</w:t>
            </w:r>
          </w:p>
        </w:tc>
        <w:tc>
          <w:tcPr>
            <w:tcW w:w="1845" w:type="dxa"/>
            <w:vAlign w:val="center"/>
          </w:tcPr>
          <w:p>
            <w:pPr>
              <w:spacing w:line="240" w:lineRule="auto"/>
              <w:jc w:val="center"/>
              <w:rPr>
                <w:rFonts w:hint="eastAsia" w:eastAsia="宋体"/>
                <w:lang w:eastAsia="zh-CN"/>
              </w:rPr>
            </w:pPr>
            <w:r>
              <w:rPr>
                <w:rFonts w:hint="eastAsia"/>
                <w:lang w:eastAsia="zh-CN"/>
              </w:rPr>
              <w:t>单位</w:t>
            </w:r>
          </w:p>
        </w:tc>
        <w:tc>
          <w:tcPr>
            <w:tcW w:w="1845" w:type="dxa"/>
            <w:vAlign w:val="center"/>
          </w:tcPr>
          <w:p>
            <w:pPr>
              <w:spacing w:line="240" w:lineRule="auto"/>
              <w:jc w:val="center"/>
            </w:pPr>
            <w:r>
              <w:t>年耗量</w:t>
            </w:r>
          </w:p>
        </w:tc>
        <w:tc>
          <w:tcPr>
            <w:tcW w:w="2657" w:type="dxa"/>
            <w:vAlign w:val="center"/>
          </w:tcPr>
          <w:p>
            <w:pPr>
              <w:spacing w:line="240" w:lineRule="auto"/>
              <w:jc w:val="center"/>
            </w:pPr>
            <w:r>
              <w:t>来源及运输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6" w:hRule="exact"/>
          <w:jc w:val="center"/>
        </w:trPr>
        <w:tc>
          <w:tcPr>
            <w:tcW w:w="1270" w:type="dxa"/>
            <w:vMerge w:val="restart"/>
            <w:vAlign w:val="center"/>
          </w:tcPr>
          <w:p>
            <w:pPr>
              <w:spacing w:line="240" w:lineRule="auto"/>
              <w:jc w:val="center"/>
            </w:pPr>
            <w:r>
              <w:t>原料</w:t>
            </w:r>
          </w:p>
        </w:tc>
        <w:tc>
          <w:tcPr>
            <w:tcW w:w="2123"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sz w:val="21"/>
                <w:szCs w:val="21"/>
              </w:rPr>
            </w:pPr>
            <w:r>
              <w:rPr>
                <w:rFonts w:hint="eastAsia" w:ascii="宋体" w:eastAsia="宋体"/>
                <w:sz w:val="21"/>
                <w:szCs w:val="21"/>
              </w:rPr>
              <w:t>羊绒、羊毛</w:t>
            </w:r>
          </w:p>
        </w:tc>
        <w:tc>
          <w:tcPr>
            <w:tcW w:w="184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宋体" w:eastAsia="宋体"/>
                <w:sz w:val="21"/>
                <w:szCs w:val="21"/>
                <w:lang w:val="en-US" w:eastAsia="zh-CN"/>
              </w:rPr>
            </w:pPr>
            <w:r>
              <w:rPr>
                <w:rFonts w:hint="default" w:ascii="Times New Roman" w:hAnsi="Times New Roman" w:cs="Times New Roman"/>
                <w:sz w:val="21"/>
                <w:szCs w:val="21"/>
                <w:lang w:val="en-US" w:eastAsia="zh-CN"/>
              </w:rPr>
              <w:t>t/a</w:t>
            </w:r>
          </w:p>
        </w:tc>
        <w:tc>
          <w:tcPr>
            <w:tcW w:w="1845" w:type="dxa"/>
            <w:vAlign w:val="center"/>
          </w:tcPr>
          <w:p>
            <w:pPr>
              <w:spacing w:line="240" w:lineRule="auto"/>
              <w:jc w:val="center"/>
              <w:rPr>
                <w:rFonts w:hint="default" w:eastAsia="宋体"/>
                <w:lang w:val="en-US" w:eastAsia="zh-CN"/>
              </w:rPr>
            </w:pPr>
            <w:r>
              <w:rPr>
                <w:rFonts w:hint="eastAsia"/>
                <w:lang w:val="en-US" w:eastAsia="zh-CN"/>
              </w:rPr>
              <w:t>90</w:t>
            </w:r>
          </w:p>
        </w:tc>
        <w:tc>
          <w:tcPr>
            <w:tcW w:w="2657" w:type="dxa"/>
            <w:vMerge w:val="restart"/>
            <w:vAlign w:val="center"/>
          </w:tcPr>
          <w:p>
            <w:pPr>
              <w:spacing w:line="240" w:lineRule="auto"/>
              <w:jc w:val="center"/>
            </w:pPr>
            <w:r>
              <w:t>外购、汽运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6" w:hRule="exact"/>
          <w:jc w:val="center"/>
        </w:trPr>
        <w:tc>
          <w:tcPr>
            <w:tcW w:w="1270" w:type="dxa"/>
            <w:vMerge w:val="continue"/>
            <w:vAlign w:val="center"/>
          </w:tcPr>
          <w:p>
            <w:pPr>
              <w:spacing w:line="240" w:lineRule="auto"/>
              <w:jc w:val="center"/>
            </w:pPr>
          </w:p>
        </w:tc>
        <w:tc>
          <w:tcPr>
            <w:tcW w:w="2123"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sz w:val="21"/>
                <w:szCs w:val="21"/>
              </w:rPr>
            </w:pPr>
            <w:r>
              <w:rPr>
                <w:rFonts w:hint="eastAsia" w:ascii="宋体" w:eastAsia="宋体"/>
                <w:sz w:val="21"/>
                <w:szCs w:val="21"/>
              </w:rPr>
              <w:t>人造丝、棉</w:t>
            </w: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宋体" w:eastAsia="宋体"/>
                <w:sz w:val="21"/>
                <w:szCs w:val="21"/>
              </w:rPr>
            </w:pPr>
            <w:r>
              <w:rPr>
                <w:rFonts w:hint="default" w:ascii="Times New Roman" w:hAnsi="Times New Roman" w:cs="Times New Roman"/>
                <w:sz w:val="21"/>
                <w:szCs w:val="21"/>
                <w:lang w:val="en-US" w:eastAsia="zh-CN"/>
              </w:rPr>
              <w:t>t/a</w:t>
            </w:r>
          </w:p>
        </w:tc>
        <w:tc>
          <w:tcPr>
            <w:tcW w:w="1845" w:type="dxa"/>
            <w:vAlign w:val="center"/>
          </w:tcPr>
          <w:p>
            <w:pPr>
              <w:spacing w:line="240" w:lineRule="auto"/>
              <w:jc w:val="center"/>
              <w:rPr>
                <w:rFonts w:hint="default" w:eastAsia="宋体"/>
                <w:lang w:val="en-US" w:eastAsia="zh-CN"/>
              </w:rPr>
            </w:pPr>
            <w:r>
              <w:rPr>
                <w:rFonts w:hint="eastAsia"/>
                <w:lang w:val="en-US" w:eastAsia="zh-CN"/>
              </w:rPr>
              <w:t>200</w:t>
            </w:r>
          </w:p>
        </w:tc>
        <w:tc>
          <w:tcPr>
            <w:tcW w:w="2657" w:type="dxa"/>
            <w:vMerge w:val="continue"/>
            <w:vAlign w:val="center"/>
          </w:tcPr>
          <w:p>
            <w:pPr>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6" w:hRule="exact"/>
          <w:jc w:val="center"/>
        </w:trPr>
        <w:tc>
          <w:tcPr>
            <w:tcW w:w="1270" w:type="dxa"/>
            <w:vMerge w:val="continue"/>
            <w:vAlign w:val="center"/>
          </w:tcPr>
          <w:p>
            <w:pPr>
              <w:spacing w:line="240" w:lineRule="auto"/>
              <w:jc w:val="center"/>
            </w:pPr>
          </w:p>
        </w:tc>
        <w:tc>
          <w:tcPr>
            <w:tcW w:w="2123"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sz w:val="21"/>
                <w:szCs w:val="21"/>
              </w:rPr>
            </w:pPr>
            <w:r>
              <w:rPr>
                <w:rFonts w:hint="eastAsia" w:ascii="宋体" w:eastAsia="宋体"/>
                <w:sz w:val="21"/>
                <w:szCs w:val="21"/>
              </w:rPr>
              <w:t>全棉带子纱</w:t>
            </w: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宋体" w:eastAsia="宋体"/>
                <w:sz w:val="21"/>
                <w:szCs w:val="21"/>
              </w:rPr>
            </w:pPr>
            <w:r>
              <w:rPr>
                <w:rFonts w:hint="default" w:ascii="Times New Roman" w:hAnsi="Times New Roman" w:cs="Times New Roman"/>
                <w:sz w:val="21"/>
                <w:szCs w:val="21"/>
                <w:lang w:val="en-US" w:eastAsia="zh-CN"/>
              </w:rPr>
              <w:t>t/a</w:t>
            </w:r>
          </w:p>
        </w:tc>
        <w:tc>
          <w:tcPr>
            <w:tcW w:w="1845" w:type="dxa"/>
            <w:vAlign w:val="center"/>
          </w:tcPr>
          <w:p>
            <w:pPr>
              <w:spacing w:line="240" w:lineRule="auto"/>
              <w:jc w:val="center"/>
              <w:rPr>
                <w:rFonts w:hint="default" w:eastAsia="宋体"/>
                <w:lang w:val="en-US" w:eastAsia="zh-CN"/>
              </w:rPr>
            </w:pPr>
            <w:r>
              <w:rPr>
                <w:rFonts w:hint="eastAsia"/>
                <w:lang w:val="en-US" w:eastAsia="zh-CN"/>
              </w:rPr>
              <w:t>60</w:t>
            </w:r>
          </w:p>
        </w:tc>
        <w:tc>
          <w:tcPr>
            <w:tcW w:w="2657" w:type="dxa"/>
            <w:vMerge w:val="continue"/>
            <w:vAlign w:val="center"/>
          </w:tcPr>
          <w:p>
            <w:pPr>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6" w:hRule="exact"/>
          <w:jc w:val="center"/>
        </w:trPr>
        <w:tc>
          <w:tcPr>
            <w:tcW w:w="1270" w:type="dxa"/>
            <w:vMerge w:val="continue"/>
            <w:vAlign w:val="center"/>
          </w:tcPr>
          <w:p>
            <w:pPr>
              <w:spacing w:line="240" w:lineRule="auto"/>
              <w:jc w:val="center"/>
            </w:pPr>
          </w:p>
        </w:tc>
        <w:tc>
          <w:tcPr>
            <w:tcW w:w="2123"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sz w:val="21"/>
                <w:szCs w:val="21"/>
              </w:rPr>
            </w:pPr>
            <w:r>
              <w:rPr>
                <w:rFonts w:hint="eastAsia" w:ascii="宋体" w:eastAsia="宋体"/>
                <w:sz w:val="21"/>
                <w:szCs w:val="21"/>
              </w:rPr>
              <w:t>竹纤维</w:t>
            </w: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宋体" w:eastAsia="宋体"/>
                <w:sz w:val="21"/>
                <w:szCs w:val="21"/>
              </w:rPr>
            </w:pPr>
            <w:r>
              <w:rPr>
                <w:rFonts w:hint="default" w:ascii="Times New Roman" w:hAnsi="Times New Roman" w:cs="Times New Roman"/>
                <w:sz w:val="21"/>
                <w:szCs w:val="21"/>
                <w:lang w:val="en-US" w:eastAsia="zh-CN"/>
              </w:rPr>
              <w:t>t/a</w:t>
            </w:r>
          </w:p>
        </w:tc>
        <w:tc>
          <w:tcPr>
            <w:tcW w:w="1845" w:type="dxa"/>
            <w:vAlign w:val="center"/>
          </w:tcPr>
          <w:p>
            <w:pPr>
              <w:spacing w:line="240" w:lineRule="auto"/>
              <w:jc w:val="center"/>
              <w:rPr>
                <w:rFonts w:hint="default" w:eastAsia="宋体"/>
                <w:lang w:val="en-US" w:eastAsia="zh-CN"/>
              </w:rPr>
            </w:pPr>
            <w:r>
              <w:rPr>
                <w:rFonts w:hint="eastAsia"/>
                <w:lang w:val="en-US" w:eastAsia="zh-CN"/>
              </w:rPr>
              <w:t>50</w:t>
            </w:r>
          </w:p>
        </w:tc>
        <w:tc>
          <w:tcPr>
            <w:tcW w:w="2657" w:type="dxa"/>
            <w:vMerge w:val="continue"/>
            <w:vAlign w:val="center"/>
          </w:tcPr>
          <w:p>
            <w:pPr>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6" w:hRule="exact"/>
          <w:jc w:val="center"/>
        </w:trPr>
        <w:tc>
          <w:tcPr>
            <w:tcW w:w="1270" w:type="dxa"/>
            <w:vMerge w:val="continue"/>
            <w:vAlign w:val="center"/>
          </w:tcPr>
          <w:p>
            <w:pPr>
              <w:spacing w:line="240" w:lineRule="auto"/>
              <w:jc w:val="center"/>
            </w:pPr>
          </w:p>
        </w:tc>
        <w:tc>
          <w:tcPr>
            <w:tcW w:w="2123"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sz w:val="21"/>
                <w:szCs w:val="21"/>
              </w:rPr>
            </w:pPr>
            <w:r>
              <w:rPr>
                <w:rFonts w:hint="eastAsia" w:ascii="宋体" w:eastAsia="宋体"/>
                <w:sz w:val="21"/>
                <w:szCs w:val="21"/>
              </w:rPr>
              <w:t>尼龙、粘胶</w:t>
            </w: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宋体" w:eastAsia="宋体"/>
                <w:sz w:val="21"/>
                <w:szCs w:val="21"/>
              </w:rPr>
            </w:pPr>
            <w:r>
              <w:rPr>
                <w:rFonts w:hint="default" w:ascii="Times New Roman" w:hAnsi="Times New Roman" w:cs="Times New Roman"/>
                <w:sz w:val="21"/>
                <w:szCs w:val="21"/>
                <w:lang w:val="en-US" w:eastAsia="zh-CN"/>
              </w:rPr>
              <w:t>t/a</w:t>
            </w:r>
          </w:p>
        </w:tc>
        <w:tc>
          <w:tcPr>
            <w:tcW w:w="1845" w:type="dxa"/>
            <w:vAlign w:val="center"/>
          </w:tcPr>
          <w:p>
            <w:pPr>
              <w:spacing w:line="240" w:lineRule="auto"/>
              <w:jc w:val="center"/>
              <w:rPr>
                <w:rFonts w:hint="default" w:eastAsia="宋体"/>
                <w:lang w:val="en-US" w:eastAsia="zh-CN"/>
              </w:rPr>
            </w:pPr>
            <w:r>
              <w:rPr>
                <w:rFonts w:hint="eastAsia"/>
                <w:lang w:val="en-US" w:eastAsia="zh-CN"/>
              </w:rPr>
              <w:t>150</w:t>
            </w:r>
          </w:p>
        </w:tc>
        <w:tc>
          <w:tcPr>
            <w:tcW w:w="2657" w:type="dxa"/>
            <w:vMerge w:val="continue"/>
            <w:vAlign w:val="center"/>
          </w:tcPr>
          <w:p>
            <w:pPr>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6" w:hRule="exact"/>
          <w:jc w:val="center"/>
        </w:trPr>
        <w:tc>
          <w:tcPr>
            <w:tcW w:w="1270" w:type="dxa"/>
            <w:vMerge w:val="continue"/>
            <w:vAlign w:val="center"/>
          </w:tcPr>
          <w:p>
            <w:pPr>
              <w:spacing w:line="240" w:lineRule="auto"/>
              <w:jc w:val="center"/>
            </w:pPr>
          </w:p>
        </w:tc>
        <w:tc>
          <w:tcPr>
            <w:tcW w:w="2123" w:type="dxa"/>
            <w:vAlign w:val="center"/>
          </w:tcPr>
          <w:p>
            <w:pPr>
              <w:spacing w:line="240" w:lineRule="auto"/>
              <w:jc w:val="center"/>
              <w:rPr>
                <w:rFonts w:hint="eastAsia" w:eastAsia="宋体"/>
                <w:lang w:eastAsia="zh-CN"/>
              </w:rPr>
            </w:pPr>
            <w:r>
              <w:rPr>
                <w:rFonts w:hint="eastAsia"/>
                <w:lang w:eastAsia="zh-CN"/>
              </w:rPr>
              <w:t>亚麻</w:t>
            </w:r>
          </w:p>
        </w:tc>
        <w:tc>
          <w:tcPr>
            <w:tcW w:w="1845" w:type="dxa"/>
            <w:vAlign w:val="center"/>
          </w:tcPr>
          <w:p>
            <w:pPr>
              <w:spacing w:line="240" w:lineRule="auto"/>
              <w:jc w:val="center"/>
              <w:rPr>
                <w:rFonts w:hint="eastAsia"/>
                <w:lang w:eastAsia="zh-CN"/>
              </w:rPr>
            </w:pPr>
            <w:r>
              <w:rPr>
                <w:rFonts w:hint="default" w:ascii="Times New Roman" w:hAnsi="Times New Roman" w:cs="Times New Roman"/>
                <w:sz w:val="21"/>
                <w:szCs w:val="21"/>
                <w:lang w:val="en-US" w:eastAsia="zh-CN"/>
              </w:rPr>
              <w:t>t/a</w:t>
            </w:r>
          </w:p>
        </w:tc>
        <w:tc>
          <w:tcPr>
            <w:tcW w:w="1845" w:type="dxa"/>
            <w:vAlign w:val="center"/>
          </w:tcPr>
          <w:p>
            <w:pPr>
              <w:spacing w:line="240" w:lineRule="auto"/>
              <w:jc w:val="center"/>
              <w:rPr>
                <w:rFonts w:hint="default" w:eastAsia="宋体"/>
                <w:lang w:val="en-US" w:eastAsia="zh-CN"/>
              </w:rPr>
            </w:pPr>
            <w:r>
              <w:rPr>
                <w:rFonts w:hint="eastAsia"/>
                <w:lang w:val="en-US" w:eastAsia="zh-CN"/>
              </w:rPr>
              <w:t>15</w:t>
            </w:r>
          </w:p>
        </w:tc>
        <w:tc>
          <w:tcPr>
            <w:tcW w:w="2657" w:type="dxa"/>
            <w:vMerge w:val="continue"/>
            <w:vAlign w:val="center"/>
          </w:tcPr>
          <w:p>
            <w:pPr>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6" w:hRule="exact"/>
          <w:jc w:val="center"/>
        </w:trPr>
        <w:tc>
          <w:tcPr>
            <w:tcW w:w="1270" w:type="dxa"/>
            <w:vMerge w:val="continue"/>
            <w:vAlign w:val="center"/>
          </w:tcPr>
          <w:p>
            <w:pPr>
              <w:spacing w:line="240" w:lineRule="auto"/>
              <w:jc w:val="center"/>
            </w:pPr>
          </w:p>
        </w:tc>
        <w:tc>
          <w:tcPr>
            <w:tcW w:w="2123" w:type="dxa"/>
            <w:vAlign w:val="center"/>
          </w:tcPr>
          <w:p>
            <w:pPr>
              <w:spacing w:line="240" w:lineRule="auto"/>
              <w:jc w:val="center"/>
              <w:rPr>
                <w:rFonts w:hint="eastAsia"/>
                <w:lang w:eastAsia="zh-CN"/>
              </w:rPr>
            </w:pPr>
            <w:r>
              <w:rPr>
                <w:rFonts w:hint="eastAsia"/>
                <w:lang w:eastAsia="zh-CN"/>
              </w:rPr>
              <w:t>衣扣、拉链等</w:t>
            </w:r>
          </w:p>
        </w:tc>
        <w:tc>
          <w:tcPr>
            <w:tcW w:w="1845" w:type="dxa"/>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t/a</w:t>
            </w:r>
          </w:p>
        </w:tc>
        <w:tc>
          <w:tcPr>
            <w:tcW w:w="1845" w:type="dxa"/>
            <w:vAlign w:val="center"/>
          </w:tcPr>
          <w:p>
            <w:pPr>
              <w:spacing w:line="240" w:lineRule="auto"/>
              <w:jc w:val="center"/>
              <w:rPr>
                <w:rFonts w:hint="default"/>
                <w:lang w:val="en-US" w:eastAsia="zh-CN"/>
              </w:rPr>
            </w:pPr>
            <w:r>
              <w:rPr>
                <w:rFonts w:hint="eastAsia"/>
                <w:lang w:val="en-US" w:eastAsia="zh-CN"/>
              </w:rPr>
              <w:t>5</w:t>
            </w:r>
          </w:p>
        </w:tc>
        <w:tc>
          <w:tcPr>
            <w:tcW w:w="2657" w:type="dxa"/>
            <w:vMerge w:val="continue"/>
            <w:vAlign w:val="center"/>
          </w:tcPr>
          <w:p>
            <w:pPr>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6" w:hRule="exact"/>
          <w:jc w:val="center"/>
        </w:trPr>
        <w:tc>
          <w:tcPr>
            <w:tcW w:w="1270" w:type="dxa"/>
            <w:vMerge w:val="continue"/>
            <w:vAlign w:val="center"/>
          </w:tcPr>
          <w:p>
            <w:pPr>
              <w:spacing w:line="240" w:lineRule="auto"/>
              <w:jc w:val="center"/>
            </w:pPr>
          </w:p>
        </w:tc>
        <w:tc>
          <w:tcPr>
            <w:tcW w:w="2123" w:type="dxa"/>
            <w:vAlign w:val="center"/>
          </w:tcPr>
          <w:p>
            <w:pPr>
              <w:spacing w:line="240" w:lineRule="auto"/>
              <w:jc w:val="center"/>
              <w:rPr>
                <w:rFonts w:hint="eastAsia" w:eastAsia="宋体"/>
                <w:lang w:eastAsia="zh-CN"/>
              </w:rPr>
            </w:pPr>
            <w:r>
              <w:rPr>
                <w:rFonts w:hint="eastAsia"/>
                <w:lang w:eastAsia="zh-CN"/>
              </w:rPr>
              <w:t>蒸汽</w:t>
            </w:r>
          </w:p>
        </w:tc>
        <w:tc>
          <w:tcPr>
            <w:tcW w:w="1845" w:type="dxa"/>
            <w:vAlign w:val="center"/>
          </w:tcPr>
          <w:p>
            <w:pPr>
              <w:spacing w:line="240" w:lineRule="auto"/>
              <w:jc w:val="center"/>
              <w:rPr>
                <w:rFonts w:hint="default"/>
                <w:lang w:val="en-US" w:eastAsia="zh-CN"/>
              </w:rPr>
            </w:pPr>
            <w:r>
              <w:rPr>
                <w:rFonts w:hint="eastAsia"/>
                <w:lang w:val="en-US" w:eastAsia="zh-CN"/>
              </w:rPr>
              <w:t>m</w:t>
            </w:r>
            <w:r>
              <w:rPr>
                <w:rFonts w:hint="eastAsia"/>
                <w:vertAlign w:val="superscript"/>
                <w:lang w:val="en-US" w:eastAsia="zh-CN"/>
              </w:rPr>
              <w:t>3</w:t>
            </w:r>
            <w:r>
              <w:rPr>
                <w:rFonts w:hint="eastAsia"/>
                <w:lang w:val="en-US" w:eastAsia="zh-CN"/>
              </w:rPr>
              <w:t>/a</w:t>
            </w:r>
          </w:p>
        </w:tc>
        <w:tc>
          <w:tcPr>
            <w:tcW w:w="1845" w:type="dxa"/>
            <w:vAlign w:val="center"/>
          </w:tcPr>
          <w:p>
            <w:pPr>
              <w:spacing w:line="240" w:lineRule="auto"/>
              <w:jc w:val="center"/>
              <w:rPr>
                <w:rFonts w:hint="default" w:eastAsia="宋体"/>
                <w:lang w:val="en-US" w:eastAsia="zh-CN"/>
              </w:rPr>
            </w:pPr>
            <w:r>
              <w:rPr>
                <w:rFonts w:hint="eastAsia"/>
                <w:lang w:val="en-US" w:eastAsia="zh-CN"/>
              </w:rPr>
              <w:t>2500</w:t>
            </w:r>
          </w:p>
        </w:tc>
        <w:tc>
          <w:tcPr>
            <w:tcW w:w="2657" w:type="dxa"/>
            <w:vMerge w:val="continue"/>
            <w:vAlign w:val="center"/>
          </w:tcPr>
          <w:p>
            <w:pPr>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6" w:hRule="exact"/>
          <w:jc w:val="center"/>
        </w:trPr>
        <w:tc>
          <w:tcPr>
            <w:tcW w:w="1270" w:type="dxa"/>
            <w:vMerge w:val="continue"/>
            <w:vAlign w:val="center"/>
          </w:tcPr>
          <w:p>
            <w:pPr>
              <w:pStyle w:val="2"/>
            </w:pPr>
          </w:p>
        </w:tc>
        <w:tc>
          <w:tcPr>
            <w:tcW w:w="2123" w:type="dxa"/>
            <w:vAlign w:val="center"/>
          </w:tcPr>
          <w:p>
            <w:pPr>
              <w:spacing w:line="240" w:lineRule="auto"/>
              <w:jc w:val="center"/>
              <w:rPr>
                <w:rFonts w:hint="default" w:eastAsia="宋体"/>
                <w:lang w:val="en-US" w:eastAsia="zh-CN"/>
              </w:rPr>
            </w:pPr>
            <w:r>
              <w:rPr>
                <w:rFonts w:hint="eastAsia"/>
                <w:lang w:val="en-US" w:eastAsia="zh-CN"/>
              </w:rPr>
              <w:t>柔软剂</w:t>
            </w:r>
          </w:p>
        </w:tc>
        <w:tc>
          <w:tcPr>
            <w:tcW w:w="184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pPr>
            <w:r>
              <w:rPr>
                <w:rFonts w:hint="default" w:ascii="Times New Roman" w:hAnsi="Times New Roman" w:cs="Times New Roman"/>
                <w:sz w:val="21"/>
                <w:szCs w:val="21"/>
                <w:lang w:val="en-US" w:eastAsia="zh-CN"/>
              </w:rPr>
              <w:t>t/a</w:t>
            </w:r>
          </w:p>
        </w:tc>
        <w:tc>
          <w:tcPr>
            <w:tcW w:w="1845" w:type="dxa"/>
            <w:vAlign w:val="center"/>
          </w:tcPr>
          <w:p>
            <w:pPr>
              <w:spacing w:line="240" w:lineRule="auto"/>
              <w:jc w:val="center"/>
              <w:rPr>
                <w:rFonts w:hint="default" w:eastAsia="宋体"/>
                <w:lang w:val="en-US" w:eastAsia="zh-CN"/>
              </w:rPr>
            </w:pPr>
            <w:r>
              <w:rPr>
                <w:rFonts w:hint="eastAsia"/>
                <w:lang w:val="en-US" w:eastAsia="zh-CN"/>
              </w:rPr>
              <w:t>1.5</w:t>
            </w:r>
          </w:p>
        </w:tc>
        <w:tc>
          <w:tcPr>
            <w:tcW w:w="2657" w:type="dxa"/>
            <w:vMerge w:val="continue"/>
            <w:vAlign w:val="center"/>
          </w:tcPr>
          <w:p>
            <w:pPr>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6" w:hRule="exact"/>
          <w:jc w:val="center"/>
        </w:trPr>
        <w:tc>
          <w:tcPr>
            <w:tcW w:w="1270" w:type="dxa"/>
            <w:vMerge w:val="continue"/>
            <w:vAlign w:val="center"/>
          </w:tcPr>
          <w:p>
            <w:pPr>
              <w:pStyle w:val="2"/>
            </w:pPr>
          </w:p>
        </w:tc>
        <w:tc>
          <w:tcPr>
            <w:tcW w:w="2123" w:type="dxa"/>
            <w:vAlign w:val="center"/>
          </w:tcPr>
          <w:p>
            <w:pPr>
              <w:spacing w:line="240" w:lineRule="auto"/>
              <w:jc w:val="center"/>
              <w:rPr>
                <w:rFonts w:hint="eastAsia" w:eastAsia="宋体"/>
                <w:lang w:eastAsia="zh-CN"/>
              </w:rPr>
            </w:pPr>
            <w:r>
              <w:rPr>
                <w:rFonts w:hint="eastAsia"/>
                <w:lang w:eastAsia="zh-CN"/>
              </w:rPr>
              <w:t>活性硅油</w:t>
            </w: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pPr>
            <w:r>
              <w:rPr>
                <w:rFonts w:hint="default" w:ascii="Times New Roman" w:hAnsi="Times New Roman" w:cs="Times New Roman"/>
                <w:sz w:val="21"/>
                <w:szCs w:val="21"/>
                <w:lang w:val="en-US" w:eastAsia="zh-CN"/>
              </w:rPr>
              <w:t>t/a</w:t>
            </w:r>
          </w:p>
        </w:tc>
        <w:tc>
          <w:tcPr>
            <w:tcW w:w="1845" w:type="dxa"/>
            <w:vAlign w:val="center"/>
          </w:tcPr>
          <w:p>
            <w:pPr>
              <w:spacing w:line="240" w:lineRule="auto"/>
              <w:jc w:val="center"/>
              <w:rPr>
                <w:rFonts w:hint="default" w:eastAsia="宋体"/>
                <w:lang w:val="en-US" w:eastAsia="zh-CN"/>
              </w:rPr>
            </w:pPr>
            <w:r>
              <w:rPr>
                <w:rFonts w:hint="eastAsia"/>
                <w:lang w:val="en-US" w:eastAsia="zh-CN"/>
              </w:rPr>
              <w:t>0.8</w:t>
            </w:r>
          </w:p>
        </w:tc>
        <w:tc>
          <w:tcPr>
            <w:tcW w:w="2657" w:type="dxa"/>
            <w:vMerge w:val="continue"/>
            <w:vAlign w:val="center"/>
          </w:tcPr>
          <w:p>
            <w:pPr>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6" w:hRule="exact"/>
          <w:jc w:val="center"/>
        </w:trPr>
        <w:tc>
          <w:tcPr>
            <w:tcW w:w="1270" w:type="dxa"/>
            <w:vMerge w:val="continue"/>
            <w:vAlign w:val="center"/>
          </w:tcPr>
          <w:p>
            <w:pPr>
              <w:pStyle w:val="2"/>
            </w:pPr>
          </w:p>
        </w:tc>
        <w:tc>
          <w:tcPr>
            <w:tcW w:w="2123" w:type="dxa"/>
            <w:vAlign w:val="center"/>
          </w:tcPr>
          <w:p>
            <w:pPr>
              <w:spacing w:line="240" w:lineRule="auto"/>
              <w:jc w:val="center"/>
              <w:rPr>
                <w:rFonts w:hint="eastAsia" w:eastAsia="宋体"/>
                <w:lang w:eastAsia="zh-CN"/>
              </w:rPr>
            </w:pPr>
            <w:r>
              <w:rPr>
                <w:rFonts w:hint="eastAsia"/>
                <w:lang w:eastAsia="zh-CN"/>
              </w:rPr>
              <w:t>硬挺整理剂</w:t>
            </w: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pPr>
            <w:r>
              <w:rPr>
                <w:rFonts w:hint="default" w:ascii="Times New Roman" w:hAnsi="Times New Roman" w:cs="Times New Roman"/>
                <w:sz w:val="21"/>
                <w:szCs w:val="21"/>
                <w:lang w:val="en-US" w:eastAsia="zh-CN"/>
              </w:rPr>
              <w:t>t/a</w:t>
            </w:r>
          </w:p>
        </w:tc>
        <w:tc>
          <w:tcPr>
            <w:tcW w:w="1845" w:type="dxa"/>
            <w:vAlign w:val="center"/>
          </w:tcPr>
          <w:p>
            <w:pPr>
              <w:spacing w:line="240" w:lineRule="auto"/>
              <w:jc w:val="center"/>
              <w:rPr>
                <w:rFonts w:hint="default" w:eastAsia="宋体"/>
                <w:lang w:val="en-US" w:eastAsia="zh-CN"/>
              </w:rPr>
            </w:pPr>
            <w:r>
              <w:rPr>
                <w:rFonts w:hint="eastAsia"/>
                <w:lang w:val="en-US" w:eastAsia="zh-CN"/>
              </w:rPr>
              <w:t>0.2</w:t>
            </w:r>
          </w:p>
        </w:tc>
        <w:tc>
          <w:tcPr>
            <w:tcW w:w="2657" w:type="dxa"/>
            <w:vMerge w:val="continue"/>
            <w:vAlign w:val="center"/>
          </w:tcPr>
          <w:p>
            <w:pPr>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6" w:hRule="exact"/>
          <w:jc w:val="center"/>
        </w:trPr>
        <w:tc>
          <w:tcPr>
            <w:tcW w:w="1270" w:type="dxa"/>
            <w:vMerge w:val="continue"/>
            <w:vAlign w:val="center"/>
          </w:tcPr>
          <w:p>
            <w:pPr>
              <w:pStyle w:val="2"/>
            </w:pPr>
          </w:p>
        </w:tc>
        <w:tc>
          <w:tcPr>
            <w:tcW w:w="2123" w:type="dxa"/>
            <w:vAlign w:val="center"/>
          </w:tcPr>
          <w:p>
            <w:pPr>
              <w:spacing w:line="240" w:lineRule="auto"/>
              <w:jc w:val="center"/>
              <w:rPr>
                <w:rFonts w:hint="eastAsia" w:eastAsia="宋体"/>
                <w:lang w:eastAsia="zh-CN"/>
              </w:rPr>
            </w:pPr>
            <w:r>
              <w:rPr>
                <w:rFonts w:hint="eastAsia"/>
                <w:lang w:eastAsia="zh-CN"/>
              </w:rPr>
              <w:t>羊绒缩绒剂</w:t>
            </w: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pPr>
            <w:r>
              <w:rPr>
                <w:rFonts w:hint="default" w:ascii="Times New Roman" w:hAnsi="Times New Roman" w:cs="Times New Roman"/>
                <w:sz w:val="21"/>
                <w:szCs w:val="21"/>
                <w:lang w:val="en-US" w:eastAsia="zh-CN"/>
              </w:rPr>
              <w:t>t/a</w:t>
            </w:r>
          </w:p>
        </w:tc>
        <w:tc>
          <w:tcPr>
            <w:tcW w:w="1845" w:type="dxa"/>
            <w:vAlign w:val="center"/>
          </w:tcPr>
          <w:p>
            <w:pPr>
              <w:spacing w:line="240" w:lineRule="auto"/>
              <w:jc w:val="center"/>
              <w:rPr>
                <w:rFonts w:hint="default" w:eastAsia="宋体"/>
                <w:lang w:val="en-US" w:eastAsia="zh-CN"/>
              </w:rPr>
            </w:pPr>
            <w:r>
              <w:rPr>
                <w:rFonts w:hint="eastAsia"/>
                <w:lang w:val="en-US" w:eastAsia="zh-CN"/>
              </w:rPr>
              <w:t>0.5</w:t>
            </w:r>
          </w:p>
        </w:tc>
        <w:tc>
          <w:tcPr>
            <w:tcW w:w="2657" w:type="dxa"/>
            <w:vMerge w:val="continue"/>
            <w:vAlign w:val="center"/>
          </w:tcPr>
          <w:p>
            <w:pPr>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6" w:hRule="exact"/>
          <w:jc w:val="center"/>
        </w:trPr>
        <w:tc>
          <w:tcPr>
            <w:tcW w:w="1270" w:type="dxa"/>
            <w:vMerge w:val="continue"/>
            <w:vAlign w:val="center"/>
          </w:tcPr>
          <w:p>
            <w:pPr>
              <w:pStyle w:val="2"/>
            </w:pPr>
          </w:p>
        </w:tc>
        <w:tc>
          <w:tcPr>
            <w:tcW w:w="2123" w:type="dxa"/>
            <w:vAlign w:val="center"/>
          </w:tcPr>
          <w:p>
            <w:pPr>
              <w:spacing w:line="240" w:lineRule="auto"/>
              <w:jc w:val="center"/>
              <w:rPr>
                <w:rFonts w:hint="eastAsia" w:eastAsia="宋体"/>
                <w:lang w:eastAsia="zh-CN"/>
              </w:rPr>
            </w:pPr>
            <w:r>
              <w:rPr>
                <w:rFonts w:hint="eastAsia"/>
                <w:lang w:eastAsia="zh-CN"/>
              </w:rPr>
              <w:t>清洁剂</w:t>
            </w:r>
          </w:p>
        </w:tc>
        <w:tc>
          <w:tcPr>
            <w:tcW w:w="184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pPr>
            <w:r>
              <w:rPr>
                <w:rFonts w:hint="default" w:ascii="Times New Roman" w:hAnsi="Times New Roman" w:cs="Times New Roman"/>
                <w:sz w:val="21"/>
                <w:szCs w:val="21"/>
                <w:lang w:val="en-US" w:eastAsia="zh-CN"/>
              </w:rPr>
              <w:t>t/a</w:t>
            </w:r>
          </w:p>
        </w:tc>
        <w:tc>
          <w:tcPr>
            <w:tcW w:w="1845" w:type="dxa"/>
            <w:vAlign w:val="center"/>
          </w:tcPr>
          <w:p>
            <w:pPr>
              <w:spacing w:line="240" w:lineRule="auto"/>
              <w:jc w:val="center"/>
              <w:rPr>
                <w:rFonts w:hint="default" w:eastAsia="宋体"/>
                <w:lang w:val="en-US" w:eastAsia="zh-CN"/>
              </w:rPr>
            </w:pPr>
            <w:r>
              <w:rPr>
                <w:rFonts w:hint="eastAsia"/>
                <w:lang w:val="en-US" w:eastAsia="zh-CN"/>
              </w:rPr>
              <w:t>0.5</w:t>
            </w:r>
          </w:p>
        </w:tc>
        <w:tc>
          <w:tcPr>
            <w:tcW w:w="2657" w:type="dxa"/>
            <w:vMerge w:val="continue"/>
            <w:vAlign w:val="center"/>
          </w:tcPr>
          <w:p>
            <w:pPr>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6" w:hRule="exact"/>
          <w:jc w:val="center"/>
        </w:trPr>
        <w:tc>
          <w:tcPr>
            <w:tcW w:w="1270" w:type="dxa"/>
            <w:vMerge w:val="continue"/>
            <w:vAlign w:val="center"/>
          </w:tcPr>
          <w:p>
            <w:pPr>
              <w:pStyle w:val="2"/>
            </w:pPr>
          </w:p>
        </w:tc>
        <w:tc>
          <w:tcPr>
            <w:tcW w:w="2123" w:type="dxa"/>
            <w:vAlign w:val="center"/>
          </w:tcPr>
          <w:p>
            <w:pPr>
              <w:spacing w:line="240" w:lineRule="auto"/>
              <w:jc w:val="center"/>
              <w:rPr>
                <w:rFonts w:hint="eastAsia" w:eastAsia="宋体"/>
                <w:lang w:eastAsia="zh-CN"/>
              </w:rPr>
            </w:pPr>
            <w:r>
              <w:rPr>
                <w:rFonts w:hint="eastAsia"/>
                <w:lang w:eastAsia="zh-CN"/>
              </w:rPr>
              <w:t>平滑剂</w:t>
            </w: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pPr>
            <w:r>
              <w:rPr>
                <w:rFonts w:hint="default" w:ascii="Times New Roman" w:hAnsi="Times New Roman" w:cs="Times New Roman"/>
                <w:sz w:val="21"/>
                <w:szCs w:val="21"/>
                <w:lang w:val="en-US" w:eastAsia="zh-CN"/>
              </w:rPr>
              <w:t>t/a</w:t>
            </w:r>
          </w:p>
        </w:tc>
        <w:tc>
          <w:tcPr>
            <w:tcW w:w="1845" w:type="dxa"/>
            <w:vAlign w:val="center"/>
          </w:tcPr>
          <w:p>
            <w:pPr>
              <w:spacing w:line="240" w:lineRule="auto"/>
              <w:jc w:val="center"/>
              <w:rPr>
                <w:rFonts w:hint="default" w:eastAsia="宋体"/>
                <w:lang w:val="en-US" w:eastAsia="zh-CN"/>
              </w:rPr>
            </w:pPr>
            <w:r>
              <w:rPr>
                <w:rFonts w:hint="eastAsia"/>
                <w:lang w:val="en-US" w:eastAsia="zh-CN"/>
              </w:rPr>
              <w:t>2.0</w:t>
            </w:r>
          </w:p>
        </w:tc>
        <w:tc>
          <w:tcPr>
            <w:tcW w:w="2657" w:type="dxa"/>
            <w:vMerge w:val="continue"/>
            <w:vAlign w:val="center"/>
          </w:tcPr>
          <w:p>
            <w:pPr>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6" w:hRule="exact"/>
          <w:jc w:val="center"/>
        </w:trPr>
        <w:tc>
          <w:tcPr>
            <w:tcW w:w="1270" w:type="dxa"/>
            <w:vMerge w:val="restart"/>
            <w:vAlign w:val="center"/>
          </w:tcPr>
          <w:p>
            <w:pPr>
              <w:spacing w:line="240" w:lineRule="auto"/>
              <w:jc w:val="center"/>
              <w:rPr>
                <w:rFonts w:hint="eastAsia" w:eastAsia="宋体"/>
                <w:lang w:eastAsia="zh-CN"/>
              </w:rPr>
            </w:pPr>
            <w:r>
              <w:rPr>
                <w:rFonts w:hint="eastAsia"/>
                <w:lang w:eastAsia="zh-CN"/>
              </w:rPr>
              <w:t>能源</w:t>
            </w:r>
          </w:p>
        </w:tc>
        <w:tc>
          <w:tcPr>
            <w:tcW w:w="2123" w:type="dxa"/>
            <w:vAlign w:val="center"/>
          </w:tcPr>
          <w:p>
            <w:pPr>
              <w:spacing w:line="240" w:lineRule="auto"/>
              <w:jc w:val="center"/>
            </w:pPr>
            <w:r>
              <w:t>自来水</w:t>
            </w:r>
          </w:p>
        </w:tc>
        <w:tc>
          <w:tcPr>
            <w:tcW w:w="1845" w:type="dxa"/>
            <w:vAlign w:val="center"/>
          </w:tcPr>
          <w:p>
            <w:pPr>
              <w:spacing w:line="240" w:lineRule="auto"/>
              <w:jc w:val="center"/>
            </w:pPr>
            <w:r>
              <w:rPr>
                <w:rFonts w:hint="eastAsia"/>
                <w:lang w:val="en-US" w:eastAsia="zh-CN"/>
              </w:rPr>
              <w:t>m</w:t>
            </w:r>
            <w:r>
              <w:rPr>
                <w:rFonts w:hint="eastAsia"/>
                <w:vertAlign w:val="superscript"/>
                <w:lang w:val="en-US" w:eastAsia="zh-CN"/>
              </w:rPr>
              <w:t>3</w:t>
            </w:r>
            <w:r>
              <w:rPr>
                <w:rFonts w:hint="eastAsia"/>
                <w:lang w:val="en-US" w:eastAsia="zh-CN"/>
              </w:rPr>
              <w:t>/a</w:t>
            </w:r>
          </w:p>
        </w:tc>
        <w:tc>
          <w:tcPr>
            <w:tcW w:w="1845" w:type="dxa"/>
            <w:vAlign w:val="center"/>
          </w:tcPr>
          <w:p>
            <w:pPr>
              <w:spacing w:line="240" w:lineRule="auto"/>
              <w:jc w:val="center"/>
              <w:rPr>
                <w:spacing w:val="-20"/>
              </w:rPr>
            </w:pPr>
          </w:p>
        </w:tc>
        <w:tc>
          <w:tcPr>
            <w:tcW w:w="2657" w:type="dxa"/>
            <w:vAlign w:val="center"/>
          </w:tcPr>
          <w:p>
            <w:pPr>
              <w:spacing w:line="240" w:lineRule="auto"/>
              <w:jc w:val="center"/>
            </w:pPr>
            <w:r>
              <w:t>自来水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6" w:hRule="exact"/>
          <w:jc w:val="center"/>
        </w:trPr>
        <w:tc>
          <w:tcPr>
            <w:tcW w:w="1270" w:type="dxa"/>
            <w:vMerge w:val="continue"/>
            <w:vAlign w:val="center"/>
          </w:tcPr>
          <w:p>
            <w:pPr>
              <w:spacing w:line="240" w:lineRule="auto"/>
              <w:jc w:val="center"/>
            </w:pPr>
          </w:p>
        </w:tc>
        <w:tc>
          <w:tcPr>
            <w:tcW w:w="2123" w:type="dxa"/>
            <w:vAlign w:val="center"/>
          </w:tcPr>
          <w:p>
            <w:pPr>
              <w:spacing w:line="240" w:lineRule="auto"/>
              <w:jc w:val="center"/>
            </w:pPr>
            <w:r>
              <w:t>电</w:t>
            </w:r>
          </w:p>
        </w:tc>
        <w:tc>
          <w:tcPr>
            <w:tcW w:w="1845" w:type="dxa"/>
            <w:vAlign w:val="center"/>
          </w:tcPr>
          <w:p>
            <w:pPr>
              <w:spacing w:line="240" w:lineRule="auto"/>
              <w:jc w:val="center"/>
            </w:pPr>
            <w:r>
              <w:rPr>
                <w:spacing w:val="-20"/>
              </w:rPr>
              <w:t>万kw</w:t>
            </w:r>
            <w:r>
              <w:t>·</w:t>
            </w:r>
            <w:r>
              <w:rPr>
                <w:spacing w:val="-20"/>
              </w:rPr>
              <w:t>h</w:t>
            </w:r>
          </w:p>
        </w:tc>
        <w:tc>
          <w:tcPr>
            <w:tcW w:w="1845" w:type="dxa"/>
            <w:vAlign w:val="center"/>
          </w:tcPr>
          <w:p>
            <w:pPr>
              <w:spacing w:line="240" w:lineRule="auto"/>
              <w:jc w:val="center"/>
              <w:rPr>
                <w:spacing w:val="-20"/>
              </w:rPr>
            </w:pPr>
            <w:r>
              <w:rPr>
                <w:spacing w:val="-20"/>
              </w:rPr>
              <w:t>500万</w:t>
            </w:r>
          </w:p>
        </w:tc>
        <w:tc>
          <w:tcPr>
            <w:tcW w:w="2657" w:type="dxa"/>
            <w:vAlign w:val="center"/>
          </w:tcPr>
          <w:p>
            <w:pPr>
              <w:spacing w:line="240" w:lineRule="auto"/>
              <w:jc w:val="center"/>
            </w:pPr>
            <w:r>
              <w:t>市政电网</w:t>
            </w:r>
          </w:p>
        </w:tc>
      </w:tr>
    </w:tbl>
    <w:p>
      <w:pPr>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水洗添加剂成分说明：</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cs="Times New Roman"/>
          <w:color w:val="auto"/>
          <w:sz w:val="24"/>
          <w:szCs w:val="24"/>
          <w:lang w:val="en-US" w:eastAsia="zh-CN"/>
        </w:rPr>
      </w:pPr>
      <w:r>
        <w:rPr>
          <w:rFonts w:hint="default" w:ascii="Times New Roman" w:hAnsi="Times New Roman" w:eastAsia="宋体" w:cs="Times New Roman"/>
          <w:color w:val="auto"/>
          <w:sz w:val="24"/>
          <w:szCs w:val="24"/>
        </w:rPr>
        <w:t>平滑剂：</w:t>
      </w:r>
      <w:r>
        <w:rPr>
          <w:rFonts w:hint="eastAsia" w:cs="Times New Roman"/>
          <w:color w:val="auto"/>
          <w:sz w:val="24"/>
          <w:szCs w:val="24"/>
          <w:lang w:eastAsia="zh-CN"/>
        </w:rPr>
        <w:t>又叫</w:t>
      </w:r>
      <w:r>
        <w:rPr>
          <w:rFonts w:hint="default" w:ascii="Times New Roman" w:hAnsi="Times New Roman" w:eastAsia="宋体" w:cs="Times New Roman"/>
          <w:color w:val="auto"/>
          <w:sz w:val="24"/>
          <w:szCs w:val="24"/>
        </w:rPr>
        <w:t>有机硅乳液，外观半透明，对织物具有较好的爽滑功能。</w:t>
      </w:r>
      <w:r>
        <w:rPr>
          <w:rFonts w:hint="eastAsia" w:cs="Times New Roman"/>
          <w:color w:val="auto"/>
          <w:sz w:val="24"/>
          <w:szCs w:val="24"/>
          <w:lang w:eastAsia="zh-CN"/>
        </w:rPr>
        <w:t>主要成分有硅油：</w:t>
      </w:r>
      <w:r>
        <w:rPr>
          <w:rFonts w:hint="eastAsia" w:cs="Times New Roman"/>
          <w:color w:val="auto"/>
          <w:sz w:val="24"/>
          <w:szCs w:val="24"/>
          <w:lang w:val="en-US" w:eastAsia="zh-CN"/>
        </w:rPr>
        <w:t>49.1%，乳化剂：32.6%，水：17.3%，聚乙二醇：1%。</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柔软剂：主要成分：</w:t>
      </w:r>
      <w:r>
        <w:rPr>
          <w:rFonts w:hint="eastAsia" w:cs="Times New Roman"/>
          <w:color w:val="auto"/>
          <w:sz w:val="24"/>
          <w:szCs w:val="24"/>
          <w:lang w:val="en-US" w:eastAsia="zh-CN"/>
        </w:rPr>
        <w:t>1号石蜡油50%，硬脂酸12%，硬脂酸甘油酯10%，匀染剂8%，三乙醇胺10%，水10%</w:t>
      </w:r>
      <w:r>
        <w:rPr>
          <w:rFonts w:hint="default" w:ascii="Times New Roman" w:hAnsi="Times New Roman" w:eastAsia="宋体" w:cs="Times New Roman"/>
          <w:color w:val="auto"/>
          <w:sz w:val="24"/>
          <w:szCs w:val="24"/>
        </w:rPr>
        <w:t>，外观无色透明，含固量（%）：12.0-14.0，pH值（1%水溶液）：4.0-6.0，离子性：弱阳，溶解性：易溶于水，对织物的渗透性好，亲和力强，能赋予织物持久耐洗的蓬松、柔滑、挺弹风格，并赋予织物突出的毛感。</w:t>
      </w:r>
    </w:p>
    <w:p>
      <w:pPr>
        <w:pStyle w:val="12"/>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480" w:firstLineChars="200"/>
        <w:textAlignment w:val="auto"/>
        <w:rPr>
          <w:color w:val="auto"/>
        </w:rPr>
      </w:pPr>
      <w:r>
        <w:rPr>
          <w:rFonts w:hint="eastAsia" w:cs="Times New Roman"/>
          <w:color w:val="auto"/>
          <w:sz w:val="24"/>
          <w:szCs w:val="24"/>
          <w:lang w:eastAsia="zh-CN"/>
        </w:rPr>
        <w:t>清洁剂</w:t>
      </w:r>
      <w:r>
        <w:rPr>
          <w:rFonts w:hint="default" w:ascii="Times New Roman" w:hAnsi="Times New Roman" w:eastAsia="宋体" w:cs="Times New Roman"/>
          <w:color w:val="auto"/>
          <w:sz w:val="24"/>
          <w:szCs w:val="24"/>
        </w:rPr>
        <w:t>：</w:t>
      </w:r>
      <w:r>
        <w:rPr>
          <w:rFonts w:hint="eastAsia" w:cs="Times New Roman"/>
          <w:color w:val="auto"/>
          <w:sz w:val="24"/>
          <w:szCs w:val="24"/>
          <w:lang w:eastAsia="zh-CN"/>
        </w:rPr>
        <w:t>主要成分为</w:t>
      </w:r>
      <w:r>
        <w:rPr>
          <w:rFonts w:hint="default" w:ascii="Times New Roman" w:hAnsi="Times New Roman" w:eastAsia="宋体" w:cs="Times New Roman"/>
          <w:color w:val="auto"/>
          <w:sz w:val="24"/>
          <w:szCs w:val="24"/>
          <w:lang w:val="en-US" w:eastAsia="zh-CN"/>
        </w:rPr>
        <w:t>苏打粉58%，十二烷基苯磺酸18%，羧甲基纤维素（CMC）2%，水2%，三聚磷酸钠15%，硅酸钠（含40%硅酸钠）5%。</w:t>
      </w:r>
      <w:r>
        <w:rPr>
          <w:color w:val="auto"/>
        </w:rPr>
        <w:t>外观淡橙黄色粘稠状液体，</w:t>
      </w:r>
      <w:r>
        <w:rPr>
          <w:rFonts w:ascii="Times New Roman" w:eastAsia="Times New Roman"/>
          <w:color w:val="auto"/>
          <w:spacing w:val="1"/>
        </w:rPr>
        <w:t xml:space="preserve">pH </w:t>
      </w:r>
      <w:r>
        <w:rPr>
          <w:color w:val="auto"/>
          <w:spacing w:val="-12"/>
        </w:rPr>
        <w:t>值</w:t>
      </w:r>
      <w:r>
        <w:rPr>
          <w:color w:val="auto"/>
        </w:rPr>
        <w:t>（</w:t>
      </w:r>
      <w:r>
        <w:rPr>
          <w:rFonts w:ascii="Times New Roman" w:eastAsia="Times New Roman"/>
          <w:color w:val="auto"/>
        </w:rPr>
        <w:t>1</w:t>
      </w:r>
      <w:r>
        <w:rPr>
          <w:rFonts w:ascii="Times New Roman" w:eastAsia="Times New Roman"/>
          <w:color w:val="auto"/>
          <w:spacing w:val="-1"/>
        </w:rPr>
        <w:t>%</w:t>
      </w:r>
      <w:r>
        <w:rPr>
          <w:color w:val="auto"/>
        </w:rPr>
        <w:t>水溶液</w:t>
      </w:r>
      <w:r>
        <w:rPr>
          <w:color w:val="auto"/>
          <w:spacing w:val="-120"/>
        </w:rPr>
        <w:t>）</w:t>
      </w:r>
      <w:r>
        <w:rPr>
          <w:color w:val="auto"/>
          <w:spacing w:val="-12"/>
        </w:rPr>
        <w:t>：</w:t>
      </w:r>
      <w:r>
        <w:rPr>
          <w:rFonts w:ascii="Times New Roman" w:eastAsia="Times New Roman"/>
          <w:color w:val="auto"/>
        </w:rPr>
        <w:t>7.5</w:t>
      </w:r>
      <w:r>
        <w:rPr>
          <w:rFonts w:ascii="Times New Roman" w:eastAsia="Times New Roman"/>
          <w:color w:val="auto"/>
          <w:spacing w:val="-1"/>
        </w:rPr>
        <w:t>-</w:t>
      </w:r>
      <w:r>
        <w:rPr>
          <w:rFonts w:ascii="Times New Roman" w:eastAsia="Times New Roman"/>
          <w:color w:val="auto"/>
        </w:rPr>
        <w:t>8</w:t>
      </w:r>
      <w:r>
        <w:rPr>
          <w:rFonts w:ascii="Times New Roman" w:eastAsia="Times New Roman"/>
          <w:color w:val="auto"/>
          <w:spacing w:val="1"/>
        </w:rPr>
        <w:t>.</w:t>
      </w:r>
      <w:r>
        <w:rPr>
          <w:rFonts w:ascii="Times New Roman" w:eastAsia="Times New Roman"/>
          <w:color w:val="auto"/>
        </w:rPr>
        <w:t>5</w:t>
      </w:r>
      <w:r>
        <w:rPr>
          <w:color w:val="auto"/>
          <w:spacing w:val="-9"/>
        </w:rPr>
        <w:t>，离子性：阴离子，储运：按一般化学品，储存于阴凉、干燥、通风不受日晒处，储存期为半年。</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活性硅</w:t>
      </w:r>
      <w:r>
        <w:rPr>
          <w:rFonts w:hint="eastAsia" w:cs="Times New Roman"/>
          <w:color w:val="auto"/>
          <w:sz w:val="24"/>
          <w:szCs w:val="24"/>
          <w:lang w:eastAsia="zh-CN"/>
        </w:rPr>
        <w:t>油</w:t>
      </w:r>
      <w:r>
        <w:rPr>
          <w:rFonts w:hint="default" w:ascii="Times New Roman" w:hAnsi="Times New Roman" w:eastAsia="宋体" w:cs="Times New Roman"/>
          <w:color w:val="auto"/>
          <w:sz w:val="24"/>
          <w:szCs w:val="24"/>
        </w:rPr>
        <w:t>：硅油别称环状聚二甲基硅氧烷，分子式为(C2HeOSi)n</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是一种不同聚合度链状结构的聚有机硅氧烷。熔点</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-50°C，沸点</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101°C，密度</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0.963。硅油一般是无色(或淡黄色)、无味、无毒、不易挥发的液体。硅油不溶于水、甲醇、二醇和-乙氧基乙醇，可与苯、二甲醚、甲基乙基酮、四氯化碳或煤油互溶，稍溶于丙酮、二恶烷、乙醇和丁醇。它具有很小的蒸汽压、较高的闪点和燃点、较低的凝固点。其用于清爽型膏霜，乳液、洗面奶、化妆水、彩妆、香水。</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羊绒缩绒剂：表面活性剂，乳白色液体，pH值：7.0，贮存：在通风干燥的地方，气温不宜超过38℃，保质期1年。不易燃、不易爆、不含甲醛和 APEO。</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硬挺整理剂：醋酸乙烯酯和丙烯酸酯类等高分子材料聚合乳液，外观为乳白色稠厚胶液，pH 值：4.5-6.5，易溶于水。</w:t>
      </w:r>
    </w:p>
    <w:p>
      <w:pPr>
        <w:rPr>
          <w:b/>
          <w:bCs/>
          <w:sz w:val="24"/>
          <w:szCs w:val="24"/>
        </w:rPr>
      </w:pPr>
      <w:r>
        <w:rPr>
          <w:b/>
          <w:bCs/>
          <w:sz w:val="24"/>
          <w:szCs w:val="24"/>
        </w:rPr>
        <w:t>2.1.6 生产设备</w:t>
      </w:r>
    </w:p>
    <w:p>
      <w:pPr>
        <w:adjustRightInd/>
        <w:snapToGrid/>
        <w:spacing w:line="240" w:lineRule="auto"/>
        <w:jc w:val="center"/>
        <w:rPr>
          <w:b/>
          <w:bCs/>
          <w:sz w:val="24"/>
          <w:szCs w:val="24"/>
        </w:rPr>
      </w:pPr>
      <w:r>
        <w:rPr>
          <w:b/>
          <w:bCs/>
          <w:sz w:val="24"/>
          <w:szCs w:val="24"/>
        </w:rPr>
        <w:t>表2</w:t>
      </w:r>
      <w:r>
        <w:rPr>
          <w:rFonts w:hint="eastAsia"/>
          <w:b/>
          <w:bCs/>
          <w:sz w:val="24"/>
          <w:szCs w:val="24"/>
          <w:lang w:val="en-US" w:eastAsia="zh-CN"/>
        </w:rPr>
        <w:t>.</w:t>
      </w:r>
      <w:r>
        <w:rPr>
          <w:b/>
          <w:bCs/>
          <w:sz w:val="24"/>
          <w:szCs w:val="24"/>
        </w:rPr>
        <w:t>1-4主要生产设备一览表</w:t>
      </w:r>
    </w:p>
    <w:tbl>
      <w:tblPr>
        <w:tblStyle w:val="22"/>
        <w:tblW w:w="91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2375"/>
        <w:gridCol w:w="2109"/>
        <w:gridCol w:w="23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23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eastAsia="zh-CN"/>
              </w:rPr>
            </w:pPr>
            <w:r>
              <w:rPr>
                <w:rFonts w:hint="default" w:ascii="Times New Roman" w:hAnsi="Times New Roman" w:eastAsia="宋体" w:cs="Times New Roman"/>
                <w:bCs/>
                <w:color w:val="000000"/>
                <w:sz w:val="21"/>
                <w:szCs w:val="21"/>
                <w:lang w:eastAsia="zh-CN"/>
              </w:rPr>
              <w:t>序号</w:t>
            </w:r>
          </w:p>
        </w:tc>
        <w:tc>
          <w:tcPr>
            <w:tcW w:w="23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设备名称</w:t>
            </w:r>
          </w:p>
        </w:tc>
        <w:tc>
          <w:tcPr>
            <w:tcW w:w="210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数量</w:t>
            </w:r>
          </w:p>
        </w:tc>
        <w:tc>
          <w:tcPr>
            <w:tcW w:w="23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2376"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237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倒毛机</w:t>
            </w:r>
          </w:p>
        </w:tc>
        <w:tc>
          <w:tcPr>
            <w:tcW w:w="210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232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2376"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237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平车机</w:t>
            </w:r>
          </w:p>
        </w:tc>
        <w:tc>
          <w:tcPr>
            <w:tcW w:w="210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w:t>
            </w:r>
          </w:p>
        </w:tc>
        <w:tc>
          <w:tcPr>
            <w:tcW w:w="232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2376"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237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拆片机</w:t>
            </w:r>
          </w:p>
        </w:tc>
        <w:tc>
          <w:tcPr>
            <w:tcW w:w="210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232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2376"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237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电脑横机</w:t>
            </w:r>
          </w:p>
        </w:tc>
        <w:tc>
          <w:tcPr>
            <w:tcW w:w="210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200</w:t>
            </w:r>
          </w:p>
        </w:tc>
        <w:tc>
          <w:tcPr>
            <w:tcW w:w="232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2376"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237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电脑锁眼机</w:t>
            </w:r>
          </w:p>
        </w:tc>
        <w:tc>
          <w:tcPr>
            <w:tcW w:w="210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232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2376"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237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钉扣机</w:t>
            </w:r>
          </w:p>
        </w:tc>
        <w:tc>
          <w:tcPr>
            <w:tcW w:w="210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232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2376"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237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检验台</w:t>
            </w:r>
          </w:p>
        </w:tc>
        <w:tc>
          <w:tcPr>
            <w:tcW w:w="210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170</w:t>
            </w:r>
          </w:p>
        </w:tc>
        <w:tc>
          <w:tcPr>
            <w:tcW w:w="232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2376"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237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密拷机</w:t>
            </w:r>
          </w:p>
        </w:tc>
        <w:tc>
          <w:tcPr>
            <w:tcW w:w="210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232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2376"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237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裁床机</w:t>
            </w:r>
          </w:p>
        </w:tc>
        <w:tc>
          <w:tcPr>
            <w:tcW w:w="210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232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2376"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237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裁布机</w:t>
            </w:r>
          </w:p>
        </w:tc>
        <w:tc>
          <w:tcPr>
            <w:tcW w:w="210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232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2376"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237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大烫台</w:t>
            </w:r>
          </w:p>
        </w:tc>
        <w:tc>
          <w:tcPr>
            <w:tcW w:w="210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232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2376"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237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烫标机</w:t>
            </w:r>
          </w:p>
        </w:tc>
        <w:tc>
          <w:tcPr>
            <w:tcW w:w="210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232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376"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w:t>
            </w:r>
          </w:p>
        </w:tc>
        <w:tc>
          <w:tcPr>
            <w:tcW w:w="237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包装台</w:t>
            </w:r>
          </w:p>
        </w:tc>
        <w:tc>
          <w:tcPr>
            <w:tcW w:w="210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232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2376"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c>
          <w:tcPr>
            <w:tcW w:w="237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套口机</w:t>
            </w:r>
          </w:p>
        </w:tc>
        <w:tc>
          <w:tcPr>
            <w:tcW w:w="210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160</w:t>
            </w:r>
          </w:p>
        </w:tc>
        <w:tc>
          <w:tcPr>
            <w:tcW w:w="232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2376"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237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拷边机</w:t>
            </w:r>
          </w:p>
        </w:tc>
        <w:tc>
          <w:tcPr>
            <w:tcW w:w="210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232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2376"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w:t>
            </w:r>
          </w:p>
        </w:tc>
        <w:tc>
          <w:tcPr>
            <w:tcW w:w="237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工业洗衣机</w:t>
            </w:r>
          </w:p>
        </w:tc>
        <w:tc>
          <w:tcPr>
            <w:tcW w:w="210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232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2376"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w:t>
            </w:r>
          </w:p>
        </w:tc>
        <w:tc>
          <w:tcPr>
            <w:tcW w:w="237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脱水机</w:t>
            </w:r>
          </w:p>
        </w:tc>
        <w:tc>
          <w:tcPr>
            <w:tcW w:w="210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232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2376"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w:t>
            </w:r>
          </w:p>
        </w:tc>
        <w:tc>
          <w:tcPr>
            <w:tcW w:w="237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烘干机</w:t>
            </w:r>
          </w:p>
        </w:tc>
        <w:tc>
          <w:tcPr>
            <w:tcW w:w="210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232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2376"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w:t>
            </w:r>
          </w:p>
        </w:tc>
        <w:tc>
          <w:tcPr>
            <w:tcW w:w="237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验针器</w:t>
            </w:r>
          </w:p>
        </w:tc>
        <w:tc>
          <w:tcPr>
            <w:tcW w:w="210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4</w:t>
            </w:r>
          </w:p>
        </w:tc>
        <w:tc>
          <w:tcPr>
            <w:tcW w:w="232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2376"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20</w:t>
            </w:r>
          </w:p>
        </w:tc>
        <w:tc>
          <w:tcPr>
            <w:tcW w:w="2375" w:type="dxa"/>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lang w:eastAsia="zh-CN"/>
              </w:rPr>
            </w:pPr>
            <w:r>
              <w:rPr>
                <w:rFonts w:hint="eastAsia" w:cs="Times New Roman"/>
                <w:sz w:val="21"/>
                <w:szCs w:val="21"/>
                <w:lang w:eastAsia="zh-CN"/>
              </w:rPr>
              <w:t>空压机</w:t>
            </w:r>
          </w:p>
        </w:tc>
        <w:tc>
          <w:tcPr>
            <w:tcW w:w="210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1</w:t>
            </w:r>
          </w:p>
        </w:tc>
        <w:tc>
          <w:tcPr>
            <w:tcW w:w="232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eastAsia="zh-CN"/>
              </w:rPr>
            </w:pPr>
            <w:r>
              <w:rPr>
                <w:rFonts w:hint="eastAsia" w:cs="Times New Roman"/>
                <w:sz w:val="21"/>
                <w:szCs w:val="21"/>
                <w:lang w:eastAsia="zh-CN"/>
              </w:rPr>
              <w:t>台</w:t>
            </w:r>
          </w:p>
        </w:tc>
      </w:tr>
    </w:tbl>
    <w:p>
      <w:pPr>
        <w:rPr>
          <w:b/>
          <w:bCs/>
          <w:sz w:val="24"/>
          <w:szCs w:val="24"/>
        </w:rPr>
      </w:pPr>
      <w:r>
        <w:rPr>
          <w:b/>
          <w:bCs/>
          <w:sz w:val="24"/>
          <w:szCs w:val="24"/>
        </w:rPr>
        <w:t>2.1.7 公用工程</w:t>
      </w:r>
    </w:p>
    <w:p>
      <w:pPr>
        <w:ind w:firstLine="470" w:firstLineChars="196"/>
        <w:rPr>
          <w:sz w:val="24"/>
          <w:szCs w:val="24"/>
        </w:rPr>
      </w:pPr>
      <w:r>
        <w:rPr>
          <w:sz w:val="24"/>
          <w:szCs w:val="24"/>
        </w:rPr>
        <w:t>（1）给水</w:t>
      </w:r>
    </w:p>
    <w:p>
      <w:pPr>
        <w:ind w:firstLine="480" w:firstLineChars="200"/>
        <w:rPr>
          <w:color w:val="000000" w:themeColor="text1"/>
          <w:sz w:val="24"/>
          <w:szCs w:val="24"/>
          <w14:textFill>
            <w14:solidFill>
              <w14:schemeClr w14:val="tx1"/>
            </w14:solidFill>
          </w14:textFill>
        </w:rPr>
      </w:pPr>
      <w:r>
        <w:rPr>
          <w:sz w:val="24"/>
          <w:szCs w:val="24"/>
        </w:rPr>
        <w:t>项目生产、生活用水均由市政自来水直接供给，市政自来水的压力在0.3</w:t>
      </w:r>
      <w:r>
        <w:rPr>
          <w:color w:val="000000" w:themeColor="text1"/>
          <w:sz w:val="24"/>
          <w:szCs w:val="24"/>
          <w14:textFill>
            <w14:solidFill>
              <w14:schemeClr w14:val="tx1"/>
            </w14:solidFill>
          </w14:textFill>
        </w:rPr>
        <w:t>~0.4MPa，水质和水量能够满足生产、生活需求。</w:t>
      </w:r>
    </w:p>
    <w:p>
      <w:pPr>
        <w:ind w:firstLine="470" w:firstLineChars="196"/>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（2）排水</w:t>
      </w:r>
    </w:p>
    <w:p>
      <w:pPr>
        <w:ind w:firstLine="523" w:firstLineChars="218"/>
        <w:rPr>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项目排水实行雨污</w:t>
      </w:r>
      <w:r>
        <w:rPr>
          <w:sz w:val="24"/>
          <w:szCs w:val="24"/>
        </w:rPr>
        <w:t>分流，雨水经厂区雨水管道收集后排入</w:t>
      </w:r>
      <w:r>
        <w:rPr>
          <w:rFonts w:hint="eastAsia"/>
          <w:sz w:val="24"/>
          <w:szCs w:val="24"/>
          <w:lang w:eastAsia="zh-CN"/>
        </w:rPr>
        <w:t>市政雨水管网</w:t>
      </w:r>
      <w:r>
        <w:rPr>
          <w:sz w:val="24"/>
          <w:szCs w:val="24"/>
        </w:rPr>
        <w:t>；</w:t>
      </w:r>
      <w:r>
        <w:rPr>
          <w:rFonts w:hint="eastAsia"/>
          <w:sz w:val="24"/>
          <w:szCs w:val="24"/>
          <w:lang w:eastAsia="zh-CN"/>
        </w:rPr>
        <w:t>水洗废水经厂区自建污水处理站处理后汇同经隔油池和化粪池预处理后的生活污水通过市政污水管网排入城北污水处理厂。</w:t>
      </w:r>
    </w:p>
    <w:p>
      <w:pPr>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（3）供电</w:t>
      </w:r>
    </w:p>
    <w:p>
      <w:pPr>
        <w:ind w:firstLine="480" w:firstLineChars="200"/>
        <w:rPr>
          <w:sz w:val="24"/>
          <w:szCs w:val="24"/>
        </w:rPr>
      </w:pPr>
      <w:r>
        <w:rPr>
          <w:sz w:val="24"/>
          <w:szCs w:val="24"/>
        </w:rPr>
        <w:t>本项目年耗电</w:t>
      </w:r>
      <w:r>
        <w:rPr>
          <w:sz w:val="24"/>
          <w:szCs w:val="24"/>
          <w:highlight w:val="none"/>
        </w:rPr>
        <w:t>量</w:t>
      </w:r>
      <w:r>
        <w:rPr>
          <w:rFonts w:hint="eastAsia"/>
          <w:sz w:val="24"/>
          <w:szCs w:val="24"/>
          <w:highlight w:val="none"/>
        </w:rPr>
        <w:t>500万</w:t>
      </w:r>
      <w:r>
        <w:rPr>
          <w:sz w:val="24"/>
          <w:szCs w:val="24"/>
          <w:highlight w:val="none"/>
        </w:rPr>
        <w:t>kW•h。</w:t>
      </w:r>
      <w:r>
        <w:rPr>
          <w:sz w:val="24"/>
          <w:szCs w:val="24"/>
        </w:rPr>
        <w:t>供电由市政电网提供，向各生产车间、辅助生产设施及公用工程经变配电后，电压等级根据生产生活需要。</w:t>
      </w:r>
    </w:p>
    <w:p>
      <w:pPr>
        <w:numPr>
          <w:ilvl w:val="0"/>
          <w:numId w:val="3"/>
        </w:numPr>
        <w:ind w:firstLine="480" w:firstLineChars="200"/>
        <w:rPr>
          <w:sz w:val="24"/>
          <w:szCs w:val="24"/>
        </w:rPr>
      </w:pPr>
      <w:r>
        <w:rPr>
          <w:sz w:val="24"/>
          <w:szCs w:val="24"/>
        </w:rPr>
        <w:t>供热</w:t>
      </w:r>
    </w:p>
    <w:p>
      <w:pPr>
        <w:ind w:firstLine="480" w:firstLineChars="200"/>
        <w:rPr>
          <w:b/>
          <w:bCs/>
          <w:sz w:val="24"/>
          <w:szCs w:val="24"/>
        </w:rPr>
      </w:pPr>
      <w:r>
        <w:rPr>
          <w:sz w:val="24"/>
          <w:szCs w:val="24"/>
        </w:rPr>
        <w:t>供热工段</w:t>
      </w:r>
      <w:r>
        <w:rPr>
          <w:rFonts w:hint="eastAsia"/>
          <w:sz w:val="24"/>
          <w:szCs w:val="24"/>
          <w:lang w:eastAsia="zh-CN"/>
        </w:rPr>
        <w:t>由六安市经济开发区集中供热</w:t>
      </w:r>
      <w:r>
        <w:rPr>
          <w:sz w:val="24"/>
          <w:szCs w:val="24"/>
        </w:rPr>
        <w:t>。</w:t>
      </w:r>
    </w:p>
    <w:p>
      <w:pPr>
        <w:rPr>
          <w:b/>
          <w:bCs/>
          <w:sz w:val="24"/>
          <w:szCs w:val="24"/>
        </w:rPr>
      </w:pPr>
      <w:r>
        <w:rPr>
          <w:b/>
          <w:bCs/>
          <w:sz w:val="24"/>
          <w:szCs w:val="24"/>
        </w:rPr>
        <w:t>2.1.8 总平面布置合理性</w:t>
      </w:r>
    </w:p>
    <w:p>
      <w:pPr>
        <w:ind w:firstLine="480" w:firstLineChars="200"/>
        <w:rPr>
          <w:sz w:val="24"/>
          <w:szCs w:val="24"/>
        </w:rPr>
      </w:pPr>
      <w:r>
        <w:rPr>
          <w:sz w:val="24"/>
          <w:szCs w:val="24"/>
        </w:rPr>
        <w:t>（1）总平面布置原则</w:t>
      </w:r>
    </w:p>
    <w:p>
      <w:pPr>
        <w:ind w:firstLine="480" w:firstLineChars="200"/>
        <w:rPr>
          <w:sz w:val="24"/>
          <w:szCs w:val="24"/>
        </w:rPr>
      </w:pPr>
      <w:r>
        <w:rPr>
          <w:sz w:val="24"/>
          <w:szCs w:val="24"/>
        </w:rPr>
        <w:t>在满足现行规范的前提下，合理布置各生产单元，达到工艺流程顺畅，原辅材料、中间产品及产成品的输送线路最短，物流与人流分道，生产调度方便，并尽可能使装置集中，节约用地。整个厂区要求功能分区明确，布置合理。</w:t>
      </w:r>
    </w:p>
    <w:p>
      <w:pPr>
        <w:ind w:firstLine="480" w:firstLineChars="200"/>
        <w:rPr>
          <w:sz w:val="24"/>
          <w:szCs w:val="24"/>
        </w:rPr>
      </w:pPr>
      <w:r>
        <w:rPr>
          <w:sz w:val="24"/>
          <w:szCs w:val="24"/>
        </w:rPr>
        <w:t>（2）总平面布置</w:t>
      </w:r>
    </w:p>
    <w:p>
      <w:pPr>
        <w:ind w:firstLine="480" w:firstLineChars="200"/>
        <w:rPr>
          <w:sz w:val="24"/>
          <w:szCs w:val="24"/>
          <w:highlight w:val="yellow"/>
        </w:rPr>
      </w:pPr>
      <w:r>
        <w:rPr>
          <w:color w:val="000000" w:themeColor="text1"/>
          <w:sz w:val="24"/>
          <w:szCs w:val="24"/>
          <w14:textFill>
            <w14:solidFill>
              <w14:schemeClr w14:val="tx1"/>
            </w14:solidFill>
          </w14:textFill>
        </w:rPr>
        <w:t>本项目位于六安市</w:t>
      </w:r>
      <w:r>
        <w:rPr>
          <w:rFonts w:hint="eastAsia"/>
          <w:color w:val="000000" w:themeColor="text1"/>
          <w:sz w:val="24"/>
          <w:szCs w:val="24"/>
          <w:lang w:eastAsia="zh-CN"/>
          <w14:textFill>
            <w14:solidFill>
              <w14:schemeClr w14:val="tx1"/>
            </w14:solidFill>
          </w14:textFill>
        </w:rPr>
        <w:t>经济开发区</w:t>
      </w:r>
      <w:r>
        <w:rPr>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建筑</w:t>
      </w:r>
      <w:r>
        <w:rPr>
          <w:rFonts w:hint="eastAsia"/>
          <w:color w:val="000000" w:themeColor="text1"/>
          <w:sz w:val="24"/>
          <w:szCs w:val="24"/>
          <w:lang w:val="en-US" w:eastAsia="zh-CN"/>
          <w14:textFill>
            <w14:solidFill>
              <w14:schemeClr w14:val="tx1"/>
            </w14:solidFill>
          </w14:textFill>
        </w:rPr>
        <w:t>2栋生产车间，车间内合理布局办公区、生产区、检验区、包装区等功能区划</w:t>
      </w:r>
      <w:r>
        <w:rPr>
          <w:rFonts w:hint="eastAsia"/>
          <w:color w:val="000000" w:themeColor="text1"/>
          <w:sz w:val="24"/>
          <w:szCs w:val="24"/>
          <w:highlight w:val="none"/>
          <w:lang w:val="en-US" w:eastAsia="zh-CN"/>
          <w14:textFill>
            <w14:solidFill>
              <w14:schemeClr w14:val="tx1"/>
            </w14:solidFill>
          </w14:textFill>
        </w:rPr>
        <w:t>，</w:t>
      </w:r>
      <w:r>
        <w:rPr>
          <w:sz w:val="24"/>
          <w:szCs w:val="24"/>
          <w:highlight w:val="none"/>
        </w:rPr>
        <w:t>企业总平面布置上做到了既结合工艺流程，又方便物流运输，同时可最大程度的减少对周边环境及厂区内部的影响，总平面布置较为合理。</w:t>
      </w:r>
    </w:p>
    <w:p>
      <w:pPr>
        <w:ind w:firstLine="480" w:firstLineChars="200"/>
        <w:rPr>
          <w:sz w:val="24"/>
          <w:szCs w:val="24"/>
        </w:rPr>
      </w:pPr>
      <w:r>
        <w:rPr>
          <w:sz w:val="24"/>
          <w:szCs w:val="24"/>
        </w:rPr>
        <w:t>（3）总图布置合理性分析</w:t>
      </w:r>
    </w:p>
    <w:p>
      <w:pPr>
        <w:ind w:firstLine="480" w:firstLineChars="200"/>
        <w:rPr>
          <w:sz w:val="24"/>
          <w:szCs w:val="24"/>
        </w:rPr>
      </w:pPr>
      <w:r>
        <w:rPr>
          <w:sz w:val="24"/>
          <w:szCs w:val="24"/>
        </w:rPr>
        <w:t>a.满足工艺流程要求。保证生产线短捷，尽量避免管道来往交叉迂回，并将公用工程消耗量大的装置集中布置，尽量靠近供应来源。同时，本工程在总平面布置时综合考虑其建筑与周边的防火间距和卫生要求。</w:t>
      </w:r>
    </w:p>
    <w:p>
      <w:pPr>
        <w:ind w:firstLine="480" w:firstLineChars="200"/>
        <w:rPr>
          <w:sz w:val="24"/>
          <w:szCs w:val="24"/>
        </w:rPr>
      </w:pPr>
      <w:r>
        <w:rPr>
          <w:sz w:val="24"/>
          <w:szCs w:val="24"/>
        </w:rPr>
        <w:t>b.合理布置场地内用地，注意节约用地。在可能的情况下尽量做到人流和物流分开，避免交叉。在总图规范化、合理化方向下，使布局更加完善。</w:t>
      </w:r>
    </w:p>
    <w:p>
      <w:pPr>
        <w:ind w:firstLine="480" w:firstLineChars="200"/>
        <w:rPr>
          <w:sz w:val="24"/>
          <w:szCs w:val="24"/>
        </w:rPr>
      </w:pPr>
      <w:r>
        <w:rPr>
          <w:sz w:val="24"/>
          <w:szCs w:val="24"/>
        </w:rPr>
        <w:t>c.项目厂区内均设消火栓进行保护，其布置保证室内每个防火分区同层有两支水枪的充实水柱同时到达任何部位。室内采用常高压消火栓灭火给水系统。消火栓压力来自市政给水管网，符合消防要求。</w:t>
      </w:r>
    </w:p>
    <w:p>
      <w:pPr>
        <w:ind w:firstLine="480" w:firstLineChars="200"/>
        <w:rPr>
          <w:sz w:val="24"/>
          <w:szCs w:val="24"/>
        </w:rPr>
      </w:pPr>
      <w:r>
        <w:rPr>
          <w:sz w:val="24"/>
          <w:szCs w:val="24"/>
        </w:rPr>
        <w:t>d.采用有效的外部连接方式，合理功能分区。</w:t>
      </w:r>
    </w:p>
    <w:p>
      <w:pPr>
        <w:ind w:firstLine="480" w:firstLineChars="200"/>
        <w:rPr>
          <w:sz w:val="24"/>
          <w:szCs w:val="24"/>
        </w:rPr>
      </w:pPr>
      <w:r>
        <w:rPr>
          <w:sz w:val="24"/>
          <w:szCs w:val="24"/>
        </w:rPr>
        <w:t>本项目各生产单元布置合理，整个厂区功能分区明确，布置紧凑合理，各个建筑物之间能够满足生产和运输要求。</w:t>
      </w:r>
    </w:p>
    <w:p>
      <w:pPr>
        <w:ind w:firstLine="480" w:firstLineChars="200"/>
        <w:rPr>
          <w:sz w:val="24"/>
          <w:szCs w:val="24"/>
        </w:rPr>
      </w:pPr>
      <w:r>
        <w:rPr>
          <w:sz w:val="24"/>
          <w:szCs w:val="24"/>
        </w:rPr>
        <w:t>综上，依据总图运输专业相关规范，工艺流程，物流走向及平面基础资料，本项目各生产单元布置合理，各厂区功能分区明确，布置紧凑合理，各个建筑物之间能够满足生产和运输要求，总图布置较为合理。</w:t>
      </w:r>
    </w:p>
    <w:p>
      <w:pPr>
        <w:rPr>
          <w:b/>
          <w:bCs/>
          <w:sz w:val="24"/>
          <w:szCs w:val="24"/>
        </w:rPr>
      </w:pPr>
      <w:r>
        <w:rPr>
          <w:b/>
          <w:bCs/>
          <w:sz w:val="24"/>
          <w:szCs w:val="24"/>
        </w:rPr>
        <w:t>2.1.</w:t>
      </w:r>
      <w:r>
        <w:rPr>
          <w:rFonts w:hint="eastAsia"/>
          <w:b/>
          <w:bCs/>
          <w:sz w:val="24"/>
          <w:szCs w:val="24"/>
        </w:rPr>
        <w:t>9</w:t>
      </w:r>
      <w:r>
        <w:rPr>
          <w:b/>
          <w:bCs/>
          <w:sz w:val="24"/>
          <w:szCs w:val="24"/>
        </w:rPr>
        <w:t xml:space="preserve"> 劳动定员及工作制度</w:t>
      </w:r>
    </w:p>
    <w:p>
      <w:pPr>
        <w:rPr>
          <w:color w:val="0000FF"/>
          <w:highlight w:val="yellow"/>
        </w:rPr>
      </w:pPr>
      <w:r>
        <w:rPr>
          <w:b/>
          <w:bCs/>
          <w:sz w:val="24"/>
          <w:szCs w:val="24"/>
        </w:rPr>
        <w:t xml:space="preserve">   </w:t>
      </w:r>
      <w:r>
        <w:rPr>
          <w:bCs/>
          <w:sz w:val="24"/>
          <w:szCs w:val="24"/>
        </w:rPr>
        <w:t xml:space="preserve"> </w:t>
      </w:r>
      <w:r>
        <w:rPr>
          <w:bCs/>
          <w:sz w:val="24"/>
          <w:szCs w:val="24"/>
          <w:highlight w:val="none"/>
        </w:rPr>
        <w:t>劳动定员</w:t>
      </w:r>
      <w:r>
        <w:rPr>
          <w:rFonts w:hint="eastAsia"/>
          <w:bCs/>
          <w:sz w:val="24"/>
          <w:szCs w:val="24"/>
          <w:highlight w:val="none"/>
          <w:lang w:val="en-US" w:eastAsia="zh-CN"/>
        </w:rPr>
        <w:t>200</w:t>
      </w:r>
      <w:r>
        <w:rPr>
          <w:bCs/>
          <w:sz w:val="24"/>
          <w:szCs w:val="24"/>
          <w:highlight w:val="none"/>
        </w:rPr>
        <w:t>人，</w:t>
      </w:r>
      <w:r>
        <w:rPr>
          <w:rFonts w:hint="eastAsia"/>
          <w:bCs/>
          <w:sz w:val="24"/>
          <w:szCs w:val="24"/>
          <w:highlight w:val="none"/>
          <w:lang w:eastAsia="zh-CN"/>
        </w:rPr>
        <w:t>厂区</w:t>
      </w:r>
      <w:r>
        <w:rPr>
          <w:bCs/>
          <w:sz w:val="24"/>
          <w:szCs w:val="24"/>
          <w:highlight w:val="none"/>
        </w:rPr>
        <w:t>提供食宿，采用</w:t>
      </w:r>
      <w:r>
        <w:rPr>
          <w:rFonts w:hint="eastAsia"/>
          <w:bCs/>
          <w:sz w:val="24"/>
          <w:szCs w:val="24"/>
          <w:highlight w:val="none"/>
          <w:lang w:eastAsia="zh-CN"/>
        </w:rPr>
        <w:t>双</w:t>
      </w:r>
      <w:r>
        <w:rPr>
          <w:bCs/>
          <w:sz w:val="24"/>
          <w:szCs w:val="24"/>
          <w:highlight w:val="none"/>
        </w:rPr>
        <w:t>班制，每班</w:t>
      </w:r>
      <w:r>
        <w:rPr>
          <w:rFonts w:hint="eastAsia"/>
          <w:bCs/>
          <w:sz w:val="24"/>
          <w:szCs w:val="24"/>
          <w:highlight w:val="none"/>
          <w:lang w:val="en-US" w:eastAsia="zh-CN"/>
        </w:rPr>
        <w:t>12</w:t>
      </w:r>
      <w:r>
        <w:rPr>
          <w:bCs/>
          <w:sz w:val="24"/>
          <w:szCs w:val="24"/>
          <w:highlight w:val="none"/>
        </w:rPr>
        <w:t>小时</w:t>
      </w:r>
      <w:r>
        <w:rPr>
          <w:rFonts w:hint="eastAsia"/>
          <w:bCs/>
          <w:sz w:val="24"/>
          <w:szCs w:val="24"/>
          <w:highlight w:val="none"/>
          <w:lang w:eastAsia="zh-CN"/>
        </w:rPr>
        <w:t>，</w:t>
      </w:r>
      <w:r>
        <w:rPr>
          <w:bCs/>
          <w:sz w:val="24"/>
          <w:szCs w:val="24"/>
          <w:highlight w:val="none"/>
        </w:rPr>
        <w:t>工作时间</w:t>
      </w:r>
      <w:r>
        <w:rPr>
          <w:rFonts w:hint="eastAsia"/>
          <w:bCs/>
          <w:sz w:val="24"/>
          <w:szCs w:val="24"/>
          <w:highlight w:val="none"/>
          <w:lang w:val="en-US" w:eastAsia="zh-CN"/>
        </w:rPr>
        <w:t>300</w:t>
      </w:r>
      <w:r>
        <w:rPr>
          <w:bCs/>
          <w:sz w:val="24"/>
          <w:szCs w:val="24"/>
          <w:highlight w:val="none"/>
        </w:rPr>
        <w:t>日/年。</w:t>
      </w:r>
      <w:bookmarkStart w:id="153" w:name="_Toc532395294"/>
      <w:bookmarkStart w:id="154" w:name="_Toc24253_WPSOffice_Level2"/>
    </w:p>
    <w:p>
      <w:pPr>
        <w:pStyle w:val="5"/>
        <w:rPr>
          <w:sz w:val="24"/>
          <w:szCs w:val="24"/>
        </w:rPr>
      </w:pPr>
      <w:bookmarkStart w:id="155" w:name="_Toc22852_WPSOffice_Level2"/>
      <w:r>
        <w:rPr>
          <w:sz w:val="24"/>
          <w:szCs w:val="24"/>
        </w:rPr>
        <w:t>2.2 污染影响因素分析</w:t>
      </w:r>
      <w:bookmarkEnd w:id="153"/>
      <w:bookmarkEnd w:id="154"/>
      <w:bookmarkEnd w:id="155"/>
    </w:p>
    <w:p>
      <w:pPr>
        <w:pStyle w:val="5"/>
        <w:keepLines w:val="0"/>
        <w:rPr>
          <w:bCs w:val="0"/>
          <w:kern w:val="0"/>
          <w:sz w:val="24"/>
          <w:szCs w:val="24"/>
        </w:rPr>
      </w:pPr>
      <w:bookmarkStart w:id="156" w:name="_Toc531160548"/>
      <w:bookmarkStart w:id="157" w:name="_Toc532395295"/>
      <w:bookmarkStart w:id="158" w:name="_Toc522372515"/>
      <w:bookmarkStart w:id="159" w:name="_Toc532385956"/>
      <w:bookmarkStart w:id="160" w:name="_Toc519871915"/>
      <w:bookmarkStart w:id="161" w:name="_Toc531771383"/>
      <w:bookmarkStart w:id="162" w:name="_Toc531006610"/>
      <w:bookmarkStart w:id="163" w:name="_Toc522373764"/>
      <w:r>
        <w:rPr>
          <w:sz w:val="24"/>
          <w:szCs w:val="24"/>
        </w:rPr>
        <w:t>2.2.1</w:t>
      </w:r>
      <w:r>
        <w:rPr>
          <w:bCs w:val="0"/>
          <w:kern w:val="0"/>
          <w:sz w:val="24"/>
          <w:szCs w:val="24"/>
        </w:rPr>
        <w:t>施工期工程分析</w:t>
      </w:r>
      <w:bookmarkEnd w:id="156"/>
      <w:bookmarkEnd w:id="157"/>
      <w:bookmarkEnd w:id="158"/>
      <w:bookmarkEnd w:id="159"/>
      <w:bookmarkEnd w:id="160"/>
      <w:bookmarkEnd w:id="161"/>
      <w:bookmarkEnd w:id="162"/>
      <w:bookmarkEnd w:id="163"/>
    </w:p>
    <w:p>
      <w:pPr>
        <w:ind w:firstLine="235" w:firstLineChars="98"/>
        <w:rPr>
          <w:b/>
        </w:rPr>
      </w:pPr>
      <w:r>
        <w:rPr>
          <w:sz w:val="24"/>
          <w:szCs w:val="24"/>
        </w:rPr>
        <w:t>1. 施工期污染节点简图</w:t>
      </w:r>
      <w:r>
        <w:rPr>
          <w:b/>
        </w:rPr>
        <mc:AlternateContent>
          <mc:Choice Requires="wps">
            <w:drawing>
              <wp:anchor distT="0" distB="0" distL="114300" distR="114300" simplePos="0" relativeHeight="251598848" behindDoc="1" locked="0" layoutInCell="1" allowOverlap="1">
                <wp:simplePos x="0" y="0"/>
                <wp:positionH relativeFrom="column">
                  <wp:posOffset>3381375</wp:posOffset>
                </wp:positionH>
                <wp:positionV relativeFrom="paragraph">
                  <wp:posOffset>176530</wp:posOffset>
                </wp:positionV>
                <wp:extent cx="762000" cy="260985"/>
                <wp:effectExtent l="0" t="0" r="0" b="5715"/>
                <wp:wrapNone/>
                <wp:docPr id="44" name="文本框 44"/>
                <wp:cNvGraphicFramePr/>
                <a:graphic xmlns:a="http://schemas.openxmlformats.org/drawingml/2006/main">
                  <a:graphicData uri="http://schemas.microsoft.com/office/word/2010/wordprocessingShape">
                    <wps:wsp>
                      <wps:cNvSpPr txBox="1"/>
                      <wps:spPr>
                        <a:xfrm>
                          <a:off x="0" y="0"/>
                          <a:ext cx="762000" cy="260985"/>
                        </a:xfrm>
                        <a:prstGeom prst="rect">
                          <a:avLst/>
                        </a:prstGeom>
                        <a:solidFill>
                          <a:srgbClr val="FFFFFF"/>
                        </a:solidFill>
                        <a:ln w="9525">
                          <a:noFill/>
                        </a:ln>
                        <a:effectLst/>
                      </wps:spPr>
                      <wps:txbx>
                        <w:txbxContent>
                          <w:p>
                            <w:pPr>
                              <w:spacing w:beforeLines="10"/>
                              <w:jc w:val="center"/>
                            </w:pPr>
                            <w:r>
                              <w:rPr>
                                <w:rFonts w:hint="eastAsia"/>
                              </w:rPr>
                              <w:t>S、N</w:t>
                            </w:r>
                          </w:p>
                        </w:txbxContent>
                      </wps:txbx>
                      <wps:bodyPr upright="1"/>
                    </wps:wsp>
                  </a:graphicData>
                </a:graphic>
              </wp:anchor>
            </w:drawing>
          </mc:Choice>
          <mc:Fallback>
            <w:pict>
              <v:shape id="_x0000_s1026" o:spid="_x0000_s1026" o:spt="202" type="#_x0000_t202" style="position:absolute;left:0pt;margin-left:266.25pt;margin-top:13.9pt;height:20.55pt;width:60pt;z-index:-251717632;mso-width-relative:page;mso-height-relative:page;" fillcolor="#FFFFFF" filled="t" stroked="f" coordsize="21600,21600" o:gfxdata="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4AH&#10;uNcAAAAJAQAADwAAAAAAAAABACAAAAAiAAAAZHJzL2Rvd25yZXYueG1sUEsBAhQAFAAAAAgAh07i&#10;QEKG6RGxAQAAQQMAAA4AAAAAAAAAAQAgAAAAJgEAAGRycy9lMm9Eb2MueG1sUEsFBgAAAAAGAAYA&#10;WQEAAEkFAAAAAA==&#10;">
                <v:fill on="t" focussize="0,0"/>
                <v:stroke on="f"/>
                <v:imagedata o:title=""/>
                <o:lock v:ext="edit" aspectratio="f"/>
                <v:textbox>
                  <w:txbxContent>
                    <w:p>
                      <w:pPr>
                        <w:spacing w:beforeLines="10"/>
                        <w:jc w:val="center"/>
                      </w:pPr>
                      <w:r>
                        <w:rPr>
                          <w:rFonts w:hint="eastAsia"/>
                        </w:rPr>
                        <w:t>S、N</w:t>
                      </w:r>
                    </w:p>
                  </w:txbxContent>
                </v:textbox>
              </v:shape>
            </w:pict>
          </mc:Fallback>
        </mc:AlternateContent>
      </w:r>
      <w:r>
        <w:rPr>
          <w:b/>
        </w:rPr>
        <mc:AlternateContent>
          <mc:Choice Requires="wps">
            <w:drawing>
              <wp:anchor distT="0" distB="0" distL="114300" distR="114300" simplePos="0" relativeHeight="251597824" behindDoc="1" locked="0" layoutInCell="1" allowOverlap="1">
                <wp:simplePos x="0" y="0"/>
                <wp:positionH relativeFrom="column">
                  <wp:posOffset>2143125</wp:posOffset>
                </wp:positionH>
                <wp:positionV relativeFrom="paragraph">
                  <wp:posOffset>157480</wp:posOffset>
                </wp:positionV>
                <wp:extent cx="1066800" cy="297180"/>
                <wp:effectExtent l="0" t="0" r="0" b="7620"/>
                <wp:wrapNone/>
                <wp:docPr id="42" name="文本框 42"/>
                <wp:cNvGraphicFramePr/>
                <a:graphic xmlns:a="http://schemas.openxmlformats.org/drawingml/2006/main">
                  <a:graphicData uri="http://schemas.microsoft.com/office/word/2010/wordprocessingShape">
                    <wps:wsp>
                      <wps:cNvSpPr txBox="1"/>
                      <wps:spPr>
                        <a:xfrm>
                          <a:off x="0" y="0"/>
                          <a:ext cx="1066800" cy="297180"/>
                        </a:xfrm>
                        <a:prstGeom prst="rect">
                          <a:avLst/>
                        </a:prstGeom>
                        <a:solidFill>
                          <a:srgbClr val="FFFFFF"/>
                        </a:solidFill>
                        <a:ln w="9525">
                          <a:noFill/>
                        </a:ln>
                        <a:effectLst/>
                      </wps:spPr>
                      <wps:txbx>
                        <w:txbxContent>
                          <w:p>
                            <w:pPr>
                              <w:spacing w:beforeLines="10"/>
                              <w:jc w:val="center"/>
                            </w:pPr>
                            <w:r>
                              <w:rPr>
                                <w:rFonts w:hint="eastAsia"/>
                              </w:rPr>
                              <w:t>G、S、W、N</w:t>
                            </w:r>
                          </w:p>
                        </w:txbxContent>
                      </wps:txbx>
                      <wps:bodyPr upright="1"/>
                    </wps:wsp>
                  </a:graphicData>
                </a:graphic>
              </wp:anchor>
            </w:drawing>
          </mc:Choice>
          <mc:Fallback>
            <w:pict>
              <v:shape id="_x0000_s1026" o:spid="_x0000_s1026" o:spt="202" type="#_x0000_t202" style="position:absolute;left:0pt;margin-left:168.75pt;margin-top:12.4pt;height:23.4pt;width:84pt;z-index:-251718656;mso-width-relative:page;mso-height-relative:page;" fillcolor="#FFFFFF" filled="t" stroked="f" coordsize="21600,21600" o:gfxdata="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mUZF7XAAAACQEAAA8AAAAAAAAAAQAgAAAAIgAAAGRycy9kb3ducmV2LnhtbFBLAQIUABQAAAAI&#10;AIdO4kDbNP0PtQEAAEIDAAAOAAAAAAAAAAEAIAAAACYBAABkcnMvZTJvRG9jLnhtbFBLBQYAAAAA&#10;BgAGAFkBAABNBQAAAAA=&#10;">
                <v:fill on="t" focussize="0,0"/>
                <v:stroke on="f"/>
                <v:imagedata o:title=""/>
                <o:lock v:ext="edit" aspectratio="f"/>
                <v:textbox>
                  <w:txbxContent>
                    <w:p>
                      <w:pPr>
                        <w:spacing w:beforeLines="10"/>
                        <w:jc w:val="center"/>
                      </w:pPr>
                      <w:r>
                        <w:rPr>
                          <w:rFonts w:hint="eastAsia"/>
                        </w:rPr>
                        <w:t>G、S、W、N</w:t>
                      </w:r>
                    </w:p>
                  </w:txbxContent>
                </v:textbox>
              </v:shape>
            </w:pict>
          </mc:Fallback>
        </mc:AlternateContent>
      </w:r>
      <w:r>
        <w:rPr>
          <w:b/>
        </w:rPr>
        <mc:AlternateContent>
          <mc:Choice Requires="wps">
            <w:drawing>
              <wp:anchor distT="0" distB="0" distL="114300" distR="114300" simplePos="0" relativeHeight="251596800" behindDoc="1" locked="0" layoutInCell="1" allowOverlap="1">
                <wp:simplePos x="0" y="0"/>
                <wp:positionH relativeFrom="column">
                  <wp:posOffset>1066800</wp:posOffset>
                </wp:positionH>
                <wp:positionV relativeFrom="paragraph">
                  <wp:posOffset>167005</wp:posOffset>
                </wp:positionV>
                <wp:extent cx="1066800" cy="297180"/>
                <wp:effectExtent l="0" t="0" r="0" b="7620"/>
                <wp:wrapNone/>
                <wp:docPr id="41" name="文本框 41"/>
                <wp:cNvGraphicFramePr/>
                <a:graphic xmlns:a="http://schemas.openxmlformats.org/drawingml/2006/main">
                  <a:graphicData uri="http://schemas.microsoft.com/office/word/2010/wordprocessingShape">
                    <wps:wsp>
                      <wps:cNvSpPr txBox="1"/>
                      <wps:spPr>
                        <a:xfrm>
                          <a:off x="0" y="0"/>
                          <a:ext cx="1066800" cy="297180"/>
                        </a:xfrm>
                        <a:prstGeom prst="rect">
                          <a:avLst/>
                        </a:prstGeom>
                        <a:solidFill>
                          <a:srgbClr val="FFFFFF"/>
                        </a:solidFill>
                        <a:ln w="9525">
                          <a:noFill/>
                        </a:ln>
                        <a:effectLst/>
                      </wps:spPr>
                      <wps:txbx>
                        <w:txbxContent>
                          <w:p>
                            <w:pPr>
                              <w:spacing w:beforeLines="10"/>
                              <w:jc w:val="center"/>
                            </w:pPr>
                            <w:r>
                              <w:rPr>
                                <w:rFonts w:hint="eastAsia"/>
                              </w:rPr>
                              <w:t>G、S、W、N</w:t>
                            </w:r>
                          </w:p>
                        </w:txbxContent>
                      </wps:txbx>
                      <wps:bodyPr upright="1"/>
                    </wps:wsp>
                  </a:graphicData>
                </a:graphic>
              </wp:anchor>
            </w:drawing>
          </mc:Choice>
          <mc:Fallback>
            <w:pict>
              <v:shape id="_x0000_s1026" o:spid="_x0000_s1026" o:spt="202" type="#_x0000_t202" style="position:absolute;left:0pt;margin-left:84pt;margin-top:13.15pt;height:23.4pt;width:84pt;z-index:-251719680;mso-width-relative:page;mso-height-relative:page;" fillcolor="#FFFFFF" filled="t" stroked="f" coordsize="21600,21600" o:gfxdata="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0WUe+tcAAAAJAQAADwAAAAAAAAABACAAAAAiAAAAZHJzL2Rvd25yZXYueG1sUEsBAhQAFAAAAAgA&#10;h07iQE22fDy0AQAAQgMAAA4AAAAAAAAAAQAgAAAAJgEAAGRycy9lMm9Eb2MueG1sUEsFBgAAAAAG&#10;AAYAWQEAAEwFAAAAAA==&#10;">
                <v:fill on="t" focussize="0,0"/>
                <v:stroke on="f"/>
                <v:imagedata o:title=""/>
                <o:lock v:ext="edit" aspectratio="f"/>
                <v:textbox>
                  <w:txbxContent>
                    <w:p>
                      <w:pPr>
                        <w:spacing w:beforeLines="10"/>
                        <w:jc w:val="center"/>
                      </w:pPr>
                      <w:r>
                        <w:rPr>
                          <w:rFonts w:hint="eastAsia"/>
                        </w:rPr>
                        <w:t>G、S、W、N</w:t>
                      </w:r>
                    </w:p>
                  </w:txbxContent>
                </v:textbox>
              </v:shape>
            </w:pict>
          </mc:Fallback>
        </mc:AlternateContent>
      </w:r>
      <w:r>
        <w:rPr>
          <w:b/>
        </w:rPr>
        <mc:AlternateContent>
          <mc:Choice Requires="wps">
            <w:drawing>
              <wp:anchor distT="0" distB="0" distL="114300" distR="114300" simplePos="0" relativeHeight="251595776" behindDoc="1" locked="0" layoutInCell="1" allowOverlap="1">
                <wp:simplePos x="0" y="0"/>
                <wp:positionH relativeFrom="column">
                  <wp:posOffset>-76200</wp:posOffset>
                </wp:positionH>
                <wp:positionV relativeFrom="paragraph">
                  <wp:posOffset>167005</wp:posOffset>
                </wp:positionV>
                <wp:extent cx="1066800" cy="297180"/>
                <wp:effectExtent l="0" t="0" r="0" b="7620"/>
                <wp:wrapNone/>
                <wp:docPr id="43" name="文本框 43"/>
                <wp:cNvGraphicFramePr/>
                <a:graphic xmlns:a="http://schemas.openxmlformats.org/drawingml/2006/main">
                  <a:graphicData uri="http://schemas.microsoft.com/office/word/2010/wordprocessingShape">
                    <wps:wsp>
                      <wps:cNvSpPr txBox="1"/>
                      <wps:spPr>
                        <a:xfrm>
                          <a:off x="0" y="0"/>
                          <a:ext cx="1066800" cy="297180"/>
                        </a:xfrm>
                        <a:prstGeom prst="rect">
                          <a:avLst/>
                        </a:prstGeom>
                        <a:solidFill>
                          <a:srgbClr val="FFFFFF"/>
                        </a:solidFill>
                        <a:ln w="9525">
                          <a:noFill/>
                        </a:ln>
                        <a:effectLst/>
                      </wps:spPr>
                      <wps:txbx>
                        <w:txbxContent>
                          <w:p>
                            <w:pPr>
                              <w:spacing w:beforeLines="10"/>
                              <w:jc w:val="center"/>
                            </w:pPr>
                            <w:r>
                              <w:rPr>
                                <w:rFonts w:hint="eastAsia"/>
                              </w:rPr>
                              <w:t>G、S、W、N</w:t>
                            </w:r>
                          </w:p>
                        </w:txbxContent>
                      </wps:txbx>
                      <wps:bodyPr upright="1"/>
                    </wps:wsp>
                  </a:graphicData>
                </a:graphic>
              </wp:anchor>
            </w:drawing>
          </mc:Choice>
          <mc:Fallback>
            <w:pict>
              <v:shape id="_x0000_s1026" o:spid="_x0000_s1026" o:spt="202" type="#_x0000_t202" style="position:absolute;left:0pt;margin-left:-6pt;margin-top:13.15pt;height:23.4pt;width:84pt;z-index:-251720704;mso-width-relative:page;mso-height-relative:page;" fillcolor="#FFFFFF" filled="t" stroked="f" coordsize="21600,21600" o:gfxdata="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GWSldcAAAAJAQAADwAAAAAAAAABACAAAAAiAAAAZHJzL2Rvd25yZXYueG1sUEsBAhQAFAAAAAgA&#10;h07iQKlKgh60AQAAQgMAAA4AAAAAAAAAAQAgAAAAJgEAAGRycy9lMm9Eb2MueG1sUEsFBgAAAAAG&#10;AAYAWQEAAEwFAAAAAA==&#10;">
                <v:fill on="t" focussize="0,0"/>
                <v:stroke on="f"/>
                <v:imagedata o:title=""/>
                <o:lock v:ext="edit" aspectratio="f"/>
                <v:textbox>
                  <w:txbxContent>
                    <w:p>
                      <w:pPr>
                        <w:spacing w:beforeLines="10"/>
                        <w:jc w:val="center"/>
                      </w:pPr>
                      <w:r>
                        <w:rPr>
                          <w:rFonts w:hint="eastAsia"/>
                        </w:rPr>
                        <w:t>G、S、W、N</w:t>
                      </w:r>
                    </w:p>
                  </w:txbxContent>
                </v:textbox>
              </v:shape>
            </w:pict>
          </mc:Fallback>
        </mc:AlternateContent>
      </w:r>
    </w:p>
    <w:p>
      <w:pPr>
        <w:spacing w:beforeLines="50" w:afterLines="30"/>
        <w:ind w:right="360" w:firstLine="310" w:firstLineChars="147"/>
        <w:jc w:val="center"/>
      </w:pPr>
      <w:r>
        <w:rPr>
          <w:b/>
        </w:rPr>
        <mc:AlternateContent>
          <mc:Choice Requires="wps">
            <w:drawing>
              <wp:anchor distT="0" distB="0" distL="114300" distR="114300" simplePos="0" relativeHeight="251599872" behindDoc="1" locked="0" layoutInCell="1" allowOverlap="1">
                <wp:simplePos x="0" y="0"/>
                <wp:positionH relativeFrom="column">
                  <wp:posOffset>-57150</wp:posOffset>
                </wp:positionH>
                <wp:positionV relativeFrom="paragraph">
                  <wp:posOffset>328930</wp:posOffset>
                </wp:positionV>
                <wp:extent cx="5486400" cy="495300"/>
                <wp:effectExtent l="4445" t="4445" r="14605" b="14605"/>
                <wp:wrapNone/>
                <wp:docPr id="40" name="文本框 40"/>
                <wp:cNvGraphicFramePr/>
                <a:graphic xmlns:a="http://schemas.openxmlformats.org/drawingml/2006/main">
                  <a:graphicData uri="http://schemas.microsoft.com/office/word/2010/wordprocessingShape">
                    <wps:wsp>
                      <wps:cNvSpPr txBox="1"/>
                      <wps:spPr>
                        <a:xfrm>
                          <a:off x="0" y="0"/>
                          <a:ext cx="5486400" cy="495300"/>
                        </a:xfrm>
                        <a:prstGeom prst="rect">
                          <a:avLst/>
                        </a:prstGeom>
                        <a:noFill/>
                        <a:ln w="9525" cap="flat" cmpd="sng">
                          <a:solidFill>
                            <a:srgbClr val="000000"/>
                          </a:solidFill>
                          <a:prstDash val="dash"/>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4.5pt;margin-top:25.9pt;height:39pt;width:432pt;z-index:-251716608;mso-width-relative:page;mso-height-relative:page;" filled="f" stroked="t" coordsize="21600,21600" o:gfxdata="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GqALNkAAAAJAQAADwAAAAAAAAABACAAAAAiAAAAZHJzL2Rvd25yZXYueG1sUEsBAhQA&#10;FAAAAAgAh07iQIymrqfxAQAAzgMAAA4AAAAAAAAAAQAgAAAAKAEAAGRycy9lMm9Eb2MueG1sUEsF&#10;BgAAAAAGAAYAWQEAAIsFAAAAAA==&#10;">
                <v:fill on="f" focussize="0,0"/>
                <v:stroke color="#000000" joinstyle="miter" dashstyle="dash"/>
                <v:imagedata o:title=""/>
                <o:lock v:ext="edit" aspectratio="f"/>
                <v:textbox>
                  <w:txbxContent>
                    <w:p/>
                  </w:txbxContent>
                </v:textbox>
              </v:shape>
            </w:pict>
          </mc:Fallback>
        </mc:AlternateContent>
      </w:r>
      <w:r>
        <mc:AlternateContent>
          <mc:Choice Requires="wps">
            <w:drawing>
              <wp:anchor distT="0" distB="0" distL="114300" distR="114300" simplePos="0" relativeHeight="251593728" behindDoc="1" locked="0" layoutInCell="1" allowOverlap="1">
                <wp:simplePos x="0" y="0"/>
                <wp:positionH relativeFrom="column">
                  <wp:posOffset>2676525</wp:posOffset>
                </wp:positionH>
                <wp:positionV relativeFrom="paragraph">
                  <wp:posOffset>140335</wp:posOffset>
                </wp:positionV>
                <wp:extent cx="0" cy="297180"/>
                <wp:effectExtent l="38100" t="0" r="38100" b="7620"/>
                <wp:wrapNone/>
                <wp:docPr id="38" name="直接连接符 38"/>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dash"/>
                          <a:headEnd type="none" w="med" len="med"/>
                          <a:tailEnd type="triangle" w="med" len="med"/>
                        </a:ln>
                        <a:effectLst/>
                      </wps:spPr>
                      <wps:bodyPr/>
                    </wps:wsp>
                  </a:graphicData>
                </a:graphic>
              </wp:anchor>
            </w:drawing>
          </mc:Choice>
          <mc:Fallback>
            <w:pict>
              <v:line id="_x0000_s1026" o:spid="_x0000_s1026" o:spt="20" style="position:absolute;left:0pt;flip:y;margin-left:210.75pt;margin-top:11.05pt;height:23.4pt;width:0pt;z-index:-251722752;mso-width-relative:page;mso-height-relative:page;" filled="f" stroked="t" coordsize="21600,21600" o:gfxdata="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leVuh1QAAAAkB&#10;AAAPAAAAAAAAAAEAIAAAACIAAABkcnMvZG93bnJldi54bWxQSwECFAAUAAAACACHTuJAqveyteUB&#10;AACmAwAADgAAAAAAAAABACAAAAAkAQAAZHJzL2Uyb0RvYy54bWxQSwUGAAAAAAYABgBZAQAAewUA&#10;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591680" behindDoc="1" locked="0" layoutInCell="1" allowOverlap="1">
                <wp:simplePos x="0" y="0"/>
                <wp:positionH relativeFrom="column">
                  <wp:posOffset>3762375</wp:posOffset>
                </wp:positionH>
                <wp:positionV relativeFrom="paragraph">
                  <wp:posOffset>130810</wp:posOffset>
                </wp:positionV>
                <wp:extent cx="0" cy="297180"/>
                <wp:effectExtent l="38100" t="0" r="38100" b="7620"/>
                <wp:wrapNone/>
                <wp:docPr id="37" name="直接连接符 37"/>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dash"/>
                          <a:headEnd type="none" w="med" len="med"/>
                          <a:tailEnd type="triangle" w="med" len="med"/>
                        </a:ln>
                        <a:effectLst/>
                      </wps:spPr>
                      <wps:bodyPr/>
                    </wps:wsp>
                  </a:graphicData>
                </a:graphic>
              </wp:anchor>
            </w:drawing>
          </mc:Choice>
          <mc:Fallback>
            <w:pict>
              <v:line id="_x0000_s1026" o:spid="_x0000_s1026" o:spt="20" style="position:absolute;left:0pt;flip:y;margin-left:296.25pt;margin-top:10.3pt;height:23.4pt;width:0pt;z-index:-251724800;mso-width-relative:page;mso-height-relative:page;" filled="f" stroked="t" coordsize="21600,21600" o:gfxdata="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T0eLH1QAAAAkB&#10;AAAPAAAAAAAAAAEAIAAAACIAAABkcnMvZG93bnJldi54bWxQSwECFAAUAAAACACHTuJAwCesdOUB&#10;AACmAwAADgAAAAAAAAABACAAAAAkAQAAZHJzL2Uyb0RvYy54bWxQSwUGAAAAAAYABgBZAQAAewUA&#10;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594752" behindDoc="1" locked="0" layoutInCell="1" allowOverlap="1">
                <wp:simplePos x="0" y="0"/>
                <wp:positionH relativeFrom="column">
                  <wp:posOffset>457200</wp:posOffset>
                </wp:positionH>
                <wp:positionV relativeFrom="paragraph">
                  <wp:posOffset>157480</wp:posOffset>
                </wp:positionV>
                <wp:extent cx="0" cy="297180"/>
                <wp:effectExtent l="38100" t="0" r="38100" b="7620"/>
                <wp:wrapNone/>
                <wp:docPr id="33" name="直接连接符 33"/>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dash"/>
                          <a:headEnd type="none" w="med" len="med"/>
                          <a:tailEnd type="triangle" w="med" len="med"/>
                        </a:ln>
                        <a:effectLst/>
                      </wps:spPr>
                      <wps:bodyPr/>
                    </wps:wsp>
                  </a:graphicData>
                </a:graphic>
              </wp:anchor>
            </w:drawing>
          </mc:Choice>
          <mc:Fallback>
            <w:pict>
              <v:line id="_x0000_s1026" o:spid="_x0000_s1026" o:spt="20" style="position:absolute;left:0pt;flip:y;margin-left:36pt;margin-top:12.4pt;height:23.4pt;width:0pt;z-index:-251721728;mso-width-relative:page;mso-height-relative:page;" filled="f" stroked="t" coordsize="21600,21600" o:gfxdata="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9Y6UNMAAAAHAQAA&#10;DwAAAAAAAAABACAAAAAiAAAAZHJzL2Rvd25yZXYueG1sUEsBAhQAFAAAAAgAh07iQJJOXfrlAQAA&#10;pgMAAA4AAAAAAAAAAQAgAAAAIgEAAGRycy9lMm9Eb2MueG1sUEsFBgAAAAAGAAYAWQEAAHkFAAAA&#10;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592704" behindDoc="1" locked="0" layoutInCell="1" allowOverlap="1">
                <wp:simplePos x="0" y="0"/>
                <wp:positionH relativeFrom="column">
                  <wp:posOffset>1598295</wp:posOffset>
                </wp:positionH>
                <wp:positionV relativeFrom="paragraph">
                  <wp:posOffset>149860</wp:posOffset>
                </wp:positionV>
                <wp:extent cx="0" cy="297180"/>
                <wp:effectExtent l="38100" t="0" r="38100" b="7620"/>
                <wp:wrapNone/>
                <wp:docPr id="32" name="直接连接符 32"/>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dash"/>
                          <a:headEnd type="none" w="med" len="med"/>
                          <a:tailEnd type="triangle" w="med" len="med"/>
                        </a:ln>
                        <a:effectLst/>
                      </wps:spPr>
                      <wps:bodyPr/>
                    </wps:wsp>
                  </a:graphicData>
                </a:graphic>
              </wp:anchor>
            </w:drawing>
          </mc:Choice>
          <mc:Fallback>
            <w:pict>
              <v:line id="_x0000_s1026" o:spid="_x0000_s1026" o:spt="20" style="position:absolute;left:0pt;flip:y;margin-left:125.85pt;margin-top:11.8pt;height:23.4pt;width:0pt;z-index:-251723776;mso-width-relative:page;mso-height-relative:page;" filled="f" stroked="t" coordsize="21600,21600" o:gfxdata="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sdDey1QAAAAkB&#10;AAAPAAAAAAAAAAEAIAAAACIAAABkcnMvZG93bnJldi54bWxQSwECFAAUAAAACACHTuJA5pdZNOUB&#10;AACmAwAADgAAAAAAAAABACAAAAAkAQAAZHJzL2Uyb0RvYy54bWxQSwUGAAAAAAYABgBZAQAAewUA&#10;AAAA&#10;">
                <v:fill on="f" focussize="0,0"/>
                <v:stroke color="#000000" joinstyle="round" dashstyle="dash" endarrow="block"/>
                <v:imagedata o:title=""/>
                <o:lock v:ext="edit" aspectratio="f"/>
              </v:line>
            </w:pict>
          </mc:Fallback>
        </mc:AlternateContent>
      </w:r>
    </w:p>
    <w:p>
      <w:pPr>
        <w:spacing w:beforeLines="50" w:afterLines="30"/>
        <w:ind w:right="360" w:firstLine="308" w:firstLineChars="147"/>
        <w:jc w:val="center"/>
      </w:pPr>
      <w:r>
        <mc:AlternateContent>
          <mc:Choice Requires="wps">
            <w:drawing>
              <wp:anchor distT="0" distB="0" distL="114300" distR="114300" simplePos="0" relativeHeight="251586560" behindDoc="1" locked="0" layoutInCell="1" allowOverlap="1">
                <wp:simplePos x="0" y="0"/>
                <wp:positionH relativeFrom="column">
                  <wp:posOffset>2295525</wp:posOffset>
                </wp:positionH>
                <wp:positionV relativeFrom="paragraph">
                  <wp:posOffset>26670</wp:posOffset>
                </wp:positionV>
                <wp:extent cx="762000" cy="297180"/>
                <wp:effectExtent l="4445" t="4445" r="14605" b="22225"/>
                <wp:wrapNone/>
                <wp:docPr id="31" name="文本框 31"/>
                <wp:cNvGraphicFramePr/>
                <a:graphic xmlns:a="http://schemas.openxmlformats.org/drawingml/2006/main">
                  <a:graphicData uri="http://schemas.microsoft.com/office/word/2010/wordprocessingShape">
                    <wps:wsp>
                      <wps:cNvSpPr txBox="1"/>
                      <wps:spPr>
                        <a:xfrm>
                          <a:off x="0" y="0"/>
                          <a:ext cx="7620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10"/>
                              <w:jc w:val="center"/>
                            </w:pPr>
                            <w:r>
                              <w:rPr>
                                <w:rFonts w:hint="eastAsia"/>
                              </w:rPr>
                              <w:t>装饰工程</w:t>
                            </w:r>
                          </w:p>
                        </w:txbxContent>
                      </wps:txbx>
                      <wps:bodyPr upright="1"/>
                    </wps:wsp>
                  </a:graphicData>
                </a:graphic>
              </wp:anchor>
            </w:drawing>
          </mc:Choice>
          <mc:Fallback>
            <w:pict>
              <v:shape id="_x0000_s1026" o:spid="_x0000_s1026" o:spt="202" type="#_x0000_t202" style="position:absolute;left:0pt;margin-left:180.75pt;margin-top:2.1pt;height:23.4pt;width:60pt;z-index:-251729920;mso-width-relative:page;mso-height-relative:page;" fillcolor="#FFFFFF" filled="t" stroked="t" coordsize="21600,21600" o:gfxdata="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P0g0X1wAAAAgBAAAPAAAAAAAAAAEAIAAAACIAAABkcnMvZG93bnJldi54bWxQ&#10;SwECFAAUAAAACACHTuJA4v78Y/gBAAD3AwAADgAAAAAAAAABACAAAAAmAQAAZHJzL2Uyb0RvYy54&#10;bWxQSwUGAAAAAAYABgBZAQAAkAUAAAAA&#10;">
                <v:fill on="t" focussize="0,0"/>
                <v:stroke color="#000000" joinstyle="miter"/>
                <v:imagedata o:title=""/>
                <o:lock v:ext="edit" aspectratio="f"/>
                <v:textbox>
                  <w:txbxContent>
                    <w:p>
                      <w:pPr>
                        <w:spacing w:beforeLines="10"/>
                        <w:jc w:val="center"/>
                      </w:pPr>
                      <w:r>
                        <w:rPr>
                          <w:rFonts w:hint="eastAsia"/>
                        </w:rPr>
                        <w:t>装饰工程</w:t>
                      </w:r>
                    </w:p>
                  </w:txbxContent>
                </v:textbox>
              </v:shape>
            </w:pict>
          </mc:Fallback>
        </mc:AlternateContent>
      </w:r>
      <w:r>
        <mc:AlternateContent>
          <mc:Choice Requires="wps">
            <w:drawing>
              <wp:anchor distT="0" distB="0" distL="114300" distR="114300" simplePos="0" relativeHeight="251590656" behindDoc="1" locked="0" layoutInCell="1" allowOverlap="1">
                <wp:simplePos x="0" y="0"/>
                <wp:positionH relativeFrom="column">
                  <wp:posOffset>4467225</wp:posOffset>
                </wp:positionH>
                <wp:positionV relativeFrom="paragraph">
                  <wp:posOffset>7620</wp:posOffset>
                </wp:positionV>
                <wp:extent cx="762000" cy="297180"/>
                <wp:effectExtent l="4445" t="4445" r="14605" b="22225"/>
                <wp:wrapNone/>
                <wp:docPr id="34" name="文本框 34"/>
                <wp:cNvGraphicFramePr/>
                <a:graphic xmlns:a="http://schemas.openxmlformats.org/drawingml/2006/main">
                  <a:graphicData uri="http://schemas.microsoft.com/office/word/2010/wordprocessingShape">
                    <wps:wsp>
                      <wps:cNvSpPr txBox="1"/>
                      <wps:spPr>
                        <a:xfrm>
                          <a:off x="0" y="0"/>
                          <a:ext cx="7620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10"/>
                              <w:jc w:val="center"/>
                            </w:pPr>
                            <w:r>
                              <w:rPr>
                                <w:rFonts w:hint="eastAsia"/>
                              </w:rPr>
                              <w:t>工程验收</w:t>
                            </w:r>
                          </w:p>
                        </w:txbxContent>
                      </wps:txbx>
                      <wps:bodyPr upright="1"/>
                    </wps:wsp>
                  </a:graphicData>
                </a:graphic>
              </wp:anchor>
            </w:drawing>
          </mc:Choice>
          <mc:Fallback>
            <w:pict>
              <v:shape id="_x0000_s1026" o:spid="_x0000_s1026" o:spt="202" type="#_x0000_t202" style="position:absolute;left:0pt;margin-left:351.75pt;margin-top:0.6pt;height:23.4pt;width:60pt;z-index:-251725824;mso-width-relative:page;mso-height-relative:page;" fillcolor="#FFFFFF" filled="t" stroked="t" coordsize="21600,21600" o:gfxdata="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XBxQz1gAAAAgBAAAPAAAAAAAAAAEAIAAAACIAAABkcnMvZG93bnJldi54bWxQ&#10;SwECFAAUAAAACACHTuJAQDnvUfkBAAD3AwAADgAAAAAAAAABACAAAAAlAQAAZHJzL2Uyb0RvYy54&#10;bWxQSwUGAAAAAAYABgBZAQAAkAUAAAAA&#10;">
                <v:fill on="t" focussize="0,0"/>
                <v:stroke color="#000000" joinstyle="miter"/>
                <v:imagedata o:title=""/>
                <o:lock v:ext="edit" aspectratio="f"/>
                <v:textbox>
                  <w:txbxContent>
                    <w:p>
                      <w:pPr>
                        <w:spacing w:beforeLines="10"/>
                        <w:jc w:val="center"/>
                      </w:pPr>
                      <w:r>
                        <w:rPr>
                          <w:rFonts w:hint="eastAsia"/>
                        </w:rPr>
                        <w:t>工程验收</w:t>
                      </w:r>
                    </w:p>
                  </w:txbxContent>
                </v:textbox>
              </v:shape>
            </w:pict>
          </mc:Fallback>
        </mc:AlternateContent>
      </w:r>
      <w:r>
        <mc:AlternateContent>
          <mc:Choice Requires="wps">
            <w:drawing>
              <wp:anchor distT="0" distB="0" distL="114300" distR="114300" simplePos="0" relativeHeight="251589632" behindDoc="1" locked="0" layoutInCell="1" allowOverlap="1">
                <wp:simplePos x="0" y="0"/>
                <wp:positionH relativeFrom="column">
                  <wp:posOffset>4152900</wp:posOffset>
                </wp:positionH>
                <wp:positionV relativeFrom="paragraph">
                  <wp:posOffset>163830</wp:posOffset>
                </wp:positionV>
                <wp:extent cx="304800" cy="0"/>
                <wp:effectExtent l="0" t="38100" r="0" b="38100"/>
                <wp:wrapNone/>
                <wp:docPr id="2" name="直接连接符 45"/>
                <wp:cNvGraphicFramePr/>
                <a:graphic xmlns:a="http://schemas.openxmlformats.org/drawingml/2006/main">
                  <a:graphicData uri="http://schemas.microsoft.com/office/word/2010/wordprocessingShape">
                    <wps:wsp>
                      <wps:cNvCnPr/>
                      <wps:spPr>
                        <a:xfrm>
                          <a:off x="0" y="0"/>
                          <a:ext cx="3048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接连接符 45" o:spid="_x0000_s1026" o:spt="20" style="position:absolute;left:0pt;margin-left:327pt;margin-top:12.9pt;height:0pt;width:24pt;z-index:-251726848;mso-width-relative:page;mso-height-relative:page;" filled="f" stroked="t" coordsize="21600,21600" o:gfxdata="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54JgnYAAAACQEAAA8A&#10;AAAAAAAAAQAgAAAAIgAAAGRycy9kb3ducmV2LnhtbFBLAQIUABQAAAAIAIdO4kC3t4sQ3gEAAJwD&#10;AAAOAAAAAAAAAAEAIAAAACcBAABkcnMvZTJvRG9jLnhtbFBLBQYAAAAABgAGAFkBAAB3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588608" behindDoc="1" locked="0" layoutInCell="1" allowOverlap="1">
                <wp:simplePos x="0" y="0"/>
                <wp:positionH relativeFrom="column">
                  <wp:posOffset>3381375</wp:posOffset>
                </wp:positionH>
                <wp:positionV relativeFrom="paragraph">
                  <wp:posOffset>17145</wp:posOffset>
                </wp:positionV>
                <wp:extent cx="762000" cy="297180"/>
                <wp:effectExtent l="4445" t="4445" r="14605" b="22225"/>
                <wp:wrapNone/>
                <wp:docPr id="46" name="文本框 46"/>
                <wp:cNvGraphicFramePr/>
                <a:graphic xmlns:a="http://schemas.openxmlformats.org/drawingml/2006/main">
                  <a:graphicData uri="http://schemas.microsoft.com/office/word/2010/wordprocessingShape">
                    <wps:wsp>
                      <wps:cNvSpPr txBox="1"/>
                      <wps:spPr>
                        <a:xfrm>
                          <a:off x="0" y="0"/>
                          <a:ext cx="7620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10"/>
                              <w:jc w:val="center"/>
                            </w:pPr>
                            <w:r>
                              <w:rPr>
                                <w:rFonts w:hint="eastAsia"/>
                              </w:rPr>
                              <w:t>设备安装</w:t>
                            </w:r>
                          </w:p>
                        </w:txbxContent>
                      </wps:txbx>
                      <wps:bodyPr upright="1"/>
                    </wps:wsp>
                  </a:graphicData>
                </a:graphic>
              </wp:anchor>
            </w:drawing>
          </mc:Choice>
          <mc:Fallback>
            <w:pict>
              <v:shape id="_x0000_s1026" o:spid="_x0000_s1026" o:spt="202" type="#_x0000_t202" style="position:absolute;left:0pt;margin-left:266.25pt;margin-top:1.35pt;height:23.4pt;width:60pt;z-index:-251727872;mso-width-relative:page;mso-height-relative:page;" fillcolor="#FFFFFF" filled="t" stroked="t" coordsize="21600,21600" o:gfxdata="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nTLzfYAAAACAEAAA8AAAAAAAAAAQAgAAAAIgAAAGRycy9kb3ducmV2Lnht&#10;bFBLAQIUABQAAAAIAIdO4kCpHmBt+QEAAPcDAAAOAAAAAAAAAAEAIAAAACcBAABkcnMvZTJvRG9j&#10;LnhtbFBLBQYAAAAABgAGAFkBAACSBQAAAAA=&#10;">
                <v:fill on="t" focussize="0,0"/>
                <v:stroke color="#000000" joinstyle="miter"/>
                <v:imagedata o:title=""/>
                <o:lock v:ext="edit" aspectratio="f"/>
                <v:textbox>
                  <w:txbxContent>
                    <w:p>
                      <w:pPr>
                        <w:spacing w:beforeLines="10"/>
                        <w:jc w:val="center"/>
                      </w:pPr>
                      <w:r>
                        <w:rPr>
                          <w:rFonts w:hint="eastAsia"/>
                        </w:rPr>
                        <w:t>设备安装</w:t>
                      </w:r>
                    </w:p>
                  </w:txbxContent>
                </v:textbox>
              </v:shape>
            </w:pict>
          </mc:Fallback>
        </mc:AlternateContent>
      </w:r>
      <w:r>
        <mc:AlternateContent>
          <mc:Choice Requires="wps">
            <w:drawing>
              <wp:anchor distT="0" distB="0" distL="114300" distR="114300" simplePos="0" relativeHeight="251587584" behindDoc="1" locked="0" layoutInCell="1" allowOverlap="1">
                <wp:simplePos x="0" y="0"/>
                <wp:positionH relativeFrom="column">
                  <wp:posOffset>3067050</wp:posOffset>
                </wp:positionH>
                <wp:positionV relativeFrom="paragraph">
                  <wp:posOffset>163830</wp:posOffset>
                </wp:positionV>
                <wp:extent cx="304800" cy="0"/>
                <wp:effectExtent l="0" t="38100" r="0" b="38100"/>
                <wp:wrapNone/>
                <wp:docPr id="47" name="直接连接符 47"/>
                <wp:cNvGraphicFramePr/>
                <a:graphic xmlns:a="http://schemas.openxmlformats.org/drawingml/2006/main">
                  <a:graphicData uri="http://schemas.microsoft.com/office/word/2010/wordprocessingShape">
                    <wps:wsp>
                      <wps:cNvCnPr/>
                      <wps:spPr>
                        <a:xfrm>
                          <a:off x="0" y="0"/>
                          <a:ext cx="3048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41.5pt;margin-top:12.9pt;height:0pt;width:24pt;z-index:-251728896;mso-width-relative:page;mso-height-relative:page;" filled="f" stroked="t" coordsize="21600,21600" o:gfxdata="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TLzy9kAAAAJAQAA&#10;DwAAAAAAAAABACAAAAAiAAAAZHJzL2Rvd25yZXYueG1sUEsBAhQAFAAAAAgAh07iQLk47r/fAQAA&#10;nQMAAA4AAAAAAAAAAQAgAAAAKAEAAGRycy9lMm9Eb2MueG1sUEsFBgAAAAAGAAYAWQEAAHkFAAAA&#10;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585536" behindDoc="1" locked="0" layoutInCell="1" allowOverlap="1">
                <wp:simplePos x="0" y="0"/>
                <wp:positionH relativeFrom="column">
                  <wp:posOffset>1990725</wp:posOffset>
                </wp:positionH>
                <wp:positionV relativeFrom="paragraph">
                  <wp:posOffset>173355</wp:posOffset>
                </wp:positionV>
                <wp:extent cx="304800" cy="0"/>
                <wp:effectExtent l="0" t="38100" r="0" b="38100"/>
                <wp:wrapNone/>
                <wp:docPr id="48" name="直接连接符 48"/>
                <wp:cNvGraphicFramePr/>
                <a:graphic xmlns:a="http://schemas.openxmlformats.org/drawingml/2006/main">
                  <a:graphicData uri="http://schemas.microsoft.com/office/word/2010/wordprocessingShape">
                    <wps:wsp>
                      <wps:cNvCnPr/>
                      <wps:spPr>
                        <a:xfrm>
                          <a:off x="0" y="0"/>
                          <a:ext cx="3048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6.75pt;margin-top:13.65pt;height:0pt;width:24pt;z-index:-251730944;mso-width-relative:page;mso-height-relative:page;" filled="f" stroked="t" coordsize="21600,21600" o:gfxdata="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hgMp9gAAAAJAQAADwAA&#10;AAAAAAABACAAAAAiAAAAZHJzL2Rvd25yZXYueG1sUEsBAhQAFAAAAAgAh07iQKygmTfdAQAAnQMA&#10;AA4AAAAAAAAAAQAgAAAAJwEAAGRycy9lMm9Eb2MueG1sUEsFBgAAAAAGAAYAWQEAAH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584512" behindDoc="1" locked="0" layoutInCell="1" allowOverlap="1">
                <wp:simplePos x="0" y="0"/>
                <wp:positionH relativeFrom="column">
                  <wp:posOffset>1219200</wp:posOffset>
                </wp:positionH>
                <wp:positionV relativeFrom="paragraph">
                  <wp:posOffset>26670</wp:posOffset>
                </wp:positionV>
                <wp:extent cx="762000" cy="297180"/>
                <wp:effectExtent l="4445" t="4445" r="14605" b="22225"/>
                <wp:wrapNone/>
                <wp:docPr id="49" name="文本框 49"/>
                <wp:cNvGraphicFramePr/>
                <a:graphic xmlns:a="http://schemas.openxmlformats.org/drawingml/2006/main">
                  <a:graphicData uri="http://schemas.microsoft.com/office/word/2010/wordprocessingShape">
                    <wps:wsp>
                      <wps:cNvSpPr txBox="1"/>
                      <wps:spPr>
                        <a:xfrm>
                          <a:off x="0" y="0"/>
                          <a:ext cx="7620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10"/>
                              <w:jc w:val="center"/>
                            </w:pPr>
                            <w:r>
                              <w:rPr>
                                <w:rFonts w:hint="eastAsia"/>
                              </w:rPr>
                              <w:t>主体工程</w:t>
                            </w:r>
                          </w:p>
                        </w:txbxContent>
                      </wps:txbx>
                      <wps:bodyPr upright="1"/>
                    </wps:wsp>
                  </a:graphicData>
                </a:graphic>
              </wp:anchor>
            </w:drawing>
          </mc:Choice>
          <mc:Fallback>
            <w:pict>
              <v:shape id="_x0000_s1026" o:spid="_x0000_s1026" o:spt="202" type="#_x0000_t202" style="position:absolute;left:0pt;margin-left:96pt;margin-top:2.1pt;height:23.4pt;width:60pt;z-index:-251731968;mso-width-relative:page;mso-height-relative:page;" fillcolor="#FFFFFF" filled="t" stroked="t" coordsize="21600,21600" o:gfxdata="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cDHo9cAAAAIAQAADwAAAAAAAAABACAAAAAiAAAAZHJzL2Rvd25yZXYueG1s&#10;UEsBAhQAFAAAAAgAh07iQE9WVDv5AQAA9wMAAA4AAAAAAAAAAQAgAAAAJgEAAGRycy9lMm9Eb2Mu&#10;eG1sUEsFBgAAAAAGAAYAWQEAAJEFAAAAAA==&#10;">
                <v:fill on="t" focussize="0,0"/>
                <v:stroke color="#000000" joinstyle="miter"/>
                <v:imagedata o:title=""/>
                <o:lock v:ext="edit" aspectratio="f"/>
                <v:textbox>
                  <w:txbxContent>
                    <w:p>
                      <w:pPr>
                        <w:spacing w:beforeLines="10"/>
                        <w:jc w:val="center"/>
                      </w:pPr>
                      <w:r>
                        <w:rPr>
                          <w:rFonts w:hint="eastAsia"/>
                        </w:rPr>
                        <w:t>主体工程</w:t>
                      </w:r>
                    </w:p>
                  </w:txbxContent>
                </v:textbox>
              </v:shape>
            </w:pict>
          </mc:Fallback>
        </mc:AlternateContent>
      </w:r>
      <w:r>
        <mc:AlternateContent>
          <mc:Choice Requires="wps">
            <w:drawing>
              <wp:anchor distT="0" distB="0" distL="114300" distR="114300" simplePos="0" relativeHeight="251583488" behindDoc="1" locked="0" layoutInCell="1" allowOverlap="1">
                <wp:simplePos x="0" y="0"/>
                <wp:positionH relativeFrom="column">
                  <wp:posOffset>914400</wp:posOffset>
                </wp:positionH>
                <wp:positionV relativeFrom="paragraph">
                  <wp:posOffset>173355</wp:posOffset>
                </wp:positionV>
                <wp:extent cx="301625" cy="0"/>
                <wp:effectExtent l="0" t="38100" r="3175" b="38100"/>
                <wp:wrapNone/>
                <wp:docPr id="50" name="直接连接符 50"/>
                <wp:cNvGraphicFramePr/>
                <a:graphic xmlns:a="http://schemas.openxmlformats.org/drawingml/2006/main">
                  <a:graphicData uri="http://schemas.microsoft.com/office/word/2010/wordprocessingShape">
                    <wps:wsp>
                      <wps:cNvCnPr/>
                      <wps:spPr>
                        <a:xfrm>
                          <a:off x="0" y="0"/>
                          <a:ext cx="3048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72pt;margin-top:13.65pt;height:0pt;width:23.75pt;z-index:-251732992;mso-width-relative:page;mso-height-relative:page;" filled="f" stroked="t" coordsize="21600,21600" o:gfxdata="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t+5NU2QAAAAkBAAAP&#10;AAAAAAAAAAEAIAAAACIAAABkcnMvZG93bnJldi54bWxQSwECFAAUAAAACACHTuJAEa8S/N4BAACd&#10;AwAADgAAAAAAAAABACAAAAAoAQAAZHJzL2Uyb0RvYy54bWxQSwUGAAAAAAYABgBZAQAAe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582464" behindDoc="1" locked="0" layoutInCell="1" allowOverlap="1">
                <wp:simplePos x="0" y="0"/>
                <wp:positionH relativeFrom="column">
                  <wp:posOffset>152400</wp:posOffset>
                </wp:positionH>
                <wp:positionV relativeFrom="paragraph">
                  <wp:posOffset>36195</wp:posOffset>
                </wp:positionV>
                <wp:extent cx="762000" cy="297180"/>
                <wp:effectExtent l="4445" t="4445" r="14605" b="22225"/>
                <wp:wrapNone/>
                <wp:docPr id="51" name="文本框 51"/>
                <wp:cNvGraphicFramePr/>
                <a:graphic xmlns:a="http://schemas.openxmlformats.org/drawingml/2006/main">
                  <a:graphicData uri="http://schemas.microsoft.com/office/word/2010/wordprocessingShape">
                    <wps:wsp>
                      <wps:cNvSpPr txBox="1"/>
                      <wps:spPr>
                        <a:xfrm>
                          <a:off x="0" y="0"/>
                          <a:ext cx="7620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10"/>
                              <w:jc w:val="center"/>
                            </w:pPr>
                            <w:r>
                              <w:rPr>
                                <w:rFonts w:hint="eastAsia"/>
                              </w:rPr>
                              <w:t>基础工程</w:t>
                            </w:r>
                          </w:p>
                        </w:txbxContent>
                      </wps:txbx>
                      <wps:bodyPr upright="1"/>
                    </wps:wsp>
                  </a:graphicData>
                </a:graphic>
              </wp:anchor>
            </w:drawing>
          </mc:Choice>
          <mc:Fallback>
            <w:pict>
              <v:shape id="_x0000_s1026" o:spid="_x0000_s1026" o:spt="202" type="#_x0000_t202" style="position:absolute;left:0pt;margin-left:12pt;margin-top:2.85pt;height:23.4pt;width:60pt;z-index:-251734016;mso-width-relative:page;mso-height-relative:page;" fillcolor="#FFFFFF" filled="t" stroked="t" coordsize="21600,21600" o:gfxdata="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jfgEjVAAAABwEAAA8AAAAAAAAAAQAgAAAAIgAAAGRycy9kb3ducmV2LnhtbFBL&#10;AQIUABQAAAAIAIdO4kDgYLBM+QEAAPcDAAAOAAAAAAAAAAEAIAAAACQBAABkcnMvZTJvRG9jLnht&#10;bFBLBQYAAAAABgAGAFkBAACPBQAAAAA=&#10;">
                <v:fill on="t" focussize="0,0"/>
                <v:stroke color="#000000" joinstyle="miter"/>
                <v:imagedata o:title=""/>
                <o:lock v:ext="edit" aspectratio="f"/>
                <v:textbox>
                  <w:txbxContent>
                    <w:p>
                      <w:pPr>
                        <w:spacing w:beforeLines="10"/>
                        <w:jc w:val="center"/>
                      </w:pPr>
                      <w:r>
                        <w:rPr>
                          <w:rFonts w:hint="eastAsia"/>
                        </w:rPr>
                        <w:t>基础工程</w:t>
                      </w:r>
                    </w:p>
                  </w:txbxContent>
                </v:textbox>
              </v:shape>
            </w:pict>
          </mc:Fallback>
        </mc:AlternateContent>
      </w:r>
    </w:p>
    <w:p>
      <w:pPr>
        <w:spacing w:beforeLines="50" w:afterLines="30"/>
        <w:ind w:right="360" w:firstLine="308" w:firstLineChars="147"/>
        <w:jc w:val="center"/>
      </w:pPr>
      <w:r>
        <mc:AlternateContent>
          <mc:Choice Requires="wps">
            <w:drawing>
              <wp:anchor distT="0" distB="0" distL="114300" distR="114300" simplePos="0" relativeHeight="251601920" behindDoc="1" locked="0" layoutInCell="1" allowOverlap="1">
                <wp:simplePos x="0" y="0"/>
                <wp:positionH relativeFrom="column">
                  <wp:posOffset>1981200</wp:posOffset>
                </wp:positionH>
                <wp:positionV relativeFrom="paragraph">
                  <wp:posOffset>164465</wp:posOffset>
                </wp:positionV>
                <wp:extent cx="1371600" cy="29718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371600" cy="297180"/>
                        </a:xfrm>
                        <a:prstGeom prst="rect">
                          <a:avLst/>
                        </a:prstGeom>
                        <a:noFill/>
                        <a:ln w="9525">
                          <a:noFill/>
                        </a:ln>
                        <a:effectLst/>
                      </wps:spPr>
                      <wps:txbx>
                        <w:txbxContent>
                          <w:p>
                            <w:pPr>
                              <w:spacing w:beforeLines="10"/>
                            </w:pPr>
                            <w:r>
                              <w:rPr>
                                <w:rFonts w:hint="eastAsia"/>
                              </w:rPr>
                              <w:t>生活污水、建筑垃圾</w:t>
                            </w:r>
                          </w:p>
                        </w:txbxContent>
                      </wps:txbx>
                      <wps:bodyPr upright="1"/>
                    </wps:wsp>
                  </a:graphicData>
                </a:graphic>
              </wp:anchor>
            </w:drawing>
          </mc:Choice>
          <mc:Fallback>
            <w:pict>
              <v:shape id="_x0000_s1026" o:spid="_x0000_s1026" o:spt="202" type="#_x0000_t202" style="position:absolute;left:0pt;margin-left:156pt;margin-top:12.95pt;height:23.4pt;width:108pt;z-index:-251714560;mso-width-relative:page;mso-height-relative:page;" filled="f" stroked="f" coordsize="21600,21600" o:gfxdata="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FNpH3NcAAAAJAQAADwAAAAAAAAAB&#10;ACAAAAAiAAAAZHJzL2Rvd25yZXYueG1sUEsBAhQAFAAAAAgAh07iQDhmLwSfAQAAGQMAAA4AAAAA&#10;AAAAAQAgAAAAJgEAAGRycy9lMm9Eb2MueG1sUEsFBgAAAAAGAAYAWQEAADcFAAAAAA==&#10;">
                <v:fill on="f" focussize="0,0"/>
                <v:stroke on="f"/>
                <v:imagedata o:title=""/>
                <o:lock v:ext="edit" aspectratio="f"/>
                <v:textbox>
                  <w:txbxContent>
                    <w:p>
                      <w:pPr>
                        <w:spacing w:beforeLines="10"/>
                      </w:pPr>
                      <w:r>
                        <w:rPr>
                          <w:rFonts w:hint="eastAsia"/>
                        </w:rPr>
                        <w:t>生活污水、建筑垃圾</w:t>
                      </w:r>
                    </w:p>
                  </w:txbxContent>
                </v:textbox>
              </v:shape>
            </w:pict>
          </mc:Fallback>
        </mc:AlternateContent>
      </w:r>
      <w:r>
        <mc:AlternateContent>
          <mc:Choice Requires="wps">
            <w:drawing>
              <wp:anchor distT="0" distB="0" distL="114300" distR="114300" simplePos="0" relativeHeight="251600896" behindDoc="1" locked="0" layoutInCell="1" allowOverlap="1">
                <wp:simplePos x="0" y="0"/>
                <wp:positionH relativeFrom="column">
                  <wp:posOffset>2667000</wp:posOffset>
                </wp:positionH>
                <wp:positionV relativeFrom="paragraph">
                  <wp:posOffset>52070</wp:posOffset>
                </wp:positionV>
                <wp:extent cx="0" cy="198120"/>
                <wp:effectExtent l="38100" t="0" r="38100" b="11430"/>
                <wp:wrapNone/>
                <wp:docPr id="53" name="直接连接符 5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dash"/>
                          <a:headEnd type="none" w="med" len="med"/>
                          <a:tailEnd type="triangle" w="med" len="med"/>
                        </a:ln>
                        <a:effectLst/>
                      </wps:spPr>
                      <wps:bodyPr/>
                    </wps:wsp>
                  </a:graphicData>
                </a:graphic>
              </wp:anchor>
            </w:drawing>
          </mc:Choice>
          <mc:Fallback>
            <w:pict>
              <v:line id="_x0000_s1026" o:spid="_x0000_s1026" o:spt="20" style="position:absolute;left:0pt;margin-left:210pt;margin-top:4.1pt;height:15.6pt;width:0pt;z-index:-251715584;mso-width-relative:page;mso-height-relative:page;" filled="f" stroked="t" coordsize="21600,21600" o:gfxdata="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Ug3ILXAAAACAEAAA8AAAAA&#10;AAAAAQAgAAAAIgAAAGRycy9kb3ducmV2LnhtbFBLAQIUABQAAAAIAIdO4kDP5/bJ3AEAAJwDAAAO&#10;AAAAAAAAAAEAIAAAACYBAABkcnMvZTJvRG9jLnhtbFBLBQYAAAAABgAGAFkBAAB0BQAAAAA=&#10;">
                <v:fill on="f" focussize="0,0"/>
                <v:stroke color="#000000" joinstyle="round" dashstyle="dash" endarrow="block"/>
                <v:imagedata o:title=""/>
                <o:lock v:ext="edit" aspectratio="f"/>
              </v:line>
            </w:pict>
          </mc:Fallback>
        </mc:AlternateContent>
      </w:r>
    </w:p>
    <w:p>
      <w:pPr>
        <w:spacing w:beforeLines="50" w:afterLines="30"/>
        <w:ind w:right="360" w:firstLine="308" w:firstLineChars="147"/>
        <w:jc w:val="center"/>
        <w:rPr>
          <w:b/>
        </w:rPr>
      </w:pPr>
      <w:r>
        <mc:AlternateContent>
          <mc:Choice Requires="wps">
            <w:drawing>
              <wp:anchor distT="0" distB="0" distL="114300" distR="114300" simplePos="0" relativeHeight="251603968" behindDoc="1" locked="0" layoutInCell="1" allowOverlap="1">
                <wp:simplePos x="0" y="0"/>
                <wp:positionH relativeFrom="column">
                  <wp:posOffset>5438775</wp:posOffset>
                </wp:positionH>
                <wp:positionV relativeFrom="paragraph">
                  <wp:posOffset>195580</wp:posOffset>
                </wp:positionV>
                <wp:extent cx="0" cy="198120"/>
                <wp:effectExtent l="4445" t="0" r="14605" b="11430"/>
                <wp:wrapNone/>
                <wp:docPr id="54" name="直接连接符 5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28.25pt;margin-top:15.4pt;height:15.6pt;width:0pt;z-index:-251712512;mso-width-relative:page;mso-height-relative:page;" filled="f" stroked="t" coordsize="21600,21600" o:gfxdata="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oPUBbVAAAACQEAAA8AAAAAAAAAAQAgAAAA&#10;IgAAAGRycy9kb3ducmV2LnhtbFBLAQIUABQAAAAIAIdO4kBMv3B01QEAAJkDAAAOAAAAAAAAAAEA&#10;IAAAACQBAABkcnMvZTJvRG9jLnhtbFBLBQYAAAAABgAGAFkBAABr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04992" behindDoc="1" locked="0" layoutInCell="1" allowOverlap="1">
                <wp:simplePos x="0" y="0"/>
                <wp:positionH relativeFrom="column">
                  <wp:posOffset>-47625</wp:posOffset>
                </wp:positionH>
                <wp:positionV relativeFrom="paragraph">
                  <wp:posOffset>288925</wp:posOffset>
                </wp:positionV>
                <wp:extent cx="5486400" cy="0"/>
                <wp:effectExtent l="0" t="38100" r="0" b="38100"/>
                <wp:wrapNone/>
                <wp:docPr id="55" name="直接连接符 55"/>
                <wp:cNvGraphicFramePr/>
                <a:graphic xmlns:a="http://schemas.openxmlformats.org/drawingml/2006/main">
                  <a:graphicData uri="http://schemas.microsoft.com/office/word/2010/wordprocessingShape">
                    <wps:wsp>
                      <wps:cNvCnPr/>
                      <wps:spPr>
                        <a:xfrm>
                          <a:off x="0" y="0"/>
                          <a:ext cx="5486400" cy="0"/>
                        </a:xfrm>
                        <a:prstGeom prst="line">
                          <a:avLst/>
                        </a:prstGeom>
                        <a:ln w="9525" cap="flat" cmpd="sng">
                          <a:solidFill>
                            <a:srgbClr val="000000"/>
                          </a:solidFill>
                          <a:prstDash val="solid"/>
                          <a:headEnd type="triangle" w="med" len="med"/>
                          <a:tailEnd type="triangle" w="med" len="med"/>
                        </a:ln>
                        <a:effectLst/>
                      </wps:spPr>
                      <wps:bodyPr/>
                    </wps:wsp>
                  </a:graphicData>
                </a:graphic>
              </wp:anchor>
            </w:drawing>
          </mc:Choice>
          <mc:Fallback>
            <w:pict>
              <v:line id="_x0000_s1026" o:spid="_x0000_s1026" o:spt="20" style="position:absolute;left:0pt;margin-left:-3.75pt;margin-top:22.75pt;height:0pt;width:432pt;z-index:-251711488;mso-width-relative:page;mso-height-relative:page;" filled="f" stroked="t" coordsize="21600,21600" o:gfxdata="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zFJBNcAAAAIAQAADwAAAAAA&#10;AAABACAAAAAiAAAAZHJzL2Rvd25yZXYueG1sUEsBAhQAFAAAAAgAh07iQOab5m7bAQAAogMAAA4A&#10;AAAAAAAAAQAgAAAAJgEAAGRycy9lMm9Eb2MueG1sUEsFBgAAAAAGAAYAWQEAAHMFAAAAAA==&#10;">
                <v:fill on="f" focussize="0,0"/>
                <v:stroke color="#000000" joinstyle="round" startarrow="block" endarrow="block"/>
                <v:imagedata o:title=""/>
                <o:lock v:ext="edit" aspectratio="f"/>
              </v:line>
            </w:pict>
          </mc:Fallback>
        </mc:AlternateContent>
      </w:r>
      <w:r>
        <mc:AlternateContent>
          <mc:Choice Requires="wps">
            <w:drawing>
              <wp:anchor distT="0" distB="0" distL="114300" distR="114300" simplePos="0" relativeHeight="251602944" behindDoc="1" locked="0" layoutInCell="1" allowOverlap="1">
                <wp:simplePos x="0" y="0"/>
                <wp:positionH relativeFrom="column">
                  <wp:posOffset>-38100</wp:posOffset>
                </wp:positionH>
                <wp:positionV relativeFrom="paragraph">
                  <wp:posOffset>189865</wp:posOffset>
                </wp:positionV>
                <wp:extent cx="0" cy="198120"/>
                <wp:effectExtent l="4445" t="0" r="14605" b="11430"/>
                <wp:wrapNone/>
                <wp:docPr id="56" name="直接连接符 5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pt;margin-top:14.95pt;height:15.6pt;width:0pt;z-index:-251713536;mso-width-relative:page;mso-height-relative:page;" filled="f" stroked="t" coordsize="21600,21600" o:gfxdata="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UqbH3VAAAABwEAAA8AAAAAAAAAAQAgAAAA&#10;IgAAAGRycy9kb3ducmV2LnhtbFBLAQIUABQAAAAIAIdO4kA/7vyz1QEAAJkDAAAOAAAAAAAAAAEA&#10;IAAAACQBAABkcnMvZTJvRG9jLnhtbFBLBQYAAAAABgAGAFkBAABr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06016" behindDoc="1" locked="0" layoutInCell="1" allowOverlap="1">
                <wp:simplePos x="0" y="0"/>
                <wp:positionH relativeFrom="column">
                  <wp:posOffset>1971675</wp:posOffset>
                </wp:positionH>
                <wp:positionV relativeFrom="paragraph">
                  <wp:posOffset>-635</wp:posOffset>
                </wp:positionV>
                <wp:extent cx="1371600" cy="29718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371600" cy="297180"/>
                        </a:xfrm>
                        <a:prstGeom prst="rect">
                          <a:avLst/>
                        </a:prstGeom>
                        <a:noFill/>
                        <a:ln w="9525">
                          <a:noFill/>
                        </a:ln>
                        <a:effectLst/>
                      </wps:spPr>
                      <wps:txbx>
                        <w:txbxContent>
                          <w:p>
                            <w:pPr>
                              <w:spacing w:beforeLines="10"/>
                              <w:jc w:val="center"/>
                            </w:pPr>
                            <w:r>
                              <w:rPr>
                                <w:rFonts w:hint="eastAsia"/>
                              </w:rPr>
                              <w:t>施工期</w:t>
                            </w:r>
                          </w:p>
                        </w:txbxContent>
                      </wps:txbx>
                      <wps:bodyPr upright="1"/>
                    </wps:wsp>
                  </a:graphicData>
                </a:graphic>
              </wp:anchor>
            </w:drawing>
          </mc:Choice>
          <mc:Fallback>
            <w:pict>
              <v:shape id="_x0000_s1026" o:spid="_x0000_s1026" o:spt="202" type="#_x0000_t202" style="position:absolute;left:0pt;margin-left:155.25pt;margin-top:-0.05pt;height:23.4pt;width:108pt;z-index:-251710464;mso-width-relative:page;mso-height-relative:page;" filled="f" stroked="f" coordsize="21600,21600" o:gfxdata="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FUxuO1QAAAAgBAAAPAAAAAAAAAAEA&#10;IAAAACIAAABkcnMvZG93bnJldi54bWxQSwECFAAUAAAACACHTuJAPzUOsqABAAAZAwAADgAAAAAA&#10;AAABACAAAAAkAQAAZHJzL2Uyb0RvYy54bWxQSwUGAAAAAAYABgBZAQAANgUAAAAA&#10;">
                <v:fill on="f" focussize="0,0"/>
                <v:stroke on="f"/>
                <v:imagedata o:title=""/>
                <o:lock v:ext="edit" aspectratio="f"/>
                <v:textbox>
                  <w:txbxContent>
                    <w:p>
                      <w:pPr>
                        <w:spacing w:beforeLines="10"/>
                        <w:jc w:val="center"/>
                      </w:pPr>
                      <w:r>
                        <w:rPr>
                          <w:rFonts w:hint="eastAsia"/>
                        </w:rPr>
                        <w:t>施工期</w:t>
                      </w:r>
                    </w:p>
                  </w:txbxContent>
                </v:textbox>
              </v:shape>
            </w:pict>
          </mc:Fallback>
        </mc:AlternateContent>
      </w:r>
    </w:p>
    <w:p>
      <w:pPr>
        <w:ind w:right="360" w:firstLine="354" w:firstLineChars="147"/>
        <w:jc w:val="center"/>
        <w:rPr>
          <w:b/>
          <w:sz w:val="24"/>
          <w:szCs w:val="24"/>
        </w:rPr>
      </w:pPr>
      <w:r>
        <w:rPr>
          <w:b/>
          <w:sz w:val="24"/>
          <w:szCs w:val="24"/>
        </w:rPr>
        <w:t>图2.2-1 施工期产污节点图</w:t>
      </w:r>
    </w:p>
    <w:p>
      <w:pPr>
        <w:ind w:right="360" w:firstLine="310" w:firstLineChars="147"/>
        <w:rPr>
          <w:b/>
        </w:rPr>
      </w:pPr>
      <w:r>
        <w:rPr>
          <w:b/>
        </w:rPr>
        <w:t>注：G:废气    S:固废    W:废水    N:噪声</w:t>
      </w:r>
    </w:p>
    <w:p>
      <w:pPr>
        <w:ind w:firstLine="360" w:firstLineChars="150"/>
        <w:rPr>
          <w:sz w:val="24"/>
          <w:szCs w:val="24"/>
        </w:rPr>
      </w:pPr>
      <w:r>
        <w:rPr>
          <w:sz w:val="24"/>
          <w:szCs w:val="24"/>
        </w:rPr>
        <w:t>2. 施工期主要污染分析</w:t>
      </w:r>
    </w:p>
    <w:p>
      <w:pPr>
        <w:ind w:firstLine="588" w:firstLineChars="245"/>
        <w:rPr>
          <w:sz w:val="24"/>
          <w:szCs w:val="24"/>
        </w:rPr>
      </w:pPr>
      <w:r>
        <w:rPr>
          <w:sz w:val="24"/>
          <w:szCs w:val="24"/>
        </w:rPr>
        <w:t>1、废水</w:t>
      </w:r>
    </w:p>
    <w:p>
      <w:pPr>
        <w:ind w:firstLine="468" w:firstLineChars="195"/>
        <w:rPr>
          <w:sz w:val="24"/>
          <w:szCs w:val="24"/>
        </w:rPr>
      </w:pPr>
      <w:r>
        <w:rPr>
          <w:sz w:val="24"/>
          <w:szCs w:val="24"/>
        </w:rPr>
        <w:t>项目施工期废水主要包括生活废水和施工废水。</w:t>
      </w:r>
    </w:p>
    <w:p>
      <w:pPr>
        <w:ind w:firstLine="480" w:firstLineChars="200"/>
        <w:rPr>
          <w:sz w:val="24"/>
          <w:szCs w:val="24"/>
        </w:rPr>
      </w:pPr>
      <w:r>
        <w:rPr>
          <w:sz w:val="24"/>
          <w:szCs w:val="24"/>
        </w:rPr>
        <w:t>施工期场地不设食堂和临时生活设施，施工期生活废水主要来自工人洗涤用水，主要污染物为COD、氨氮、SS。施工期平均施工人员按25人/d，人均用水量按40L/人·d，施工期按6个月计，则施工期生活用水量约为180t，生活污水排放系数取0.8，施工期生活废水产生量约为144t。</w:t>
      </w:r>
    </w:p>
    <w:p>
      <w:pPr>
        <w:ind w:firstLine="480" w:firstLineChars="200"/>
        <w:rPr>
          <w:sz w:val="24"/>
          <w:szCs w:val="24"/>
        </w:rPr>
      </w:pPr>
      <w:r>
        <w:rPr>
          <w:sz w:val="24"/>
          <w:szCs w:val="24"/>
        </w:rPr>
        <w:t>施工期施工废水主要来源于混凝土养护水、石料冲洗水、机械车辆设备冲洗水、施工机械滴、漏的污油及露天机械被雨水冲刷后产生的油污水等，主要污染物为石油类、悬浮物。</w:t>
      </w:r>
    </w:p>
    <w:p>
      <w:pPr>
        <w:ind w:firstLine="480" w:firstLineChars="200"/>
        <w:rPr>
          <w:b/>
          <w:bCs/>
          <w:sz w:val="24"/>
          <w:szCs w:val="24"/>
        </w:rPr>
      </w:pPr>
      <w:r>
        <w:rPr>
          <w:sz w:val="24"/>
          <w:szCs w:val="24"/>
        </w:rPr>
        <w:t>施工期主要道路将采用砼硬化路面，场地四周将敷设排水沟（管），并修建临时沉淀池，含SS、微量机油的雨水以及进出施工场地的车辆清洗废水等排入沉淀池进行沉淀澄清处理后回用。</w:t>
      </w:r>
    </w:p>
    <w:p>
      <w:pPr>
        <w:ind w:firstLine="588" w:firstLineChars="245"/>
        <w:rPr>
          <w:sz w:val="24"/>
          <w:szCs w:val="24"/>
        </w:rPr>
      </w:pPr>
      <w:r>
        <w:rPr>
          <w:sz w:val="24"/>
          <w:szCs w:val="24"/>
        </w:rPr>
        <w:t>2、噪声污染</w:t>
      </w:r>
    </w:p>
    <w:p>
      <w:pPr>
        <w:ind w:firstLine="470" w:firstLineChars="196"/>
        <w:rPr>
          <w:sz w:val="24"/>
          <w:szCs w:val="24"/>
        </w:rPr>
      </w:pPr>
      <w:r>
        <w:rPr>
          <w:sz w:val="24"/>
          <w:szCs w:val="24"/>
        </w:rPr>
        <w:t>施工期噪声源是施工期的重点污染源，产生于四个阶段，即土方工程、基础工程、结构工程、装修工程，主要噪声源是施工机械噪声、施工作业噪声、出入施工场地车辆（主要是建筑材料运输车辆）产生的噪声。</w:t>
      </w:r>
    </w:p>
    <w:p>
      <w:pPr>
        <w:ind w:firstLine="470" w:firstLineChars="196"/>
        <w:rPr>
          <w:sz w:val="24"/>
          <w:szCs w:val="24"/>
        </w:rPr>
      </w:pPr>
      <w:r>
        <w:rPr>
          <w:sz w:val="24"/>
          <w:szCs w:val="24"/>
        </w:rPr>
        <w:t>本项目采用人工挖孔桩，施工噪声由挖土机械、升降机等造成，多为点声源；施工作业噪声主要指一些零星的敲打声、装卸建材的撞击声、施工人员的吆喝声、拆装模板的撞击声等，多为瞬间噪声；运输车辆的噪声属于交通噪声，在这些施工噪声中对声环境影响最大的是施工机械噪声。</w:t>
      </w:r>
    </w:p>
    <w:p>
      <w:pPr>
        <w:tabs>
          <w:tab w:val="left" w:pos="540"/>
        </w:tabs>
        <w:autoSpaceDE w:val="0"/>
        <w:autoSpaceDN w:val="0"/>
        <w:ind w:firstLine="480" w:firstLineChars="200"/>
        <w:rPr>
          <w:b/>
          <w:bCs/>
          <w:sz w:val="24"/>
          <w:szCs w:val="24"/>
          <w:lang w:val="zh-CN"/>
        </w:rPr>
      </w:pPr>
      <w:r>
        <w:rPr>
          <w:sz w:val="24"/>
          <w:szCs w:val="24"/>
        </w:rPr>
        <w:t>当多台机械设备同时作业时，产生噪声叠加，根据类比调查，叠加后的噪声增加3-8dB（A），一般不会超过10dB（A）。因此，在建筑施工期间施工噪声必须按照《中华人民共和国环境噪声污染防治法》规定，严格按《建筑施工场界环境噪声排放标准》（GB12523-2011）进行控制。</w:t>
      </w:r>
    </w:p>
    <w:p>
      <w:pPr>
        <w:tabs>
          <w:tab w:val="left" w:pos="540"/>
        </w:tabs>
        <w:autoSpaceDE w:val="0"/>
        <w:autoSpaceDN w:val="0"/>
        <w:ind w:firstLine="480" w:firstLineChars="200"/>
        <w:rPr>
          <w:sz w:val="24"/>
          <w:szCs w:val="24"/>
        </w:rPr>
      </w:pPr>
      <w:r>
        <w:rPr>
          <w:sz w:val="24"/>
          <w:szCs w:val="24"/>
        </w:rPr>
        <w:t>施工期间产生的噪声具有阶段性、临时性和不固定性，类比国内同类施工机械，本项目施工期主要施工机械噪声源强见下表。</w:t>
      </w:r>
    </w:p>
    <w:p>
      <w:pPr>
        <w:tabs>
          <w:tab w:val="left" w:pos="540"/>
        </w:tabs>
        <w:autoSpaceDE w:val="0"/>
        <w:autoSpaceDN w:val="0"/>
        <w:spacing w:line="240" w:lineRule="auto"/>
        <w:jc w:val="center"/>
        <w:rPr>
          <w:b/>
          <w:sz w:val="24"/>
          <w:szCs w:val="24"/>
        </w:rPr>
      </w:pPr>
      <w:r>
        <w:rPr>
          <w:b/>
          <w:sz w:val="24"/>
          <w:szCs w:val="24"/>
        </w:rPr>
        <w:t>表2</w:t>
      </w:r>
      <w:r>
        <w:rPr>
          <w:rFonts w:hint="eastAsia"/>
          <w:b/>
          <w:sz w:val="24"/>
          <w:szCs w:val="24"/>
          <w:lang w:val="en-US" w:eastAsia="zh-CN"/>
        </w:rPr>
        <w:t>.</w:t>
      </w:r>
      <w:r>
        <w:rPr>
          <w:rFonts w:hint="eastAsia"/>
          <w:b/>
          <w:sz w:val="24"/>
          <w:szCs w:val="24"/>
        </w:rPr>
        <w:t>2</w:t>
      </w:r>
      <w:r>
        <w:rPr>
          <w:b/>
          <w:sz w:val="24"/>
          <w:szCs w:val="24"/>
        </w:rPr>
        <w:t>-</w:t>
      </w:r>
      <w:r>
        <w:rPr>
          <w:rFonts w:hint="eastAsia"/>
          <w:b/>
          <w:sz w:val="24"/>
          <w:szCs w:val="24"/>
        </w:rPr>
        <w:t>1</w:t>
      </w:r>
      <w:r>
        <w:rPr>
          <w:b/>
          <w:sz w:val="24"/>
          <w:szCs w:val="24"/>
        </w:rPr>
        <w:t xml:space="preserve">   建筑施工机械噪声声级</w:t>
      </w:r>
    </w:p>
    <w:tbl>
      <w:tblPr>
        <w:tblStyle w:val="22"/>
        <w:tblW w:w="865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70"/>
        <w:gridCol w:w="3112"/>
        <w:gridCol w:w="25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970" w:type="dxa"/>
            <w:vAlign w:val="center"/>
          </w:tcPr>
          <w:p>
            <w:pPr>
              <w:autoSpaceDE w:val="0"/>
              <w:autoSpaceDN w:val="0"/>
              <w:spacing w:line="240" w:lineRule="auto"/>
              <w:rPr>
                <w:lang w:val="zh-CN"/>
              </w:rPr>
            </w:pPr>
            <w:r>
              <w:rPr>
                <w:lang w:val="zh-CN"/>
              </w:rPr>
              <w:t>设备名称</w:t>
            </w:r>
          </w:p>
        </w:tc>
        <w:tc>
          <w:tcPr>
            <w:tcW w:w="3112" w:type="dxa"/>
            <w:vAlign w:val="center"/>
          </w:tcPr>
          <w:p>
            <w:pPr>
              <w:autoSpaceDE w:val="0"/>
              <w:autoSpaceDN w:val="0"/>
              <w:spacing w:line="240" w:lineRule="auto"/>
              <w:jc w:val="center"/>
              <w:rPr>
                <w:lang w:val="zh-CN"/>
              </w:rPr>
            </w:pPr>
            <w:r>
              <w:rPr>
                <w:lang w:val="zh-CN"/>
              </w:rPr>
              <w:t>声级/距离[dB（A）/m]</w:t>
            </w:r>
          </w:p>
        </w:tc>
        <w:tc>
          <w:tcPr>
            <w:tcW w:w="2568" w:type="dxa"/>
            <w:vAlign w:val="center"/>
          </w:tcPr>
          <w:p>
            <w:pPr>
              <w:autoSpaceDE w:val="0"/>
              <w:autoSpaceDN w:val="0"/>
              <w:spacing w:line="240" w:lineRule="auto"/>
              <w:jc w:val="center"/>
              <w:rPr>
                <w:lang w:val="zh-CN"/>
              </w:rPr>
            </w:pPr>
            <w:r>
              <w:rPr>
                <w:lang w:val="zh-CN"/>
              </w:rPr>
              <w:t>指向性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970" w:type="dxa"/>
            <w:vAlign w:val="center"/>
          </w:tcPr>
          <w:p>
            <w:pPr>
              <w:autoSpaceDE w:val="0"/>
              <w:autoSpaceDN w:val="0"/>
              <w:spacing w:line="240" w:lineRule="auto"/>
              <w:jc w:val="center"/>
            </w:pPr>
            <w:r>
              <w:t>190</w:t>
            </w:r>
            <w:r>
              <w:rPr>
                <w:lang w:val="zh-CN"/>
              </w:rPr>
              <w:t>翻斗车</w:t>
            </w:r>
          </w:p>
        </w:tc>
        <w:tc>
          <w:tcPr>
            <w:tcW w:w="3112" w:type="dxa"/>
            <w:vAlign w:val="center"/>
          </w:tcPr>
          <w:p>
            <w:pPr>
              <w:autoSpaceDE w:val="0"/>
              <w:autoSpaceDN w:val="0"/>
              <w:spacing w:line="240" w:lineRule="auto"/>
              <w:jc w:val="center"/>
            </w:pPr>
            <w:r>
              <w:t>82.0/5</w:t>
            </w:r>
          </w:p>
        </w:tc>
        <w:tc>
          <w:tcPr>
            <w:tcW w:w="2568" w:type="dxa"/>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970" w:type="dxa"/>
            <w:vAlign w:val="center"/>
          </w:tcPr>
          <w:p>
            <w:pPr>
              <w:autoSpaceDE w:val="0"/>
              <w:autoSpaceDN w:val="0"/>
              <w:spacing w:line="240" w:lineRule="auto"/>
              <w:jc w:val="center"/>
            </w:pPr>
            <w:r>
              <w:t>ZL—90</w:t>
            </w:r>
            <w:r>
              <w:rPr>
                <w:lang w:val="zh-CN"/>
              </w:rPr>
              <w:t>装载机</w:t>
            </w:r>
          </w:p>
        </w:tc>
        <w:tc>
          <w:tcPr>
            <w:tcW w:w="3112" w:type="dxa"/>
            <w:vAlign w:val="center"/>
          </w:tcPr>
          <w:p>
            <w:pPr>
              <w:autoSpaceDE w:val="0"/>
              <w:autoSpaceDN w:val="0"/>
              <w:spacing w:line="240" w:lineRule="auto"/>
              <w:jc w:val="center"/>
            </w:pPr>
            <w:r>
              <w:t>82.0/5</w:t>
            </w:r>
          </w:p>
        </w:tc>
        <w:tc>
          <w:tcPr>
            <w:tcW w:w="2568" w:type="dxa"/>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970" w:type="dxa"/>
            <w:vAlign w:val="center"/>
          </w:tcPr>
          <w:p>
            <w:pPr>
              <w:autoSpaceDE w:val="0"/>
              <w:autoSpaceDN w:val="0"/>
              <w:spacing w:line="240" w:lineRule="auto"/>
              <w:jc w:val="center"/>
            </w:pPr>
            <w:r>
              <w:t>75</w:t>
            </w:r>
            <w:r>
              <w:rPr>
                <w:lang w:val="zh-CN"/>
              </w:rPr>
              <w:t>马力推土机</w:t>
            </w:r>
          </w:p>
        </w:tc>
        <w:tc>
          <w:tcPr>
            <w:tcW w:w="3112" w:type="dxa"/>
            <w:vAlign w:val="center"/>
          </w:tcPr>
          <w:p>
            <w:pPr>
              <w:autoSpaceDE w:val="0"/>
              <w:autoSpaceDN w:val="0"/>
              <w:spacing w:line="240" w:lineRule="auto"/>
              <w:jc w:val="center"/>
            </w:pPr>
            <w:r>
              <w:t>86.0/5</w:t>
            </w:r>
          </w:p>
        </w:tc>
        <w:tc>
          <w:tcPr>
            <w:tcW w:w="2568" w:type="dxa"/>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970" w:type="dxa"/>
            <w:vAlign w:val="center"/>
          </w:tcPr>
          <w:p>
            <w:pPr>
              <w:autoSpaceDE w:val="0"/>
              <w:autoSpaceDN w:val="0"/>
              <w:spacing w:line="240" w:lineRule="auto"/>
              <w:jc w:val="center"/>
            </w:pPr>
            <w:r>
              <w:t>UB1232</w:t>
            </w:r>
            <w:r>
              <w:rPr>
                <w:lang w:val="zh-CN"/>
              </w:rPr>
              <w:t>挖掘机</w:t>
            </w:r>
          </w:p>
        </w:tc>
        <w:tc>
          <w:tcPr>
            <w:tcW w:w="3112" w:type="dxa"/>
            <w:vAlign w:val="center"/>
          </w:tcPr>
          <w:p>
            <w:pPr>
              <w:autoSpaceDE w:val="0"/>
              <w:autoSpaceDN w:val="0"/>
              <w:spacing w:line="240" w:lineRule="auto"/>
              <w:jc w:val="center"/>
            </w:pPr>
            <w:r>
              <w:t>84.0/5</w:t>
            </w:r>
          </w:p>
        </w:tc>
        <w:tc>
          <w:tcPr>
            <w:tcW w:w="2568" w:type="dxa"/>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970" w:type="dxa"/>
            <w:vAlign w:val="center"/>
          </w:tcPr>
          <w:p>
            <w:pPr>
              <w:autoSpaceDE w:val="0"/>
              <w:autoSpaceDN w:val="0"/>
              <w:spacing w:line="240" w:lineRule="auto"/>
              <w:jc w:val="center"/>
            </w:pPr>
            <w:r>
              <w:t>Py160A</w:t>
            </w:r>
            <w:r>
              <w:rPr>
                <w:lang w:val="zh-CN"/>
              </w:rPr>
              <w:t>平地机</w:t>
            </w:r>
          </w:p>
        </w:tc>
        <w:tc>
          <w:tcPr>
            <w:tcW w:w="3112" w:type="dxa"/>
            <w:vAlign w:val="center"/>
          </w:tcPr>
          <w:p>
            <w:pPr>
              <w:autoSpaceDE w:val="0"/>
              <w:autoSpaceDN w:val="0"/>
              <w:spacing w:line="240" w:lineRule="auto"/>
              <w:jc w:val="center"/>
            </w:pPr>
            <w:r>
              <w:t>87.0/5</w:t>
            </w:r>
          </w:p>
        </w:tc>
        <w:tc>
          <w:tcPr>
            <w:tcW w:w="2568" w:type="dxa"/>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970" w:type="dxa"/>
            <w:vAlign w:val="center"/>
          </w:tcPr>
          <w:p>
            <w:pPr>
              <w:autoSpaceDE w:val="0"/>
              <w:autoSpaceDN w:val="0"/>
              <w:spacing w:line="240" w:lineRule="auto"/>
              <w:jc w:val="center"/>
            </w:pPr>
            <w:r>
              <w:t>振捣棒</w:t>
            </w:r>
          </w:p>
        </w:tc>
        <w:tc>
          <w:tcPr>
            <w:tcW w:w="3112" w:type="dxa"/>
            <w:vAlign w:val="center"/>
          </w:tcPr>
          <w:p>
            <w:pPr>
              <w:autoSpaceDE w:val="0"/>
              <w:autoSpaceDN w:val="0"/>
              <w:spacing w:line="240" w:lineRule="auto"/>
              <w:jc w:val="center"/>
            </w:pPr>
            <w:r>
              <w:t>82.0/5</w:t>
            </w:r>
          </w:p>
        </w:tc>
        <w:tc>
          <w:tcPr>
            <w:tcW w:w="2568" w:type="dxa"/>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970" w:type="dxa"/>
            <w:vAlign w:val="center"/>
          </w:tcPr>
          <w:p>
            <w:pPr>
              <w:autoSpaceDE w:val="0"/>
              <w:autoSpaceDN w:val="0"/>
              <w:spacing w:line="240" w:lineRule="auto"/>
              <w:jc w:val="center"/>
            </w:pPr>
            <w:r>
              <w:t>砼输送泵</w:t>
            </w:r>
          </w:p>
        </w:tc>
        <w:tc>
          <w:tcPr>
            <w:tcW w:w="3112" w:type="dxa"/>
            <w:vAlign w:val="center"/>
          </w:tcPr>
          <w:p>
            <w:pPr>
              <w:autoSpaceDE w:val="0"/>
              <w:autoSpaceDN w:val="0"/>
              <w:spacing w:line="240" w:lineRule="auto"/>
              <w:jc w:val="center"/>
            </w:pPr>
            <w:r>
              <w:t>87.0/5</w:t>
            </w:r>
          </w:p>
        </w:tc>
        <w:tc>
          <w:tcPr>
            <w:tcW w:w="2568" w:type="dxa"/>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970" w:type="dxa"/>
            <w:vAlign w:val="center"/>
          </w:tcPr>
          <w:p>
            <w:pPr>
              <w:autoSpaceDE w:val="0"/>
              <w:autoSpaceDN w:val="0"/>
              <w:spacing w:line="240" w:lineRule="auto"/>
              <w:jc w:val="center"/>
            </w:pPr>
            <w:r>
              <w:t>切割机</w:t>
            </w:r>
          </w:p>
        </w:tc>
        <w:tc>
          <w:tcPr>
            <w:tcW w:w="3112" w:type="dxa"/>
            <w:vAlign w:val="center"/>
          </w:tcPr>
          <w:p>
            <w:pPr>
              <w:autoSpaceDE w:val="0"/>
              <w:autoSpaceDN w:val="0"/>
              <w:spacing w:line="240" w:lineRule="auto"/>
              <w:jc w:val="center"/>
            </w:pPr>
            <w:r>
              <w:t>82.0/5</w:t>
            </w:r>
          </w:p>
        </w:tc>
        <w:tc>
          <w:tcPr>
            <w:tcW w:w="2568" w:type="dxa"/>
            <w:vAlign w:val="center"/>
          </w:tcPr>
          <w:p>
            <w:pPr>
              <w:autoSpaceDE w:val="0"/>
              <w:autoSpaceDN w:val="0"/>
              <w:spacing w:line="240" w:lineRule="auto"/>
              <w:jc w:val="center"/>
              <w:rPr>
                <w:lang w:val="zh-CN"/>
              </w:rPr>
            </w:pPr>
            <w:r>
              <w:rPr>
                <w:lang w:val="zh-CN"/>
              </w:rPr>
              <w:t>有指向性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970" w:type="dxa"/>
            <w:vAlign w:val="center"/>
          </w:tcPr>
          <w:p>
            <w:pPr>
              <w:autoSpaceDE w:val="0"/>
              <w:autoSpaceDN w:val="0"/>
              <w:spacing w:line="240" w:lineRule="auto"/>
              <w:jc w:val="center"/>
            </w:pPr>
            <w:r>
              <w:t>磨石机</w:t>
            </w:r>
          </w:p>
        </w:tc>
        <w:tc>
          <w:tcPr>
            <w:tcW w:w="3112" w:type="dxa"/>
            <w:vAlign w:val="center"/>
          </w:tcPr>
          <w:p>
            <w:pPr>
              <w:autoSpaceDE w:val="0"/>
              <w:autoSpaceDN w:val="0"/>
              <w:spacing w:line="240" w:lineRule="auto"/>
              <w:jc w:val="center"/>
            </w:pPr>
            <w:r>
              <w:t>82.0/5</w:t>
            </w:r>
          </w:p>
        </w:tc>
        <w:tc>
          <w:tcPr>
            <w:tcW w:w="2568" w:type="dxa"/>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970" w:type="dxa"/>
            <w:vAlign w:val="center"/>
          </w:tcPr>
          <w:p>
            <w:pPr>
              <w:autoSpaceDE w:val="0"/>
              <w:autoSpaceDN w:val="0"/>
              <w:spacing w:line="240" w:lineRule="auto"/>
              <w:jc w:val="center"/>
            </w:pPr>
            <w:r>
              <w:t>砂轮锯</w:t>
            </w:r>
          </w:p>
        </w:tc>
        <w:tc>
          <w:tcPr>
            <w:tcW w:w="3112" w:type="dxa"/>
            <w:vAlign w:val="center"/>
          </w:tcPr>
          <w:p>
            <w:pPr>
              <w:autoSpaceDE w:val="0"/>
              <w:autoSpaceDN w:val="0"/>
              <w:spacing w:line="240" w:lineRule="auto"/>
              <w:jc w:val="center"/>
            </w:pPr>
            <w:r>
              <w:t>82.0/5</w:t>
            </w:r>
          </w:p>
        </w:tc>
        <w:tc>
          <w:tcPr>
            <w:tcW w:w="2568" w:type="dxa"/>
            <w:vAlign w:val="center"/>
          </w:tcPr>
          <w:p>
            <w:pPr>
              <w:autoSpaceDE w:val="0"/>
              <w:autoSpaceDN w:val="0"/>
              <w:spacing w:line="240" w:lineRule="auto"/>
              <w:jc w:val="center"/>
              <w:rPr>
                <w:lang w:val="zh-CN"/>
              </w:rPr>
            </w:pPr>
            <w:r>
              <w:rPr>
                <w:lang w:val="zh-CN"/>
              </w:rPr>
              <w:t>有指向性</w:t>
            </w:r>
          </w:p>
        </w:tc>
      </w:tr>
    </w:tbl>
    <w:p>
      <w:pPr>
        <w:ind w:firstLine="588" w:firstLineChars="245"/>
        <w:rPr>
          <w:sz w:val="24"/>
          <w:szCs w:val="24"/>
        </w:rPr>
      </w:pPr>
      <w:r>
        <w:rPr>
          <w:sz w:val="24"/>
          <w:szCs w:val="24"/>
        </w:rPr>
        <w:t>3、大气污染</w:t>
      </w:r>
    </w:p>
    <w:p>
      <w:pPr>
        <w:ind w:firstLine="468" w:firstLineChars="195"/>
        <w:rPr>
          <w:sz w:val="24"/>
          <w:szCs w:val="24"/>
        </w:rPr>
      </w:pPr>
      <w:r>
        <w:rPr>
          <w:sz w:val="24"/>
          <w:szCs w:val="24"/>
        </w:rPr>
        <w:t>项目施工期大气污染源主要来自扬尘，包括：</w:t>
      </w:r>
    </w:p>
    <w:p>
      <w:pPr>
        <w:ind w:firstLine="468" w:firstLineChars="195"/>
        <w:rPr>
          <w:sz w:val="24"/>
          <w:szCs w:val="24"/>
        </w:rPr>
      </w:pPr>
      <w:r>
        <w:rPr>
          <w:sz w:val="24"/>
          <w:szCs w:val="24"/>
        </w:rPr>
        <w:t>土方挖掘和现场堆放扬尘；</w:t>
      </w:r>
    </w:p>
    <w:p>
      <w:pPr>
        <w:ind w:firstLine="468" w:firstLineChars="195"/>
        <w:rPr>
          <w:sz w:val="24"/>
          <w:szCs w:val="24"/>
        </w:rPr>
      </w:pPr>
      <w:r>
        <w:rPr>
          <w:sz w:val="24"/>
          <w:szCs w:val="24"/>
        </w:rPr>
        <w:t>建筑材料（白灰、水泥、砂子、石子和砖等）的搬运及堆放扬尘；</w:t>
      </w:r>
    </w:p>
    <w:p>
      <w:pPr>
        <w:ind w:firstLine="468" w:firstLineChars="195"/>
        <w:rPr>
          <w:sz w:val="24"/>
          <w:szCs w:val="24"/>
        </w:rPr>
      </w:pPr>
      <w:r>
        <w:rPr>
          <w:sz w:val="24"/>
          <w:szCs w:val="24"/>
        </w:rPr>
        <w:t>施工垃圾的清理及堆放扬尘；</w:t>
      </w:r>
    </w:p>
    <w:p>
      <w:pPr>
        <w:ind w:firstLine="468" w:firstLineChars="195"/>
        <w:rPr>
          <w:sz w:val="24"/>
          <w:szCs w:val="24"/>
        </w:rPr>
      </w:pPr>
      <w:r>
        <w:rPr>
          <w:sz w:val="24"/>
          <w:szCs w:val="24"/>
        </w:rPr>
        <w:t>物料运输车辆造成的道路扬尘（包括施工区内和施工区外道路扬尘）；</w:t>
      </w:r>
    </w:p>
    <w:p>
      <w:pPr>
        <w:ind w:firstLine="468" w:firstLineChars="195"/>
        <w:rPr>
          <w:sz w:val="24"/>
          <w:szCs w:val="24"/>
        </w:rPr>
      </w:pPr>
      <w:r>
        <w:rPr>
          <w:sz w:val="24"/>
          <w:szCs w:val="24"/>
        </w:rPr>
        <w:t>扬尘污染造成大气中TSP值增高，根据类比资料，施工扬尘的起尘量与许多因素有关，包括：基础开挖起尘量、施工渣土堆场起尘量、进出车辆夹带泥砂量、水泥搬运量、装载起尘量以及起尘高度、采取的防护措施、空气湿度、风速等因素有关；此外，装修阶段对环境产生污染的材料主要是人造板以及油漆等有机溶剂，其主要污染因子为甲苯、二甲苯和甲醛等。</w:t>
      </w:r>
    </w:p>
    <w:p>
      <w:pPr>
        <w:ind w:firstLine="480" w:firstLineChars="200"/>
        <w:rPr>
          <w:b/>
          <w:sz w:val="24"/>
          <w:szCs w:val="24"/>
        </w:rPr>
      </w:pPr>
      <w:r>
        <w:rPr>
          <w:sz w:val="24"/>
          <w:szCs w:val="24"/>
        </w:rPr>
        <w:t>4、固废</w:t>
      </w:r>
    </w:p>
    <w:p>
      <w:pPr>
        <w:ind w:firstLine="480" w:firstLineChars="200"/>
        <w:rPr>
          <w:b/>
          <w:sz w:val="24"/>
          <w:szCs w:val="24"/>
        </w:rPr>
      </w:pPr>
      <w:r>
        <w:rPr>
          <w:sz w:val="24"/>
          <w:szCs w:val="24"/>
        </w:rPr>
        <w:t>项目施工期固废主要有建筑施工和装修过程中产生的建筑垃圾、施工人员的生活垃圾及开挖土石方。</w:t>
      </w:r>
    </w:p>
    <w:p>
      <w:pPr>
        <w:ind w:firstLine="480" w:firstLineChars="200"/>
        <w:rPr>
          <w:b/>
          <w:color w:val="FF0000"/>
          <w:sz w:val="24"/>
          <w:szCs w:val="24"/>
        </w:rPr>
      </w:pPr>
      <w:r>
        <w:rPr>
          <w:sz w:val="24"/>
          <w:szCs w:val="24"/>
        </w:rPr>
        <w:t>①</w:t>
      </w:r>
      <w:r>
        <w:rPr>
          <w:bCs/>
          <w:sz w:val="24"/>
          <w:szCs w:val="24"/>
        </w:rPr>
        <w:t>建筑垃圾：建筑垃圾的产生量与施工水平、管理水平、建筑类型有直接的联系，根据同类工程类比调查，每</w:t>
      </w:r>
      <w:r>
        <w:rPr>
          <w:sz w:val="24"/>
          <w:szCs w:val="24"/>
        </w:rPr>
        <w:t>平方米建筑面积产生建筑垃圾约0.01t（含装修垃圾），本项目新建总建筑面积为6000m</w:t>
      </w:r>
      <w:r>
        <w:rPr>
          <w:sz w:val="24"/>
          <w:szCs w:val="24"/>
          <w:vertAlign w:val="superscript"/>
        </w:rPr>
        <w:t>2</w:t>
      </w:r>
      <w:r>
        <w:rPr>
          <w:sz w:val="24"/>
          <w:szCs w:val="24"/>
        </w:rPr>
        <w:t>，则共产生建筑垃圾约60t；</w:t>
      </w:r>
    </w:p>
    <w:p>
      <w:pPr>
        <w:ind w:firstLine="480" w:firstLineChars="200"/>
        <w:rPr>
          <w:b/>
          <w:sz w:val="24"/>
          <w:szCs w:val="24"/>
        </w:rPr>
      </w:pPr>
      <w:r>
        <w:rPr>
          <w:sz w:val="24"/>
          <w:szCs w:val="24"/>
        </w:rPr>
        <w:t>②</w:t>
      </w:r>
      <w:r>
        <w:rPr>
          <w:bCs/>
          <w:sz w:val="24"/>
          <w:szCs w:val="24"/>
        </w:rPr>
        <w:t>生活垃圾：按人均产生量按0.2kg/d计，施工平均人员25人/d，施工期约6个月，生活垃圾产生量约0.9t；</w:t>
      </w:r>
    </w:p>
    <w:p>
      <w:pPr>
        <w:ind w:firstLine="480" w:firstLineChars="200"/>
        <w:rPr>
          <w:bCs/>
          <w:sz w:val="24"/>
          <w:szCs w:val="24"/>
        </w:rPr>
      </w:pPr>
      <w:r>
        <w:rPr>
          <w:bCs/>
          <w:sz w:val="24"/>
          <w:szCs w:val="24"/>
        </w:rPr>
        <w:t>③开挖土方：根据建设单位提供资料，施工期土方开挖量约2113m³</w:t>
      </w:r>
      <w:r>
        <w:rPr>
          <w:sz w:val="24"/>
          <w:szCs w:val="24"/>
        </w:rPr>
        <w:t>，项目</w:t>
      </w:r>
      <w:r>
        <w:rPr>
          <w:bCs/>
          <w:sz w:val="24"/>
          <w:szCs w:val="24"/>
        </w:rPr>
        <w:t>土石方用于场地回填平整和区域、周边道路铺设及区内外综合利用，不需外取土和弃土场。</w:t>
      </w:r>
    </w:p>
    <w:p>
      <w:pPr>
        <w:ind w:firstLine="600" w:firstLineChars="250"/>
        <w:rPr>
          <w:b/>
          <w:sz w:val="24"/>
          <w:szCs w:val="24"/>
        </w:rPr>
      </w:pPr>
      <w:r>
        <w:rPr>
          <w:sz w:val="24"/>
          <w:szCs w:val="24"/>
        </w:rPr>
        <w:t>5、水土流失</w:t>
      </w:r>
    </w:p>
    <w:p>
      <w:pPr>
        <w:ind w:firstLine="480" w:firstLineChars="200"/>
        <w:rPr>
          <w:sz w:val="24"/>
          <w:szCs w:val="24"/>
        </w:rPr>
      </w:pPr>
      <w:r>
        <w:rPr>
          <w:sz w:val="24"/>
          <w:szCs w:val="24"/>
        </w:rPr>
        <w:t>项目建设期间，土地平整和基坑开挖，必然扰动现有地貌，使表土裸露呈松散状态，抗蚀能力减弱，致使土壤侵蚀模数增大，导致区域内水土流失趋势。施工中大量散状物如砂、石、水泥堆积产生的扬尘，砂石料冲洗和混凝土养护工程等均可能产生新的水土流失。</w:t>
      </w:r>
    </w:p>
    <w:p>
      <w:pPr>
        <w:ind w:firstLine="480" w:firstLineChars="200"/>
        <w:rPr>
          <w:sz w:val="24"/>
          <w:szCs w:val="24"/>
        </w:rPr>
      </w:pPr>
      <w:r>
        <w:rPr>
          <w:sz w:val="24"/>
          <w:szCs w:val="24"/>
        </w:rPr>
        <w:t>考虑施工进度，挖方在转运过程中需要临时堆放，本次评价提出下列设置要求：</w:t>
      </w:r>
    </w:p>
    <w:p>
      <w:pPr>
        <w:ind w:firstLine="480" w:firstLineChars="200"/>
        <w:rPr>
          <w:sz w:val="24"/>
          <w:szCs w:val="24"/>
        </w:rPr>
      </w:pPr>
      <w:r>
        <w:rPr>
          <w:sz w:val="24"/>
          <w:szCs w:val="24"/>
        </w:rPr>
        <w:t>①临时土方堆置应设置在项目地中央平缓地带，并设置围堰或边沟通向收集池，防止雨水冲刷，造成区内污水横流及水土流失现象。</w:t>
      </w:r>
    </w:p>
    <w:p>
      <w:pPr>
        <w:ind w:firstLine="480" w:firstLineChars="200"/>
        <w:rPr>
          <w:sz w:val="24"/>
          <w:szCs w:val="24"/>
        </w:rPr>
      </w:pPr>
      <w:r>
        <w:rPr>
          <w:sz w:val="24"/>
          <w:szCs w:val="24"/>
        </w:rPr>
        <w:t>②弃土弃渣以及施工材料须堆置在距离道路及河道较远的平整场地，禁止向其它任何地方倾倒、堆置弃土弃渣，并采取相应拦挡措施。</w:t>
      </w:r>
    </w:p>
    <w:p>
      <w:r>
        <w:br w:type="page"/>
      </w:r>
    </w:p>
    <w:p>
      <w:pPr>
        <w:pStyle w:val="7"/>
      </w:pPr>
      <w:r>
        <w:t>2.2.2营运期工程分析</w:t>
      </w:r>
    </w:p>
    <w:p>
      <w:pPr>
        <w:ind w:firstLine="480" w:firstLineChars="200"/>
        <w:rPr>
          <w:bCs/>
          <w:sz w:val="24"/>
          <w:szCs w:val="24"/>
        </w:rPr>
      </w:pPr>
      <w:r>
        <w:rPr>
          <w:sz w:val="24"/>
          <w:szCs w:val="24"/>
        </w:rPr>
        <w:t>本项目营运期可实现年</w:t>
      </w:r>
      <w:r>
        <w:rPr>
          <w:rFonts w:hint="eastAsia"/>
          <w:sz w:val="24"/>
          <w:szCs w:val="24"/>
          <w:lang w:eastAsia="zh-CN"/>
        </w:rPr>
        <w:t>加工</w:t>
      </w:r>
      <w:r>
        <w:rPr>
          <w:rFonts w:hint="eastAsia"/>
          <w:sz w:val="24"/>
          <w:szCs w:val="24"/>
          <w:lang w:val="en-US" w:eastAsia="zh-CN"/>
        </w:rPr>
        <w:t>150万件服装</w:t>
      </w:r>
      <w:r>
        <w:rPr>
          <w:sz w:val="24"/>
          <w:szCs w:val="24"/>
        </w:rPr>
        <w:t>的生产能力</w:t>
      </w:r>
      <w:r>
        <w:rPr>
          <w:rFonts w:hint="eastAsia"/>
          <w:sz w:val="24"/>
          <w:szCs w:val="24"/>
          <w:lang w:eastAsia="zh-CN"/>
        </w:rPr>
        <w:t>，其中约</w:t>
      </w:r>
      <w:r>
        <w:rPr>
          <w:rFonts w:hint="eastAsia"/>
          <w:sz w:val="24"/>
          <w:szCs w:val="24"/>
          <w:lang w:val="en-US" w:eastAsia="zh-CN"/>
        </w:rPr>
        <w:t>120万件服装需经过水洗</w:t>
      </w:r>
      <w:r>
        <w:rPr>
          <w:sz w:val="24"/>
          <w:szCs w:val="24"/>
        </w:rPr>
        <w:t>。其</w:t>
      </w:r>
      <w:r>
        <w:rPr>
          <w:rFonts w:hint="eastAsia"/>
          <w:bCs/>
          <w:sz w:val="24"/>
          <w:szCs w:val="24"/>
          <w:lang w:eastAsia="zh-CN"/>
        </w:rPr>
        <w:t>生产</w:t>
      </w:r>
      <w:r>
        <w:rPr>
          <w:bCs/>
          <w:sz w:val="24"/>
          <w:szCs w:val="24"/>
        </w:rPr>
        <w:t>工艺流程及产污环节如下图所示：</w:t>
      </w:r>
    </w:p>
    <w:p>
      <w:pPr>
        <w:pStyle w:val="2"/>
        <w:rPr>
          <w:bCs/>
          <w:sz w:val="24"/>
          <w:szCs w:val="24"/>
        </w:rPr>
      </w:pPr>
      <w:r>
        <w:rPr>
          <w:sz w:val="24"/>
        </w:rPr>
        <mc:AlternateContent>
          <mc:Choice Requires="wps">
            <w:drawing>
              <wp:anchor distT="0" distB="0" distL="114300" distR="114300" simplePos="0" relativeHeight="4268506112" behindDoc="0" locked="0" layoutInCell="1" allowOverlap="1">
                <wp:simplePos x="0" y="0"/>
                <wp:positionH relativeFrom="column">
                  <wp:posOffset>1522095</wp:posOffset>
                </wp:positionH>
                <wp:positionV relativeFrom="paragraph">
                  <wp:posOffset>193675</wp:posOffset>
                </wp:positionV>
                <wp:extent cx="666750" cy="238125"/>
                <wp:effectExtent l="0" t="0" r="0" b="9525"/>
                <wp:wrapNone/>
                <wp:docPr id="65" name="文本框 65"/>
                <wp:cNvGraphicFramePr/>
                <a:graphic xmlns:a="http://schemas.openxmlformats.org/drawingml/2006/main">
                  <a:graphicData uri="http://schemas.microsoft.com/office/word/2010/wordprocessingShape">
                    <wps:wsp>
                      <wps:cNvSpPr txBox="1"/>
                      <wps:spPr>
                        <a:xfrm>
                          <a:off x="0" y="0"/>
                          <a:ext cx="666750"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不合格品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85pt;margin-top:15.25pt;height:18.75pt;width:52.5pt;z-index:-26461184;mso-width-relative:page;mso-height-relative:page;" filled="f" stroked="f" coordsize="21600,21600" o:gfxdata="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6go2P&#10;2wAAAAkBAAAPAAAAAAAAAAEAIAAAACIAAABkcnMvZG93bnJldi54bWxQSwECFAAUAAAACACHTuJA&#10;z4vjZR4CAAAZBAAADgAAAAAAAAABACAAAAAqAQAAZHJzL2Uyb0RvYy54bWxQSwUGAAAAAAYABgBZ&#10;AQAAugUAAAAA&#10;">
                <v:fill on="f" focussize="0,0"/>
                <v:stroke on="f" weight="0.5pt"/>
                <v:imagedata o:title=""/>
                <o:lock v:ext="edit" aspectratio="f"/>
                <v:textbox>
                  <w:txbxContent>
                    <w:p>
                      <w:pPr>
                        <w:rPr>
                          <w:rFonts w:hint="eastAsia" w:eastAsia="宋体"/>
                          <w:lang w:eastAsia="zh-CN"/>
                        </w:rPr>
                      </w:pPr>
                      <w:r>
                        <w:rPr>
                          <w:rFonts w:hint="eastAsia"/>
                          <w:lang w:eastAsia="zh-CN"/>
                        </w:rPr>
                        <w:t>不合格品</w:t>
                      </w:r>
                    </w:p>
                  </w:txbxContent>
                </v:textbox>
              </v:shape>
            </w:pict>
          </mc:Fallback>
        </mc:AlternateContent>
      </w:r>
      <w:r>
        <w:rPr>
          <w:sz w:val="24"/>
        </w:rPr>
        <mc:AlternateContent>
          <mc:Choice Requires="wps">
            <w:drawing>
              <wp:anchor distT="0" distB="0" distL="114300" distR="114300" simplePos="0" relativeHeight="1350495232" behindDoc="0" locked="0" layoutInCell="1" allowOverlap="1">
                <wp:simplePos x="0" y="0"/>
                <wp:positionH relativeFrom="column">
                  <wp:posOffset>4139565</wp:posOffset>
                </wp:positionH>
                <wp:positionV relativeFrom="paragraph">
                  <wp:posOffset>13335</wp:posOffset>
                </wp:positionV>
                <wp:extent cx="856615" cy="276225"/>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85661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1.05pt;height:21.75pt;width:67.45pt;z-index:1350495232;mso-width-relative:page;mso-height-relative:page;" filled="f" stroked="f" coordsize="21600,21600" o:gfxdata="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7Unm4&#10;2QAAAAgBAAAPAAAAAAAAAAEAIAAAACIAAABkcnMvZG93bnJldi54bWxQSwECFAAUAAAACACHTuJA&#10;OJUU0yACAAAbBAAADgAAAAAAAAABACAAAAAoAQAAZHJzL2Uyb0RvYy54bWxQSwUGAAAAAAYABgBZ&#10;AQAAugUAAAAA&#10;">
                <v:fill on="f" focussize="0,0"/>
                <v:stroke on="f" weight="0.5pt"/>
                <v:imagedata o:title=""/>
                <o:lock v:ext="edit" aspectratio="f"/>
                <v:textbox>
                  <w:txbxContent>
                    <w:p>
                      <w:pPr>
                        <w:rPr>
                          <w:rFonts w:hint="eastAsia" w:eastAsia="宋体"/>
                          <w:lang w:eastAsia="zh-CN"/>
                        </w:rPr>
                      </w:pPr>
                      <w:r>
                        <w:rPr>
                          <w:rFonts w:hint="eastAsia"/>
                          <w:lang w:eastAsia="zh-CN"/>
                        </w:rPr>
                        <w:t>噪声、固废</w:t>
                      </w:r>
                    </w:p>
                  </w:txbxContent>
                </v:textbox>
              </v:shape>
            </w:pict>
          </mc:Fallback>
        </mc:AlternateContent>
      </w:r>
      <w:r>
        <w:rPr>
          <w:sz w:val="24"/>
        </w:rPr>
        <mc:AlternateContent>
          <mc:Choice Requires="wps">
            <w:drawing>
              <wp:anchor distT="0" distB="0" distL="114300" distR="114300" simplePos="0" relativeHeight="984215552" behindDoc="0" locked="0" layoutInCell="1" allowOverlap="1">
                <wp:simplePos x="0" y="0"/>
                <wp:positionH relativeFrom="column">
                  <wp:posOffset>4549140</wp:posOffset>
                </wp:positionH>
                <wp:positionV relativeFrom="paragraph">
                  <wp:posOffset>289560</wp:posOffset>
                </wp:positionV>
                <wp:extent cx="0" cy="428625"/>
                <wp:effectExtent l="48895" t="0" r="65405" b="9525"/>
                <wp:wrapNone/>
                <wp:docPr id="120" name="直接箭头连接符 120"/>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58.2pt;margin-top:22.8pt;height:33.75pt;width:0pt;z-index:984215552;mso-width-relative:page;mso-height-relative:page;" filled="f" stroked="t" coordsize="21600,21600" o:gfxdata="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goOVPXAAAACgEAAA8AAAAAAAAAAQAgAAAAIgAAAGRycy9kb3ducmV2LnhtbFBLAQIUABQAAAAI&#10;AIdO4kBOtbPN7gEAAJ8DAAAOAAAAAAAAAAEAIAAAACYBAABkcnMvZTJvRG9jLnhtbFBLBQYAAAAA&#10;BgAGAFkBAACGBQAAAAA=&#10;">
                <v:fill on="f" focussize="0,0"/>
                <v:stroke weight="0.5pt" color="#000000 [3213]" miterlimit="8" joinstyle="miter" dashstyle="3 1" endarrow="open"/>
                <v:imagedata o:title=""/>
                <o:lock v:ext="edit" aspectratio="f"/>
              </v:shape>
            </w:pict>
          </mc:Fallback>
        </mc:AlternateContent>
      </w:r>
      <w:r>
        <w:rPr>
          <w:sz w:val="24"/>
        </w:rPr>
        <mc:AlternateContent>
          <mc:Choice Requires="wps">
            <w:drawing>
              <wp:anchor distT="0" distB="0" distL="114300" distR="114300" simplePos="0" relativeHeight="617936896" behindDoc="0" locked="0" layoutInCell="1" allowOverlap="1">
                <wp:simplePos x="0" y="0"/>
                <wp:positionH relativeFrom="column">
                  <wp:posOffset>348615</wp:posOffset>
                </wp:positionH>
                <wp:positionV relativeFrom="paragraph">
                  <wp:posOffset>3810</wp:posOffset>
                </wp:positionV>
                <wp:extent cx="856615" cy="276225"/>
                <wp:effectExtent l="0" t="0" r="0" b="0"/>
                <wp:wrapNone/>
                <wp:docPr id="119" name="文本框 119"/>
                <wp:cNvGraphicFramePr/>
                <a:graphic xmlns:a="http://schemas.openxmlformats.org/drawingml/2006/main">
                  <a:graphicData uri="http://schemas.microsoft.com/office/word/2010/wordprocessingShape">
                    <wps:wsp>
                      <wps:cNvSpPr txBox="1"/>
                      <wps:spPr>
                        <a:xfrm>
                          <a:off x="1556385" y="1797685"/>
                          <a:ext cx="85661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5pt;margin-top:0.3pt;height:21.75pt;width:67.45pt;z-index:617936896;mso-width-relative:page;mso-height-relative:page;" filled="f" stroked="f" coordsize="21600,21600" o:gfxdata="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JxvtL1wAAAAYBAAAPAAAAAAAAAAEAIAAAACIAAABkcnMvZG93bnJldi54bWxQSwECFAAU&#10;AAAACACHTuJA8A2Z1SsCAAAnBAAADgAAAAAAAAABACAAAAAmAQAAZHJzL2Uyb0RvYy54bWxQSwUG&#10;AAAAAAYABgBZAQAAwwUAAAAA&#10;">
                <v:fill on="f" focussize="0,0"/>
                <v:stroke on="f" weight="0.5pt"/>
                <v:imagedata o:title=""/>
                <o:lock v:ext="edit" aspectratio="f"/>
                <v:textbox>
                  <w:txbxContent>
                    <w:p>
                      <w:pPr>
                        <w:rPr>
                          <w:rFonts w:hint="eastAsia" w:eastAsia="宋体"/>
                          <w:lang w:eastAsia="zh-CN"/>
                        </w:rPr>
                      </w:pPr>
                      <w:r>
                        <w:rPr>
                          <w:rFonts w:hint="eastAsia"/>
                          <w:lang w:eastAsia="zh-CN"/>
                        </w:rPr>
                        <w:t>噪声、固废</w:t>
                      </w:r>
                    </w:p>
                  </w:txbxContent>
                </v:textbox>
              </v:shape>
            </w:pict>
          </mc:Fallback>
        </mc:AlternateContent>
      </w:r>
      <w:r>
        <w:rPr>
          <w:sz w:val="24"/>
        </w:rPr>
        <mc:AlternateContent>
          <mc:Choice Requires="wps">
            <w:drawing>
              <wp:anchor distT="0" distB="0" distL="114300" distR="114300" simplePos="0" relativeHeight="617935872" behindDoc="0" locked="0" layoutInCell="1" allowOverlap="1">
                <wp:simplePos x="0" y="0"/>
                <wp:positionH relativeFrom="column">
                  <wp:posOffset>767715</wp:posOffset>
                </wp:positionH>
                <wp:positionV relativeFrom="paragraph">
                  <wp:posOffset>251460</wp:posOffset>
                </wp:positionV>
                <wp:extent cx="0" cy="428625"/>
                <wp:effectExtent l="48895" t="0" r="65405" b="9525"/>
                <wp:wrapNone/>
                <wp:docPr id="117" name="直接箭头连接符 117"/>
                <wp:cNvGraphicFramePr/>
                <a:graphic xmlns:a="http://schemas.openxmlformats.org/drawingml/2006/main">
                  <a:graphicData uri="http://schemas.microsoft.com/office/word/2010/wordprocessingShape">
                    <wps:wsp>
                      <wps:cNvCnPr/>
                      <wps:spPr>
                        <a:xfrm flipV="1">
                          <a:off x="1775460" y="2054860"/>
                          <a:ext cx="0" cy="428625"/>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60.45pt;margin-top:19.8pt;height:33.75pt;width:0pt;z-index:617935872;mso-width-relative:page;mso-height-relative:page;" filled="f" stroked="t" coordsize="21600,21600" o:gfxdata="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u8cFNYAAAAKAQAADwAAAAAAAAABACAAAAAiAAAAZHJzL2Rvd25yZXYueG1s&#10;UEsBAhQAFAAAAAgAh07iQDupTd/6AQAAqwMAAA4AAAAAAAAAAQAgAAAAJQEAAGRycy9lMm9Eb2Mu&#10;eG1sUEsFBgAAAAAGAAYAWQEAAJEFAAAAAA==&#10;">
                <v:fill on="f" focussize="0,0"/>
                <v:stroke weight="0.5pt" color="#000000 [3213]" miterlimit="8" joinstyle="miter" dashstyle="3 1" endarrow="open"/>
                <v:imagedata o:title=""/>
                <o:lock v:ext="edit" aspectratio="f"/>
              </v:shape>
            </w:pict>
          </mc:Fallback>
        </mc:AlternateContent>
      </w:r>
    </w:p>
    <w:p>
      <w:pPr>
        <w:rPr>
          <w:rFonts w:hint="default"/>
        </w:rPr>
      </w:pPr>
      <w:r>
        <w:rPr>
          <w:sz w:val="24"/>
        </w:rPr>
        <mc:AlternateContent>
          <mc:Choice Requires="wps">
            <w:drawing>
              <wp:anchor distT="0" distB="0" distL="114300" distR="114300" simplePos="0" relativeHeight="3988874240" behindDoc="0" locked="0" layoutInCell="1" allowOverlap="1">
                <wp:simplePos x="0" y="0"/>
                <wp:positionH relativeFrom="column">
                  <wp:posOffset>2747645</wp:posOffset>
                </wp:positionH>
                <wp:positionV relativeFrom="paragraph">
                  <wp:posOffset>147955</wp:posOffset>
                </wp:positionV>
                <wp:extent cx="0" cy="276225"/>
                <wp:effectExtent l="6350" t="0" r="12700" b="9525"/>
                <wp:wrapNone/>
                <wp:docPr id="63" name="直接连接符 63"/>
                <wp:cNvGraphicFramePr/>
                <a:graphic xmlns:a="http://schemas.openxmlformats.org/drawingml/2006/main">
                  <a:graphicData uri="http://schemas.microsoft.com/office/word/2010/wordprocessingShape">
                    <wps:wsp>
                      <wps:cNvCnPr/>
                      <wps:spPr>
                        <a:xfrm>
                          <a:off x="0" y="0"/>
                          <a:ext cx="0" cy="2762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6.35pt;margin-top:11.65pt;height:21.75pt;width:0pt;z-index:-306093056;mso-width-relative:page;mso-height-relative:page;" filled="f" stroked="t" coordsize="21600,21600" o:gfxdata="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LfRufYAAAACQEAAA8AAAAAAAAAAQAgAAAAIgAAAGRycy9kb3du&#10;cmV2LnhtbFBLAQIUABQAAAAIAIdO4kDBHRJPxgEAAGUDAAAOAAAAAAAAAAEAIAAAACcBAABkcnMv&#10;ZTJvRG9jLnhtbFBLBQYAAAAABgAGAFkBAABfBQAAAAA=&#10;">
                <v:fill on="f" focussize="0,0"/>
                <v:stroke weight="1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4267749376" behindDoc="0" locked="0" layoutInCell="1" allowOverlap="1">
                <wp:simplePos x="0" y="0"/>
                <wp:positionH relativeFrom="column">
                  <wp:posOffset>896620</wp:posOffset>
                </wp:positionH>
                <wp:positionV relativeFrom="paragraph">
                  <wp:posOffset>128905</wp:posOffset>
                </wp:positionV>
                <wp:extent cx="1854200" cy="14605"/>
                <wp:effectExtent l="0" t="6350" r="12700" b="7620"/>
                <wp:wrapNone/>
                <wp:docPr id="60" name="直接连接符 60"/>
                <wp:cNvGraphicFramePr/>
                <a:graphic xmlns:a="http://schemas.openxmlformats.org/drawingml/2006/main">
                  <a:graphicData uri="http://schemas.microsoft.com/office/word/2010/wordprocessingShape">
                    <wps:wsp>
                      <wps:cNvCnPr/>
                      <wps:spPr>
                        <a:xfrm>
                          <a:off x="1658620" y="2101850"/>
                          <a:ext cx="1854200" cy="146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0.6pt;margin-top:10.15pt;height:1.15pt;width:146pt;z-index:-27217920;mso-width-relative:page;mso-height-relative:page;" filled="f" stroked="t" coordsize="21600,21600" o:gfxdata="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415R11wAAAAkBAAAPAAAAAAAAAAEA&#10;IAAAACIAAABkcnMvZG93bnJldi54bWxQSwECFAAUAAAACACHTuJAuhI4mtcBAAB2AwAADgAAAAAA&#10;AAABACAAAAAmAQAAZHJzL2Uyb0RvYy54bWxQSwUGAAAAAAYABgBZAQAAbwUAAAAA&#10;">
                <v:fill on="f" focussize="0,0"/>
                <v:stroke weight="1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4267748352" behindDoc="0" locked="0" layoutInCell="1" allowOverlap="1">
                <wp:simplePos x="0" y="0"/>
                <wp:positionH relativeFrom="column">
                  <wp:posOffset>887095</wp:posOffset>
                </wp:positionH>
                <wp:positionV relativeFrom="paragraph">
                  <wp:posOffset>128905</wp:posOffset>
                </wp:positionV>
                <wp:extent cx="0" cy="285750"/>
                <wp:effectExtent l="38100" t="0" r="38100" b="0"/>
                <wp:wrapNone/>
                <wp:docPr id="7" name="直接箭头连接符 7"/>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9.85pt;margin-top:10.15pt;height:22.5pt;width:0pt;z-index:-27218944;mso-width-relative:page;mso-height-relative:page;" filled="f" stroked="t" coordsize="21600,21600" o:gfxdata="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0M+BtUAAAAJAQAADwAAAAAAAAABACAAAAAiAAAAZHJzL2Rvd25yZXYueG1s&#10;UEsBAhQAFAAAAAgAh07iQOD6rN/7AQAAvAMAAA4AAAAAAAAAAQAgAAAAJAEAAGRycy9lMm9Eb2Mu&#10;eG1sUEsFBgAAAAAGAAYAWQEAAJEFAAAAAA==&#10;">
                <v:fill on="f" focussize="0,0"/>
                <v:stroke weight="0.5pt" color="#000000 [3213]" miterlimit="8" joinstyle="miter" endarrow="block"/>
                <v:imagedata o:title=""/>
                <o:lock v:ext="edit" aspectratio="f"/>
              </v:shape>
            </w:pict>
          </mc:Fallback>
        </mc:AlternateContent>
      </w:r>
    </w:p>
    <w:p>
      <w:pPr>
        <w:spacing w:after="0"/>
        <w:rPr>
          <w:sz w:val="24"/>
        </w:rPr>
      </w:pPr>
      <w:r>
        <w:rPr>
          <w:sz w:val="24"/>
        </w:rPr>
        <mc:AlternateContent>
          <mc:Choice Requires="wps">
            <w:drawing>
              <wp:anchor distT="0" distB="0" distL="114300" distR="114300" simplePos="0" relativeHeight="2120875008" behindDoc="0" locked="0" layoutInCell="1" allowOverlap="1">
                <wp:simplePos x="0" y="0"/>
                <wp:positionH relativeFrom="column">
                  <wp:posOffset>1163955</wp:posOffset>
                </wp:positionH>
                <wp:positionV relativeFrom="paragraph">
                  <wp:posOffset>309245</wp:posOffset>
                </wp:positionV>
                <wp:extent cx="438150" cy="0"/>
                <wp:effectExtent l="0" t="38100" r="0" b="38100"/>
                <wp:wrapNone/>
                <wp:docPr id="273" name="直接箭头连接符 273"/>
                <wp:cNvGraphicFramePr/>
                <a:graphic xmlns:a="http://schemas.openxmlformats.org/drawingml/2006/main">
                  <a:graphicData uri="http://schemas.microsoft.com/office/word/2010/wordprocessingShape">
                    <wps:wsp>
                      <wps:cNvCnPr/>
                      <wps:spPr>
                        <a:xfrm>
                          <a:off x="0" y="0"/>
                          <a:ext cx="43815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1.65pt;margin-top:24.35pt;height:0pt;width:34.5pt;z-index:2120875008;mso-width-relative:page;mso-height-relative:page;" filled="f" stroked="t" coordsize="21600,21600" o:gfxdata="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UV/qZ1AAAAAkBAAAPAAAAAAAAAAEAIAAAACIAAABkcnMvZG93bnJldi54bWxQ&#10;SwECFAAUAAAACACHTuJAOwCzj/sBAADAAwAADgAAAAAAAAABACAAAAAjAQAAZHJzL2Uyb0RvYy54&#10;bWxQSwUGAAAAAAYABgBZAQAAkAU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7715200" behindDoc="0" locked="0" layoutInCell="1" allowOverlap="1">
                <wp:simplePos x="0" y="0"/>
                <wp:positionH relativeFrom="column">
                  <wp:posOffset>5240020</wp:posOffset>
                </wp:positionH>
                <wp:positionV relativeFrom="paragraph">
                  <wp:posOffset>175895</wp:posOffset>
                </wp:positionV>
                <wp:extent cx="476885" cy="286385"/>
                <wp:effectExtent l="4445" t="4445" r="13970" b="13970"/>
                <wp:wrapNone/>
                <wp:docPr id="249" name="文本框 249"/>
                <wp:cNvGraphicFramePr/>
                <a:graphic xmlns:a="http://schemas.openxmlformats.org/drawingml/2006/main">
                  <a:graphicData uri="http://schemas.microsoft.com/office/word/2010/wordprocessingShape">
                    <wps:wsp>
                      <wps:cNvSpPr txBox="1"/>
                      <wps:spPr>
                        <a:xfrm>
                          <a:off x="0" y="0"/>
                          <a:ext cx="476885" cy="28638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检验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2.6pt;margin-top:13.85pt;height:22.55pt;width:37.55pt;z-index:257715200;mso-width-relative:page;mso-height-relative:page;" fillcolor="#FFFFFF [3201]" filled="t" stroked="t" coordsize="21600,21600" o:gfxdata="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oFdetYAAAAJAQAADwAAAAAAAAABACAAAAAiAAAAZHJzL2Rv&#10;d25yZXYueG1sUEsBAhQAFAAAAAgAh07iQNw5H0M8AgAAbQQAAA4AAAAAAAAAAQAgAAAAJQEAAGRy&#10;cy9lMm9Eb2MueG1sUEsFBgAAAAAGAAYAWQEAANMFAAAA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检验</w:t>
                      </w:r>
                    </w:p>
                  </w:txbxContent>
                </v:textbox>
              </v:shape>
            </w:pict>
          </mc:Fallback>
        </mc:AlternateContent>
      </w:r>
      <w:r>
        <w:rPr>
          <w:sz w:val="24"/>
        </w:rPr>
        <mc:AlternateContent>
          <mc:Choice Requires="wps">
            <w:drawing>
              <wp:anchor distT="0" distB="0" distL="114300" distR="114300" simplePos="0" relativeHeight="1007811584" behindDoc="0" locked="0" layoutInCell="1" allowOverlap="1">
                <wp:simplePos x="0" y="0"/>
                <wp:positionH relativeFrom="column">
                  <wp:posOffset>4802505</wp:posOffset>
                </wp:positionH>
                <wp:positionV relativeFrom="paragraph">
                  <wp:posOffset>318770</wp:posOffset>
                </wp:positionV>
                <wp:extent cx="438150" cy="0"/>
                <wp:effectExtent l="0" t="38100" r="0" b="38100"/>
                <wp:wrapNone/>
                <wp:docPr id="277" name="直接箭头连接符 277"/>
                <wp:cNvGraphicFramePr/>
                <a:graphic xmlns:a="http://schemas.openxmlformats.org/drawingml/2006/main">
                  <a:graphicData uri="http://schemas.microsoft.com/office/word/2010/wordprocessingShape">
                    <wps:wsp>
                      <wps:cNvCnPr/>
                      <wps:spPr>
                        <a:xfrm>
                          <a:off x="0" y="0"/>
                          <a:ext cx="43815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78.15pt;margin-top:25.1pt;height:0pt;width:34.5pt;z-index:1007811584;mso-width-relative:page;mso-height-relative:page;" filled="f" stroked="t" coordsize="21600,21600" o:gfxdata="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fsrRDVAAAACQEAAA8AAAAAAAAAAQAgAAAAIgAAAGRycy9kb3ducmV2Lnht&#10;bFBLAQIUABQAAAAIAIdO4kBlDfdB/AEAAMADAAAOAAAAAAAAAAEAIAAAACQBAABkcnMvZTJvRG9j&#10;LnhtbFBLBQYAAAAABgAGAFkBAACSBQ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9229696" behindDoc="0" locked="0" layoutInCell="1" allowOverlap="1">
                <wp:simplePos x="0" y="0"/>
                <wp:positionH relativeFrom="column">
                  <wp:posOffset>4325620</wp:posOffset>
                </wp:positionH>
                <wp:positionV relativeFrom="paragraph">
                  <wp:posOffset>185420</wp:posOffset>
                </wp:positionV>
                <wp:extent cx="467360" cy="286385"/>
                <wp:effectExtent l="4445" t="4445" r="23495" b="13970"/>
                <wp:wrapNone/>
                <wp:docPr id="250" name="文本框 250"/>
                <wp:cNvGraphicFramePr/>
                <a:graphic xmlns:a="http://schemas.openxmlformats.org/drawingml/2006/main">
                  <a:graphicData uri="http://schemas.microsoft.com/office/word/2010/wordprocessingShape">
                    <wps:wsp>
                      <wps:cNvSpPr txBox="1"/>
                      <wps:spPr>
                        <a:xfrm>
                          <a:off x="0" y="0"/>
                          <a:ext cx="467360" cy="28638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缝合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6pt;margin-top:14.6pt;height:22.55pt;width:36.8pt;z-index:259229696;mso-width-relative:page;mso-height-relative:page;" fillcolor="#FFFFFF [3201]" filled="t" stroked="t" coordsize="21600,21600" o:gfxdata="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B7qZtYAAAAJAQAADwAAAAAAAAABACAAAAAiAAAAZHJzL2Rvd25yZXYu&#10;eG1sUEsBAhQAFAAAAAgAh07iQGhBIv42AgAAbQQAAA4AAAAAAAAAAQAgAAAAJQEAAGRycy9lMm9E&#10;b2MueG1sUEsFBgAAAAAGAAYAWQEAAM0FAAAA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缝合</w:t>
                      </w:r>
                    </w:p>
                  </w:txbxContent>
                </v:textbox>
              </v:shape>
            </w:pict>
          </mc:Fallback>
        </mc:AlternateContent>
      </w:r>
      <w:r>
        <w:rPr>
          <w:sz w:val="24"/>
        </w:rPr>
        <mc:AlternateContent>
          <mc:Choice Requires="wps">
            <w:drawing>
              <wp:anchor distT="0" distB="0" distL="114300" distR="114300" simplePos="0" relativeHeight="3433561088" behindDoc="0" locked="0" layoutInCell="1" allowOverlap="1">
                <wp:simplePos x="0" y="0"/>
                <wp:positionH relativeFrom="column">
                  <wp:posOffset>3888105</wp:posOffset>
                </wp:positionH>
                <wp:positionV relativeFrom="paragraph">
                  <wp:posOffset>318770</wp:posOffset>
                </wp:positionV>
                <wp:extent cx="438150" cy="0"/>
                <wp:effectExtent l="0" t="38100" r="0" b="38100"/>
                <wp:wrapNone/>
                <wp:docPr id="276" name="直接箭头连接符 276"/>
                <wp:cNvGraphicFramePr/>
                <a:graphic xmlns:a="http://schemas.openxmlformats.org/drawingml/2006/main">
                  <a:graphicData uri="http://schemas.microsoft.com/office/word/2010/wordprocessingShape">
                    <wps:wsp>
                      <wps:cNvCnPr/>
                      <wps:spPr>
                        <a:xfrm>
                          <a:off x="0" y="0"/>
                          <a:ext cx="43815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6.15pt;margin-top:25.1pt;height:0pt;width:34.5pt;z-index:-861406208;mso-width-relative:page;mso-height-relative:page;" filled="f" stroked="t" coordsize="21600,21600" o:gfxdata="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PzeGHVAAAACQEAAA8AAAAAAAAAAQAgAAAAIgAAAGRycy9kb3ducmV2Lnht&#10;bFBLAQIUABQAAAAIAIdO4kASjd6f/AEAAMADAAAOAAAAAAAAAAEAIAAAACQBAABkcnMvZTJvRG9j&#10;LnhtbFBLBQYAAAAABgAGAFkBAACSBQ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60744192" behindDoc="0" locked="0" layoutInCell="1" allowOverlap="1">
                <wp:simplePos x="0" y="0"/>
                <wp:positionH relativeFrom="column">
                  <wp:posOffset>3411220</wp:posOffset>
                </wp:positionH>
                <wp:positionV relativeFrom="paragraph">
                  <wp:posOffset>185420</wp:posOffset>
                </wp:positionV>
                <wp:extent cx="467360" cy="286385"/>
                <wp:effectExtent l="4445" t="4445" r="23495" b="13970"/>
                <wp:wrapNone/>
                <wp:docPr id="251" name="文本框 251"/>
                <wp:cNvGraphicFramePr/>
                <a:graphic xmlns:a="http://schemas.openxmlformats.org/drawingml/2006/main">
                  <a:graphicData uri="http://schemas.microsoft.com/office/word/2010/wordprocessingShape">
                    <wps:wsp>
                      <wps:cNvSpPr txBox="1"/>
                      <wps:spPr>
                        <a:xfrm>
                          <a:off x="0" y="0"/>
                          <a:ext cx="467360" cy="28638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6pt;margin-top:14.6pt;height:22.55pt;width:36.8pt;z-index:260744192;mso-width-relative:page;mso-height-relative:page;" fillcolor="#FFFFFF [3201]" filled="t" stroked="t" coordsize="21600,21600" o:gfxdata="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P32gfWAAAACQEAAA8AAAAAAAAAAQAgAAAAIgAAAGRycy9kb3du&#10;cmV2LnhtbFBLAQIUABQAAAAIAIdO4kDp1J22OgIAAG0EAAAOAAAAAAAAAAEAIAAAACUBAABkcnMv&#10;ZTJvRG9jLnhtbFBLBQYAAAAABgAGAFkBAADRBQAAA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套口</w:t>
                      </w:r>
                    </w:p>
                  </w:txbxContent>
                </v:textbox>
              </v:shape>
            </w:pict>
          </mc:Fallback>
        </mc:AlternateContent>
      </w:r>
      <w:r>
        <w:rPr>
          <w:sz w:val="24"/>
        </w:rPr>
        <mc:AlternateContent>
          <mc:Choice Requires="wps">
            <w:drawing>
              <wp:anchor distT="0" distB="0" distL="114300" distR="114300" simplePos="0" relativeHeight="1564343296" behindDoc="0" locked="0" layoutInCell="1" allowOverlap="1">
                <wp:simplePos x="0" y="0"/>
                <wp:positionH relativeFrom="column">
                  <wp:posOffset>2973705</wp:posOffset>
                </wp:positionH>
                <wp:positionV relativeFrom="paragraph">
                  <wp:posOffset>328295</wp:posOffset>
                </wp:positionV>
                <wp:extent cx="438150" cy="0"/>
                <wp:effectExtent l="0" t="38100" r="0" b="38100"/>
                <wp:wrapNone/>
                <wp:docPr id="275" name="直接箭头连接符 275"/>
                <wp:cNvGraphicFramePr/>
                <a:graphic xmlns:a="http://schemas.openxmlformats.org/drawingml/2006/main">
                  <a:graphicData uri="http://schemas.microsoft.com/office/word/2010/wordprocessingShape">
                    <wps:wsp>
                      <wps:cNvCnPr/>
                      <wps:spPr>
                        <a:xfrm>
                          <a:off x="0" y="0"/>
                          <a:ext cx="43815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4.15pt;margin-top:25.85pt;height:0pt;width:34.5pt;z-index:1564343296;mso-width-relative:page;mso-height-relative:page;" filled="f" stroked="t" coordsize="21600,21600" o:gfxdata="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aOyKvVAAAACQEAAA8AAAAAAAAAAQAgAAAAIgAAAGRycy9kb3ducmV2Lnht&#10;bFBLAQIUABQAAAAIAIdO4kDKC9Um/AEAAMADAAAOAAAAAAAAAAEAIAAAACQBAABkcnMvZTJvRG9j&#10;LnhtbFBLBQYAAAAABgAGAFkBAACSBQ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62258688" behindDoc="0" locked="0" layoutInCell="1" allowOverlap="1">
                <wp:simplePos x="0" y="0"/>
                <wp:positionH relativeFrom="column">
                  <wp:posOffset>2506345</wp:posOffset>
                </wp:positionH>
                <wp:positionV relativeFrom="paragraph">
                  <wp:posOffset>194945</wp:posOffset>
                </wp:positionV>
                <wp:extent cx="467360" cy="286385"/>
                <wp:effectExtent l="4445" t="4445" r="23495" b="13970"/>
                <wp:wrapNone/>
                <wp:docPr id="252" name="文本框 252"/>
                <wp:cNvGraphicFramePr/>
                <a:graphic xmlns:a="http://schemas.openxmlformats.org/drawingml/2006/main">
                  <a:graphicData uri="http://schemas.microsoft.com/office/word/2010/wordprocessingShape">
                    <wps:wsp>
                      <wps:cNvSpPr txBox="1"/>
                      <wps:spPr>
                        <a:xfrm>
                          <a:off x="0" y="0"/>
                          <a:ext cx="467360" cy="28638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验片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35pt;margin-top:15.35pt;height:22.55pt;width:36.8pt;z-index:262258688;mso-width-relative:page;mso-height-relative:page;" fillcolor="#FFFFFF [3201]" filled="t" stroked="t" coordsize="21600,21600" o:gfxdata="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IPbPk1gAAAAkBAAAPAAAAAAAAAAEAIAAAACIAAABkcnMvZG93&#10;bnJldi54bWxQSwECFAAUAAAACACHTuJAampdbzsCAABtBAAADgAAAAAAAAABACAAAAAlAQAAZHJz&#10;L2Uyb0RvYy54bWxQSwUGAAAAAAYABgBZAQAA0gUAAA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验片</w:t>
                      </w:r>
                    </w:p>
                  </w:txbxContent>
                </v:textbox>
              </v:shape>
            </w:pict>
          </mc:Fallback>
        </mc:AlternateContent>
      </w:r>
      <w:r>
        <w:rPr>
          <w:sz w:val="24"/>
        </w:rPr>
        <mc:AlternateContent>
          <mc:Choice Requires="wps">
            <w:drawing>
              <wp:anchor distT="0" distB="0" distL="114300" distR="114300" simplePos="0" relativeHeight="3990092800" behindDoc="0" locked="0" layoutInCell="1" allowOverlap="1">
                <wp:simplePos x="0" y="0"/>
                <wp:positionH relativeFrom="column">
                  <wp:posOffset>2068830</wp:posOffset>
                </wp:positionH>
                <wp:positionV relativeFrom="paragraph">
                  <wp:posOffset>328295</wp:posOffset>
                </wp:positionV>
                <wp:extent cx="438150" cy="0"/>
                <wp:effectExtent l="0" t="38100" r="0" b="38100"/>
                <wp:wrapNone/>
                <wp:docPr id="274" name="直接箭头连接符 274"/>
                <wp:cNvGraphicFramePr/>
                <a:graphic xmlns:a="http://schemas.openxmlformats.org/drawingml/2006/main">
                  <a:graphicData uri="http://schemas.microsoft.com/office/word/2010/wordprocessingShape">
                    <wps:wsp>
                      <wps:cNvCnPr/>
                      <wps:spPr>
                        <a:xfrm>
                          <a:off x="0" y="0"/>
                          <a:ext cx="43815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2.9pt;margin-top:25.85pt;height:0pt;width:34.5pt;z-index:-304874496;mso-width-relative:page;mso-height-relative:page;" filled="f" stroked="t" coordsize="21600,21600" o:gfxdata="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OK3DVAAAACQEAAA8AAAAAAAAAAQAgAAAAIgAAAGRycy9kb3ducmV2Lnht&#10;bFBLAQIUABQAAAAIAIdO4kC9i/z4/AEAAMADAAAOAAAAAAAAAAEAIAAAACQBAABkcnMvZTJvRG9j&#10;LnhtbFBLBQYAAAAABgAGAFkBAACSBQ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63773184" behindDoc="0" locked="0" layoutInCell="1" allowOverlap="1">
                <wp:simplePos x="0" y="0"/>
                <wp:positionH relativeFrom="column">
                  <wp:posOffset>1591945</wp:posOffset>
                </wp:positionH>
                <wp:positionV relativeFrom="paragraph">
                  <wp:posOffset>185420</wp:posOffset>
                </wp:positionV>
                <wp:extent cx="467360" cy="286385"/>
                <wp:effectExtent l="4445" t="4445" r="23495" b="13970"/>
                <wp:wrapNone/>
                <wp:docPr id="253" name="文本框 253"/>
                <wp:cNvGraphicFramePr/>
                <a:graphic xmlns:a="http://schemas.openxmlformats.org/drawingml/2006/main">
                  <a:graphicData uri="http://schemas.microsoft.com/office/word/2010/wordprocessingShape">
                    <wps:wsp>
                      <wps:cNvSpPr txBox="1"/>
                      <wps:spPr>
                        <a:xfrm>
                          <a:off x="0" y="0"/>
                          <a:ext cx="467360" cy="28638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织片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35pt;margin-top:14.6pt;height:22.55pt;width:36.8pt;z-index:263773184;mso-width-relative:page;mso-height-relative:page;" fillcolor="#FFFFFF [3201]" filled="t" stroked="t" coordsize="21600,21600" o:gfxdata="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maJY1gAAAAkBAAAPAAAAAAAAAAEAIAAAACIAAABkcnMvZG93&#10;bnJldi54bWxQSwECFAAUAAAACACHTuJA6//iJzsCAABtBAAADgAAAAAAAAABACAAAAAlAQAAZHJz&#10;L2Uyb0RvYy54bWxQSwUGAAAAAAYABgBZAQAA0gUAAA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织片</w:t>
                      </w:r>
                    </w:p>
                  </w:txbxContent>
                </v:textbox>
              </v:shape>
            </w:pict>
          </mc:Fallback>
        </mc:AlternateContent>
      </w:r>
      <w:r>
        <w:rPr>
          <w:sz w:val="24"/>
        </w:rPr>
        <mc:AlternateContent>
          <mc:Choice Requires="wps">
            <w:drawing>
              <wp:anchor distT="0" distB="0" distL="114300" distR="114300" simplePos="0" relativeHeight="1186266112" behindDoc="0" locked="0" layoutInCell="1" allowOverlap="1">
                <wp:simplePos x="0" y="0"/>
                <wp:positionH relativeFrom="column">
                  <wp:posOffset>240030</wp:posOffset>
                </wp:positionH>
                <wp:positionV relativeFrom="paragraph">
                  <wp:posOffset>318770</wp:posOffset>
                </wp:positionV>
                <wp:extent cx="438150" cy="0"/>
                <wp:effectExtent l="0" t="38100" r="0" b="38100"/>
                <wp:wrapNone/>
                <wp:docPr id="272" name="直接箭头连接符 272"/>
                <wp:cNvGraphicFramePr/>
                <a:graphic xmlns:a="http://schemas.openxmlformats.org/drawingml/2006/main">
                  <a:graphicData uri="http://schemas.microsoft.com/office/word/2010/wordprocessingShape">
                    <wps:wsp>
                      <wps:cNvCnPr/>
                      <wps:spPr>
                        <a:xfrm>
                          <a:off x="3259455" y="3777615"/>
                          <a:ext cx="43815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9pt;margin-top:25.1pt;height:0pt;width:34.5pt;z-index:1186266112;mso-width-relative:page;mso-height-relative:page;" filled="f" stroked="t" coordsize="21600,21600" o:gfxdata="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W73T3UAAAACAEAAA8AAAAAAAAAAQAgAAAAIgAA&#10;AGRycy9kb3ducmV2LnhtbFBLAQIUABQAAAAIAIdO4kCMg2TiDAIAAMwDAAAOAAAAAAAAAAEAIAAA&#10;ACMBAABkcnMvZTJvRG9jLnhtbFBLBQYAAAAABgAGAFkBAAChBQ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2413952" behindDoc="0" locked="0" layoutInCell="1" allowOverlap="1">
                <wp:simplePos x="0" y="0"/>
                <wp:positionH relativeFrom="column">
                  <wp:posOffset>-170180</wp:posOffset>
                </wp:positionH>
                <wp:positionV relativeFrom="paragraph">
                  <wp:posOffset>204470</wp:posOffset>
                </wp:positionV>
                <wp:extent cx="467360" cy="286385"/>
                <wp:effectExtent l="0" t="0" r="8890" b="18415"/>
                <wp:wrapNone/>
                <wp:docPr id="241" name="文本框 241"/>
                <wp:cNvGraphicFramePr/>
                <a:graphic xmlns:a="http://schemas.openxmlformats.org/drawingml/2006/main">
                  <a:graphicData uri="http://schemas.microsoft.com/office/word/2010/wordprocessingShape">
                    <wps:wsp>
                      <wps:cNvSpPr txBox="1"/>
                      <wps:spPr>
                        <a:xfrm>
                          <a:off x="906145" y="2044065"/>
                          <a:ext cx="467360" cy="286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毛线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pt;margin-top:16.1pt;height:22.55pt;width:36.8pt;z-index:252413952;mso-width-relative:page;mso-height-relative:page;" fillcolor="#FFFFFF [3201]" filled="t" stroked="f" coordsize="21600,21600" o:gfxdata="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GcQH9MAAAAIAQAADwAAAAAAAAABACAAAAAiAAAAZHJz&#10;L2Rvd25yZXYueG1sUEsBAhQAFAAAAAgAh07iQAiHvTJCAgAATwQAAA4AAAAAAAAAAQAgAAAAIgEA&#10;AGRycy9lMm9Eb2MueG1sUEsFBgAAAAAGAAYAWQEAANYFAAAAAA==&#10;">
                <v:fill on="t" focussize="0,0"/>
                <v:stroke on="f" weight="0.5pt"/>
                <v:imagedata o:title=""/>
                <o:lock v:ext="edit" aspectratio="f"/>
                <v:textbox>
                  <w:txbxContent>
                    <w:p>
                      <w:pPr>
                        <w:rPr>
                          <w:rFonts w:hint="eastAsia" w:eastAsia="宋体"/>
                          <w:lang w:eastAsia="zh-CN"/>
                        </w:rPr>
                      </w:pPr>
                      <w:r>
                        <w:rPr>
                          <w:rFonts w:hint="eastAsia"/>
                          <w:lang w:eastAsia="zh-CN"/>
                        </w:rPr>
                        <w:t>毛线</w:t>
                      </w:r>
                    </w:p>
                  </w:txbxContent>
                </v:textbox>
              </v:shape>
            </w:pict>
          </mc:Fallback>
        </mc:AlternateContent>
      </w:r>
      <w:r>
        <w:rPr>
          <w:sz w:val="24"/>
        </w:rPr>
        <mc:AlternateContent>
          <mc:Choice Requires="wps">
            <w:drawing>
              <wp:anchor distT="0" distB="0" distL="114300" distR="114300" simplePos="0" relativeHeight="265287680" behindDoc="0" locked="0" layoutInCell="1" allowOverlap="1">
                <wp:simplePos x="0" y="0"/>
                <wp:positionH relativeFrom="column">
                  <wp:posOffset>687070</wp:posOffset>
                </wp:positionH>
                <wp:positionV relativeFrom="paragraph">
                  <wp:posOffset>185420</wp:posOffset>
                </wp:positionV>
                <wp:extent cx="467360" cy="286385"/>
                <wp:effectExtent l="4445" t="4445" r="23495" b="13970"/>
                <wp:wrapNone/>
                <wp:docPr id="254" name="文本框 254"/>
                <wp:cNvGraphicFramePr/>
                <a:graphic xmlns:a="http://schemas.openxmlformats.org/drawingml/2006/main">
                  <a:graphicData uri="http://schemas.microsoft.com/office/word/2010/wordprocessingShape">
                    <wps:wsp>
                      <wps:cNvSpPr txBox="1"/>
                      <wps:spPr>
                        <a:xfrm>
                          <a:off x="0" y="0"/>
                          <a:ext cx="467360" cy="28638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倒纱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1pt;margin-top:14.6pt;height:22.55pt;width:36.8pt;z-index:265287680;mso-width-relative:page;mso-height-relative:page;" fillcolor="#FFFFFF [3201]" filled="t" stroked="t" coordsize="21600,21600" o:gfxdata="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G8v0DVAAAACQEAAA8AAAAAAAAAAQAgAAAAIgAAAGRycy9kb3du&#10;cmV2LnhtbFBLAQIUABQAAAAIAIdO4kAtEa0HOwIAAG0EAAAOAAAAAAAAAAEAIAAAACQBAABkcnMv&#10;ZTJvRG9jLnhtbFBLBQYAAAAABgAGAFkBAADRBQAAA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倒纱</w:t>
                      </w:r>
                    </w:p>
                  </w:txbxContent>
                </v:textbox>
              </v:shape>
            </w:pict>
          </mc:Fallback>
        </mc:AlternateContent>
      </w:r>
    </w:p>
    <w:p>
      <w:pPr>
        <w:bidi w:val="0"/>
        <w:rPr>
          <w:rFonts w:ascii="Times New Roman" w:hAnsi="Times New Roman" w:eastAsia="宋体" w:cs="Times New Roman"/>
          <w:kern w:val="2"/>
          <w:sz w:val="21"/>
          <w:szCs w:val="21"/>
          <w:lang w:val="en-US" w:eastAsia="zh-CN" w:bidi="ar-SA"/>
        </w:rPr>
      </w:pPr>
      <w:r>
        <w:rPr>
          <w:sz w:val="24"/>
        </w:rPr>
        <mc:AlternateContent>
          <mc:Choice Requires="wps">
            <w:drawing>
              <wp:anchor distT="0" distB="0" distL="114300" distR="114300" simplePos="0" relativeHeight="155844608" behindDoc="0" locked="0" layoutInCell="1" allowOverlap="1">
                <wp:simplePos x="0" y="0"/>
                <wp:positionH relativeFrom="column">
                  <wp:posOffset>5318125</wp:posOffset>
                </wp:positionH>
                <wp:positionV relativeFrom="paragraph">
                  <wp:posOffset>224790</wp:posOffset>
                </wp:positionV>
                <wp:extent cx="0" cy="171450"/>
                <wp:effectExtent l="6350" t="0" r="12700" b="0"/>
                <wp:wrapNone/>
                <wp:docPr id="92" name="直接连接符 92"/>
                <wp:cNvGraphicFramePr/>
                <a:graphic xmlns:a="http://schemas.openxmlformats.org/drawingml/2006/main">
                  <a:graphicData uri="http://schemas.microsoft.com/office/word/2010/wordprocessingShape">
                    <wps:wsp>
                      <wps:cNvCnPr/>
                      <wps:spPr>
                        <a:xfrm>
                          <a:off x="0" y="0"/>
                          <a:ext cx="0" cy="1714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18.75pt;margin-top:17.7pt;height:13.5pt;width:0pt;z-index:155844608;mso-width-relative:page;mso-height-relative:page;" filled="f" stroked="t" coordsize="21600,21600" o:gfxdata="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alqNgAAAAJAQAADwAAAAAAAAABACAAAAAiAAAAZHJzL2Rv&#10;d25yZXYueG1sUEsBAhQAFAAAAAgAh07iQNQCkn/IAQAAZQMAAA4AAAAAAAAAAQAgAAAAJwEAAGRy&#10;cy9lMm9Eb2MueG1sUEsFBgAAAAAGAAYAWQEAAGEFAAAAAA==&#10;">
                <v:fill on="f" focussize="0,0"/>
                <v:stroke weight="1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712080384" behindDoc="0" locked="0" layoutInCell="1" allowOverlap="1">
                <wp:simplePos x="0" y="0"/>
                <wp:positionH relativeFrom="column">
                  <wp:posOffset>5509260</wp:posOffset>
                </wp:positionH>
                <wp:positionV relativeFrom="paragraph">
                  <wp:posOffset>226060</wp:posOffset>
                </wp:positionV>
                <wp:extent cx="4445" cy="532765"/>
                <wp:effectExtent l="34290" t="0" r="37465" b="635"/>
                <wp:wrapNone/>
                <wp:docPr id="261" name="直接箭头连接符 261"/>
                <wp:cNvGraphicFramePr/>
                <a:graphic xmlns:a="http://schemas.openxmlformats.org/drawingml/2006/main">
                  <a:graphicData uri="http://schemas.microsoft.com/office/word/2010/wordprocessingShape">
                    <wps:wsp>
                      <wps:cNvCnPr/>
                      <wps:spPr>
                        <a:xfrm>
                          <a:off x="0" y="0"/>
                          <a:ext cx="4445" cy="53276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33.8pt;margin-top:17.8pt;height:41.95pt;width:0.35pt;z-index:712080384;mso-width-relative:page;mso-height-relative:page;" filled="f" stroked="t" coordsize="21600,21600" o:gfxdata="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bRG5NcAAAAKAQAADwAAAAAAAAABACAAAAAiAAAAZHJzL2Rv&#10;d25yZXYueG1sUEsBAhQAFAAAAAgAh07iQPKVSl8CAgAAwwMAAA4AAAAAAAAAAQAgAAAAJgEAAGRy&#10;cy9lMm9Eb2MueG1sUEsFBgAAAAAGAAYAWQEAAJoFAAAAAA==&#10;">
                <v:fill on="f" focussize="0,0"/>
                <v:stroke weight="0.5pt" color="#000000 [3213]" miterlimit="8" joinstyle="miter" endarrow="block"/>
                <v:imagedata o:title=""/>
                <o:lock v:ext="edit" aspectratio="f"/>
              </v:shape>
            </w:pict>
          </mc:Fallback>
        </mc:AlternateContent>
      </w:r>
    </w:p>
    <w:p>
      <w:pPr>
        <w:tabs>
          <w:tab w:val="left" w:pos="8762"/>
        </w:tabs>
        <w:bidi w:val="0"/>
        <w:rPr>
          <w:rFonts w:hint="eastAsia"/>
          <w:lang w:val="en-US" w:eastAsia="zh-CN"/>
        </w:rPr>
      </w:pPr>
      <w:r>
        <w:rPr>
          <w:sz w:val="24"/>
        </w:rPr>
        <mc:AlternateContent>
          <mc:Choice Requires="wps">
            <w:drawing>
              <wp:anchor distT="0" distB="0" distL="114300" distR="114300" simplePos="0" relativeHeight="155844608" behindDoc="0" locked="0" layoutInCell="1" allowOverlap="1">
                <wp:simplePos x="0" y="0"/>
                <wp:positionH relativeFrom="column">
                  <wp:posOffset>2889250</wp:posOffset>
                </wp:positionH>
                <wp:positionV relativeFrom="paragraph">
                  <wp:posOffset>156210</wp:posOffset>
                </wp:positionV>
                <wp:extent cx="2428875" cy="0"/>
                <wp:effectExtent l="0" t="0" r="0" b="0"/>
                <wp:wrapNone/>
                <wp:docPr id="91" name="直接连接符 91"/>
                <wp:cNvGraphicFramePr/>
                <a:graphic xmlns:a="http://schemas.openxmlformats.org/drawingml/2006/main">
                  <a:graphicData uri="http://schemas.microsoft.com/office/word/2010/wordprocessingShape">
                    <wps:wsp>
                      <wps:cNvCnPr/>
                      <wps:spPr>
                        <a:xfrm>
                          <a:off x="0" y="0"/>
                          <a:ext cx="242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7.5pt;margin-top:12.3pt;height:0pt;width:191.25pt;z-index:155844608;mso-width-relative:page;mso-height-relative:page;" filled="f" stroked="t" coordsize="21600,21600" o:gfxdata="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X0I3w2QAAAAkBAAAPAAAAAAAAAAEAIAAAACIAAABkcnMv&#10;ZG93bnJldi54bWxQSwECFAAUAAAACACHTuJARl99KskBAABmAwAADgAAAAAAAAABACAAAAAoAQAA&#10;ZHJzL2Uyb0RvYy54bWxQSwUGAAAAAAYABgBZAQAAYwUAAAAA&#10;">
                <v:fill on="f" focussize="0,0"/>
                <v:stroke weight="1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617933824" behindDoc="0" locked="0" layoutInCell="1" allowOverlap="1">
                <wp:simplePos x="0" y="0"/>
                <wp:positionH relativeFrom="column">
                  <wp:posOffset>3682365</wp:posOffset>
                </wp:positionH>
                <wp:positionV relativeFrom="paragraph">
                  <wp:posOffset>205105</wp:posOffset>
                </wp:positionV>
                <wp:extent cx="732790" cy="2667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73279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不需水洗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95pt;margin-top:16.15pt;height:21pt;width:57.7pt;z-index:617933824;mso-width-relative:page;mso-height-relative:page;" filled="f" stroked="f" coordsize="21600,21600" o:gfxdata="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o&#10;6E3T2wAAAAkBAAAPAAAAAAAAAAEAIAAAACIAAABkcnMvZG93bnJldi54bWxQSwECFAAUAAAACACH&#10;TuJAGHULRSECAAAbBAAADgAAAAAAAAABACAAAAAqAQAAZHJzL2Uyb0RvYy54bWxQSwUGAAAAAAYA&#10;BgBZAQAAvQUAAAAA&#10;">
                <v:fill on="f" focussize="0,0"/>
                <v:stroke on="f" weight="0.5pt"/>
                <v:imagedata o:title=""/>
                <o:lock v:ext="edit" aspectratio="f"/>
                <v:textbox>
                  <w:txbxContent>
                    <w:p>
                      <w:pPr>
                        <w:rPr>
                          <w:rFonts w:hint="eastAsia" w:eastAsia="宋体"/>
                          <w:lang w:eastAsia="zh-CN"/>
                        </w:rPr>
                      </w:pPr>
                      <w:r>
                        <w:rPr>
                          <w:rFonts w:hint="eastAsia"/>
                          <w:lang w:eastAsia="zh-CN"/>
                        </w:rPr>
                        <w:t>不需水洗</w:t>
                      </w:r>
                    </w:p>
                  </w:txbxContent>
                </v:textbox>
              </v:shape>
            </w:pict>
          </mc:Fallback>
        </mc:AlternateContent>
      </w:r>
      <w:r>
        <w:rPr>
          <w:sz w:val="24"/>
        </w:rPr>
        <mc:AlternateContent>
          <mc:Choice Requires="wps">
            <w:drawing>
              <wp:anchor distT="0" distB="0" distL="114300" distR="114300" simplePos="0" relativeHeight="434795520" behindDoc="0" locked="0" layoutInCell="1" allowOverlap="1">
                <wp:simplePos x="0" y="0"/>
                <wp:positionH relativeFrom="column">
                  <wp:posOffset>5452110</wp:posOffset>
                </wp:positionH>
                <wp:positionV relativeFrom="paragraph">
                  <wp:posOffset>64135</wp:posOffset>
                </wp:positionV>
                <wp:extent cx="638175" cy="266700"/>
                <wp:effectExtent l="0" t="0" r="0" b="0"/>
                <wp:wrapNone/>
                <wp:docPr id="112" name="文本框 112"/>
                <wp:cNvGraphicFramePr/>
                <a:graphic xmlns:a="http://schemas.openxmlformats.org/drawingml/2006/main">
                  <a:graphicData uri="http://schemas.microsoft.com/office/word/2010/wordprocessingShape">
                    <wps:wsp>
                      <wps:cNvSpPr txBox="1"/>
                      <wps:spPr>
                        <a:xfrm>
                          <a:off x="6376035" y="2865120"/>
                          <a:ext cx="63817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需水洗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9.3pt;margin-top:5.05pt;height:21pt;width:50.25pt;z-index:434795520;mso-width-relative:page;mso-height-relative:page;" filled="f" stroked="f" coordsize="21600,21600" o:gfxdata="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7NtJk2QAAAAkBAAAPAAAAAAAAAAEAIAAAACIAAABkcnMvZG93bnJldi54bWxQSwECFAAU&#10;AAAACACHTuJA/nxS3ikCAAAnBAAADgAAAAAAAAABACAAAAAoAQAAZHJzL2Uyb0RvYy54bWxQSwUG&#10;AAAAAAYABgBZAQAAwwUAAAAA&#10;">
                <v:fill on="f" focussize="0,0"/>
                <v:stroke on="f" weight="0.5pt"/>
                <v:imagedata o:title=""/>
                <o:lock v:ext="edit" aspectratio="f"/>
                <v:textbox>
                  <w:txbxContent>
                    <w:p>
                      <w:pPr>
                        <w:rPr>
                          <w:rFonts w:hint="eastAsia" w:eastAsia="宋体"/>
                          <w:lang w:eastAsia="zh-CN"/>
                        </w:rPr>
                      </w:pPr>
                      <w:r>
                        <w:rPr>
                          <w:rFonts w:hint="eastAsia"/>
                          <w:lang w:eastAsia="zh-CN"/>
                        </w:rPr>
                        <w:t>需水洗</w:t>
                      </w:r>
                    </w:p>
                  </w:txbxContent>
                </v:textbox>
              </v:shape>
            </w:pict>
          </mc:Fallback>
        </mc:AlternateContent>
      </w:r>
      <w:r>
        <w:rPr>
          <w:sz w:val="24"/>
        </w:rPr>
        <mc:AlternateContent>
          <mc:Choice Requires="wps">
            <w:drawing>
              <wp:anchor distT="0" distB="0" distL="114300" distR="114300" simplePos="0" relativeHeight="434719744" behindDoc="0" locked="0" layoutInCell="1" allowOverlap="1">
                <wp:simplePos x="0" y="0"/>
                <wp:positionH relativeFrom="column">
                  <wp:posOffset>2897505</wp:posOffset>
                </wp:positionH>
                <wp:positionV relativeFrom="paragraph">
                  <wp:posOffset>159385</wp:posOffset>
                </wp:positionV>
                <wp:extent cx="4445" cy="342265"/>
                <wp:effectExtent l="34925" t="0" r="36830" b="635"/>
                <wp:wrapNone/>
                <wp:docPr id="90" name="直接箭头连接符 90"/>
                <wp:cNvGraphicFramePr/>
                <a:graphic xmlns:a="http://schemas.openxmlformats.org/drawingml/2006/main">
                  <a:graphicData uri="http://schemas.microsoft.com/office/word/2010/wordprocessingShape">
                    <wps:wsp>
                      <wps:cNvCnPr>
                        <a:endCxn id="265" idx="0"/>
                      </wps:cNvCnPr>
                      <wps:spPr>
                        <a:xfrm>
                          <a:off x="0" y="0"/>
                          <a:ext cx="4445" cy="34226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8.15pt;margin-top:12.55pt;height:26.95pt;width:0.35pt;z-index:434719744;mso-width-relative:page;mso-height-relative:page;" filled="f" stroked="t" coordsize="21600,21600" o:gfxdata="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HkJ3U2AAAAAkBAAAPAAAAAAAAAAEA&#10;IAAAACIAAABkcnMvZG93bnJldi54bWxQSwECFAAUAAAACACHTuJAHcParg8CAADqAwAADgAAAAAA&#10;AAABACAAAAAnAQAAZHJzL2Uyb0RvYy54bWxQSwUGAAAAAAYABgBZAQAAqAUAAAAA&#10;">
                <v:fill on="f" focussize="0,0"/>
                <v:stroke weight="0.5pt" color="#000000 [3213]" miterlimit="8" joinstyle="miter" endarrow="block"/>
                <v:imagedata o:title=""/>
                <o:lock v:ext="edit" aspectratio="f"/>
              </v:shape>
            </w:pict>
          </mc:Fallback>
        </mc:AlternateContent>
      </w:r>
      <w:r>
        <w:rPr>
          <w:rFonts w:hint="eastAsia"/>
          <w:lang w:val="en-US" w:eastAsia="zh-CN"/>
        </w:rPr>
        <w:tab/>
      </w:r>
    </w:p>
    <w:p>
      <w:pPr>
        <w:pStyle w:val="2"/>
        <w:rPr>
          <w:rFonts w:hint="eastAsia"/>
          <w:lang w:val="en-US" w:eastAsia="zh-CN"/>
        </w:rPr>
      </w:pPr>
      <w:r>
        <w:rPr>
          <w:sz w:val="24"/>
        </w:rPr>
        <mc:AlternateContent>
          <mc:Choice Requires="wps">
            <w:drawing>
              <wp:anchor distT="0" distB="0" distL="114300" distR="114300" simplePos="0" relativeHeight="1185508352" behindDoc="0" locked="0" layoutInCell="1" allowOverlap="1">
                <wp:simplePos x="0" y="0"/>
                <wp:positionH relativeFrom="column">
                  <wp:posOffset>325755</wp:posOffset>
                </wp:positionH>
                <wp:positionV relativeFrom="paragraph">
                  <wp:posOffset>224155</wp:posOffset>
                </wp:positionV>
                <wp:extent cx="790575" cy="286385"/>
                <wp:effectExtent l="4445" t="4445" r="5080" b="13970"/>
                <wp:wrapNone/>
                <wp:docPr id="269" name="文本框 269"/>
                <wp:cNvGraphicFramePr/>
                <a:graphic xmlns:a="http://schemas.openxmlformats.org/drawingml/2006/main">
                  <a:graphicData uri="http://schemas.microsoft.com/office/word/2010/wordprocessingShape">
                    <wps:wsp>
                      <wps:cNvSpPr txBox="1"/>
                      <wps:spPr>
                        <a:xfrm>
                          <a:off x="0" y="0"/>
                          <a:ext cx="790575" cy="28638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成衣检验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5pt;margin-top:17.65pt;height:22.55pt;width:62.25pt;z-index:1185508352;mso-width-relative:page;mso-height-relative:page;" fillcolor="#FFFFFF [3201]" filled="t" stroked="t" coordsize="21600,21600" o:gfxdata="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3tos7dYAAAAIAQAADwAAAAAAAAABACAAAAAiAAAAZHJzL2Rv&#10;d25yZXYueG1sUEsBAhQAFAAAAAgAh07iQDTt91E8AgAAbQQAAA4AAAAAAAAAAQAgAAAAJQEAAGRy&#10;cy9lMm9Eb2MueG1sUEsFBgAAAAAGAAYAWQEAANMFAAAA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成衣检验</w:t>
                      </w:r>
                    </w:p>
                  </w:txbxContent>
                </v:textbox>
              </v:shape>
            </w:pict>
          </mc:Fallback>
        </mc:AlternateContent>
      </w:r>
      <w:r>
        <w:rPr>
          <w:sz w:val="24"/>
        </w:rPr>
        <mc:AlternateContent>
          <mc:Choice Requires="wps">
            <w:drawing>
              <wp:anchor distT="0" distB="0" distL="114300" distR="114300" simplePos="0" relativeHeight="1484796928" behindDoc="0" locked="0" layoutInCell="1" allowOverlap="1">
                <wp:simplePos x="0" y="0"/>
                <wp:positionH relativeFrom="column">
                  <wp:posOffset>1477645</wp:posOffset>
                </wp:positionH>
                <wp:positionV relativeFrom="paragraph">
                  <wp:posOffset>243205</wp:posOffset>
                </wp:positionV>
                <wp:extent cx="905510" cy="286385"/>
                <wp:effectExtent l="4445" t="4445" r="23495" b="13970"/>
                <wp:wrapNone/>
                <wp:docPr id="267" name="文本框 267"/>
                <wp:cNvGraphicFramePr/>
                <a:graphic xmlns:a="http://schemas.openxmlformats.org/drawingml/2006/main">
                  <a:graphicData uri="http://schemas.microsoft.com/office/word/2010/wordprocessingShape">
                    <wps:wsp>
                      <wps:cNvSpPr txBox="1"/>
                      <wps:spPr>
                        <a:xfrm>
                          <a:off x="0" y="0"/>
                          <a:ext cx="905510" cy="28638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钉扣、锁眼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35pt;margin-top:19.15pt;height:22.55pt;width:71.3pt;z-index:1484796928;mso-width-relative:page;mso-height-relative:page;" fillcolor="#FFFFFF [3201]" filled="t" stroked="t" coordsize="21600,21600" o:gfxdata="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0qAVdYAAAAJAQAADwAAAAAAAAABACAAAAAiAAAAZHJzL2Rv&#10;d25yZXYueG1sUEsBAhQAFAAAAAgAh07iQLtUvLw8AgAAbQQAAA4AAAAAAAAAAQAgAAAAJQEAAGRy&#10;cy9lMm9Eb2MueG1sUEsFBgAAAAAGAAYAWQEAANMFAAAA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钉扣、锁眼</w:t>
                      </w:r>
                    </w:p>
                  </w:txbxContent>
                </v:textbox>
              </v:shape>
            </w:pict>
          </mc:Fallback>
        </mc:AlternateContent>
      </w:r>
      <w:r>
        <w:rPr>
          <w:sz w:val="24"/>
        </w:rPr>
        <mc:AlternateContent>
          <mc:Choice Requires="wps">
            <w:drawing>
              <wp:anchor distT="0" distB="0" distL="114300" distR="114300" simplePos="0" relativeHeight="3015710720" behindDoc="0" locked="0" layoutInCell="1" allowOverlap="1">
                <wp:simplePos x="0" y="0"/>
                <wp:positionH relativeFrom="column">
                  <wp:posOffset>2668270</wp:posOffset>
                </wp:positionH>
                <wp:positionV relativeFrom="paragraph">
                  <wp:posOffset>271780</wp:posOffset>
                </wp:positionV>
                <wp:extent cx="467360" cy="286385"/>
                <wp:effectExtent l="4445" t="4445" r="23495" b="13970"/>
                <wp:wrapNone/>
                <wp:docPr id="265" name="文本框 265"/>
                <wp:cNvGraphicFramePr/>
                <a:graphic xmlns:a="http://schemas.openxmlformats.org/drawingml/2006/main">
                  <a:graphicData uri="http://schemas.microsoft.com/office/word/2010/wordprocessingShape">
                    <wps:wsp>
                      <wps:cNvSpPr txBox="1"/>
                      <wps:spPr>
                        <a:xfrm>
                          <a:off x="0" y="0"/>
                          <a:ext cx="467360" cy="28638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整烫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1pt;margin-top:21.4pt;height:22.55pt;width:36.8pt;z-index:-1279256576;mso-width-relative:page;mso-height-relative:page;" fillcolor="#FFFFFF [3201]" filled="t" stroked="t" coordsize="21600,21600" o:gfxdata="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MnG9UAAAAJAQAADwAAAAAAAAABACAAAAAiAAAAZHJzL2Rv&#10;d25yZXYueG1sUEsBAhQAFAAAAAgAh07iQIiWejs9AgAAbQQAAA4AAAAAAAAAAQAgAAAAJAEAAGRy&#10;cy9lMm9Eb2MueG1sUEsFBgAAAAAGAAYAWQEAANMFAAAA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整烫</w:t>
                      </w:r>
                    </w:p>
                  </w:txbxContent>
                </v:textbox>
              </v:shape>
            </w:pict>
          </mc:Fallback>
        </mc:AlternateContent>
      </w:r>
      <w:r>
        <w:rPr>
          <w:sz w:val="24"/>
        </w:rPr>
        <mc:AlternateContent>
          <mc:Choice Requires="wps">
            <w:drawing>
              <wp:anchor distT="0" distB="0" distL="114300" distR="114300" simplePos="0" relativeHeight="253171712" behindDoc="0" locked="0" layoutInCell="1" allowOverlap="1">
                <wp:simplePos x="0" y="0"/>
                <wp:positionH relativeFrom="column">
                  <wp:posOffset>3487420</wp:posOffset>
                </wp:positionH>
                <wp:positionV relativeFrom="paragraph">
                  <wp:posOffset>281305</wp:posOffset>
                </wp:positionV>
                <wp:extent cx="467360" cy="286385"/>
                <wp:effectExtent l="4445" t="4445" r="23495" b="13970"/>
                <wp:wrapNone/>
                <wp:docPr id="243" name="文本框 243"/>
                <wp:cNvGraphicFramePr/>
                <a:graphic xmlns:a="http://schemas.openxmlformats.org/drawingml/2006/main">
                  <a:graphicData uri="http://schemas.microsoft.com/office/word/2010/wordprocessingShape">
                    <wps:wsp>
                      <wps:cNvSpPr txBox="1"/>
                      <wps:spPr>
                        <a:xfrm>
                          <a:off x="0" y="0"/>
                          <a:ext cx="467360" cy="28638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烘干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6pt;margin-top:22.15pt;height:22.55pt;width:36.8pt;z-index:253171712;mso-width-relative:page;mso-height-relative:page;" fillcolor="#FFFFFF [3201]" filled="t" stroked="t" coordsize="21600,21600" o:gfxdata="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TQb6tcAAAAJAQAADwAAAAAAAAABACAAAAAiAAAAZHJzL2Rv&#10;d25yZXYueG1sUEsBAhQAFAAAAAgAh07iQMjzFb07AgAAbQQAAA4AAAAAAAAAAQAgAAAAJgEAAGRy&#10;cy9lMm9Eb2MueG1sUEsFBgAAAAAGAAYAWQEAANMFAAAA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烘干</w:t>
                      </w:r>
                    </w:p>
                  </w:txbxContent>
                </v:textbox>
              </v:shape>
            </w:pict>
          </mc:Fallback>
        </mc:AlternateContent>
      </w:r>
      <w:r>
        <w:rPr>
          <w:sz w:val="24"/>
        </w:rPr>
        <mc:AlternateContent>
          <mc:Choice Requires="wps">
            <w:drawing>
              <wp:anchor distT="0" distB="0" distL="114300" distR="114300" simplePos="0" relativeHeight="254686208" behindDoc="0" locked="0" layoutInCell="1" allowOverlap="1">
                <wp:simplePos x="0" y="0"/>
                <wp:positionH relativeFrom="column">
                  <wp:posOffset>4325620</wp:posOffset>
                </wp:positionH>
                <wp:positionV relativeFrom="paragraph">
                  <wp:posOffset>290830</wp:posOffset>
                </wp:positionV>
                <wp:extent cx="467360" cy="286385"/>
                <wp:effectExtent l="4445" t="4445" r="23495" b="13970"/>
                <wp:wrapNone/>
                <wp:docPr id="247" name="文本框 247"/>
                <wp:cNvGraphicFramePr/>
                <a:graphic xmlns:a="http://schemas.openxmlformats.org/drawingml/2006/main">
                  <a:graphicData uri="http://schemas.microsoft.com/office/word/2010/wordprocessingShape">
                    <wps:wsp>
                      <wps:cNvSpPr txBox="1"/>
                      <wps:spPr>
                        <a:xfrm>
                          <a:off x="0" y="0"/>
                          <a:ext cx="467360" cy="28638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脱水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6pt;margin-top:22.9pt;height:22.55pt;width:36.8pt;z-index:254686208;mso-width-relative:page;mso-height-relative:page;" fillcolor="#FFFFFF [3201]" filled="t" stroked="t" coordsize="21600,21600" o:gfxdata="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wfILtcAAAAJAQAADwAAAAAAAAABACAAAAAiAAAAZHJzL2Rv&#10;d25yZXYueG1sUEsBAhQAFAAAAAgAh07iQI2jmkQ7AgAAbQQAAA4AAAAAAAAAAQAgAAAAJgEAAGRy&#10;cy9lMm9Eb2MueG1sUEsFBgAAAAAGAAYAWQEAANMFAAAA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脱水</w:t>
                      </w:r>
                    </w:p>
                  </w:txbxContent>
                </v:textbox>
              </v:shape>
            </w:pict>
          </mc:Fallback>
        </mc:AlternateContent>
      </w:r>
      <w:r>
        <w:rPr>
          <w:sz w:val="24"/>
        </w:rPr>
        <mc:AlternateContent>
          <mc:Choice Requires="wps">
            <w:drawing>
              <wp:anchor distT="0" distB="0" distL="114300" distR="114300" simplePos="0" relativeHeight="256200704" behindDoc="0" locked="0" layoutInCell="1" allowOverlap="1">
                <wp:simplePos x="0" y="0"/>
                <wp:positionH relativeFrom="column">
                  <wp:posOffset>5240020</wp:posOffset>
                </wp:positionH>
                <wp:positionV relativeFrom="paragraph">
                  <wp:posOffset>281305</wp:posOffset>
                </wp:positionV>
                <wp:extent cx="467360" cy="286385"/>
                <wp:effectExtent l="4445" t="4445" r="23495" b="13970"/>
                <wp:wrapNone/>
                <wp:docPr id="248" name="文本框 248"/>
                <wp:cNvGraphicFramePr/>
                <a:graphic xmlns:a="http://schemas.openxmlformats.org/drawingml/2006/main">
                  <a:graphicData uri="http://schemas.microsoft.com/office/word/2010/wordprocessingShape">
                    <wps:wsp>
                      <wps:cNvSpPr txBox="1"/>
                      <wps:spPr>
                        <a:xfrm>
                          <a:off x="0" y="0"/>
                          <a:ext cx="467360" cy="28638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水洗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2.6pt;margin-top:22.15pt;height:22.55pt;width:36.8pt;z-index:256200704;mso-width-relative:page;mso-height-relative:page;" fillcolor="#FFFFFF [3201]" filled="t" stroked="t" coordsize="21600,21600" o:gfxdata="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UOEJDWAAAACQEAAA8AAAAAAAAAAQAgAAAAIgAAAGRycy9kb3du&#10;cmV2LnhtbFBLAQIUABQAAAAIAIdO4kCA67pMOgIAAG0EAAAOAAAAAAAAAAEAIAAAACUBAABkcnMv&#10;ZTJvRG9jLnhtbFBLBQYAAAAABgAGAFkBAADRBQAAA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水洗</w:t>
                      </w:r>
                    </w:p>
                  </w:txbxContent>
                </v:textbox>
              </v:shape>
            </w:pict>
          </mc:Fallback>
        </mc:AlternateContent>
      </w:r>
    </w:p>
    <w:p>
      <w:pPr>
        <w:rPr>
          <w:rFonts w:hint="eastAsia"/>
          <w:lang w:val="en-US" w:eastAsia="zh-CN"/>
        </w:rPr>
      </w:pPr>
      <w:r>
        <w:rPr>
          <w:sz w:val="24"/>
        </w:rPr>
        <mc:AlternateContent>
          <mc:Choice Requires="wps">
            <w:drawing>
              <wp:anchor distT="0" distB="0" distL="114300" distR="114300" simplePos="0" relativeHeight="2118310912" behindDoc="0" locked="0" layoutInCell="1" allowOverlap="1">
                <wp:simplePos x="0" y="0"/>
                <wp:positionH relativeFrom="column">
                  <wp:posOffset>453390</wp:posOffset>
                </wp:positionH>
                <wp:positionV relativeFrom="paragraph">
                  <wp:posOffset>212725</wp:posOffset>
                </wp:positionV>
                <wp:extent cx="0" cy="295275"/>
                <wp:effectExtent l="48895" t="0" r="65405" b="9525"/>
                <wp:wrapNone/>
                <wp:docPr id="130" name="直接箭头连接符 130"/>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7pt;margin-top:16.75pt;height:23.25pt;width:0pt;z-index:2118310912;mso-width-relative:page;mso-height-relative:page;" filled="f" stroked="t" coordsize="21600,21600" o:gfxdata="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ueCFXSAAAA&#10;BwEAAA8AAAAAAAAAAQAgAAAAIgAAAGRycy9kb3ducmV2LnhtbFBLAQIUABQAAAAIAIdO4kBuOFze&#10;6gEAAJUDAAAOAAAAAAAAAAEAIAAAACEBAABkcnMvZTJvRG9jLnhtbFBLBQYAAAAABgAGAFkBAAB9&#10;BQAAAAA=&#10;">
                <v:fill on="f" focussize="0,0"/>
                <v:stroke weight="0.5pt" color="#000000 [3213]" miterlimit="8" joinstyle="miter" dashstyle="3 1" endarrow="open"/>
                <v:imagedata o:title=""/>
                <o:lock v:ext="edit" aspectratio="f"/>
              </v:shape>
            </w:pict>
          </mc:Fallback>
        </mc:AlternateContent>
      </w:r>
      <w:r>
        <w:rPr>
          <w:sz w:val="24"/>
        </w:rPr>
        <mc:AlternateContent>
          <mc:Choice Requires="wps">
            <w:drawing>
              <wp:anchor distT="0" distB="0" distL="114300" distR="114300" simplePos="0" relativeHeight="886219776" behindDoc="0" locked="0" layoutInCell="1" allowOverlap="1">
                <wp:simplePos x="0" y="0"/>
                <wp:positionH relativeFrom="column">
                  <wp:posOffset>706755</wp:posOffset>
                </wp:positionH>
                <wp:positionV relativeFrom="paragraph">
                  <wp:posOffset>215265</wp:posOffset>
                </wp:positionV>
                <wp:extent cx="3810" cy="664210"/>
                <wp:effectExtent l="34925" t="0" r="37465" b="2540"/>
                <wp:wrapNone/>
                <wp:docPr id="270" name="直接箭头连接符 270"/>
                <wp:cNvGraphicFramePr/>
                <a:graphic xmlns:a="http://schemas.openxmlformats.org/drawingml/2006/main">
                  <a:graphicData uri="http://schemas.microsoft.com/office/word/2010/wordprocessingShape">
                    <wps:wsp>
                      <wps:cNvCnPr/>
                      <wps:spPr>
                        <a:xfrm>
                          <a:off x="0" y="0"/>
                          <a:ext cx="3810" cy="6642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5.65pt;margin-top:16.95pt;height:52.3pt;width:0.3pt;z-index:886219776;mso-width-relative:page;mso-height-relative:page;" filled="f" stroked="t" coordsize="21600,21600" o:gfxdata="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MljEzUAAAACgEAAA8AAAAAAAAAAQAgAAAAIgAAAGRycy9kb3ducmV2Lnht&#10;bFBLAQIUABQAAAAIAIdO4kD4dFDb/QEAAMMDAAAOAAAAAAAAAAEAIAAAACMBAABkcnMvZTJvRG9j&#10;LnhtbFBLBQYAAAAABgAGAFkBAACSBQ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239436800" behindDoc="0" locked="0" layoutInCell="1" allowOverlap="1">
                <wp:simplePos x="0" y="0"/>
                <wp:positionH relativeFrom="column">
                  <wp:posOffset>1154430</wp:posOffset>
                </wp:positionH>
                <wp:positionV relativeFrom="paragraph">
                  <wp:posOffset>90805</wp:posOffset>
                </wp:positionV>
                <wp:extent cx="314325" cy="10160"/>
                <wp:effectExtent l="0" t="35560" r="9525" b="30480"/>
                <wp:wrapNone/>
                <wp:docPr id="279" name="直接箭头连接符 279"/>
                <wp:cNvGraphicFramePr/>
                <a:graphic xmlns:a="http://schemas.openxmlformats.org/drawingml/2006/main">
                  <a:graphicData uri="http://schemas.microsoft.com/office/word/2010/wordprocessingShape">
                    <wps:wsp>
                      <wps:cNvCnPr/>
                      <wps:spPr>
                        <a:xfrm flipH="1" flipV="1">
                          <a:off x="0" y="0"/>
                          <a:ext cx="314325" cy="1016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0.9pt;margin-top:7.15pt;height:0.8pt;width:24.75pt;z-index:-2055530496;mso-width-relative:page;mso-height-relative:page;" filled="f" stroked="t" coordsize="21600,21600" o:gfxdata="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tyQ2/XAAAACQEAAA8AAAAAAAAAAQAg&#10;AAAAIgAAAGRycy9kb3ducmV2LnhtbFBLAQIUABQAAAAIAIdO4kB07309DwIAANgDAAAOAAAAAAAA&#10;AAEAIAAAACYBAABkcnMvZTJvRG9jLnhtbFBLBQYAAAAABgAGAFkBAACnBQ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1483282432" behindDoc="0" locked="0" layoutInCell="1" allowOverlap="1">
                <wp:simplePos x="0" y="0"/>
                <wp:positionH relativeFrom="column">
                  <wp:posOffset>2373630</wp:posOffset>
                </wp:positionH>
                <wp:positionV relativeFrom="paragraph">
                  <wp:posOffset>90805</wp:posOffset>
                </wp:positionV>
                <wp:extent cx="314325" cy="10160"/>
                <wp:effectExtent l="0" t="35560" r="9525" b="30480"/>
                <wp:wrapNone/>
                <wp:docPr id="266" name="直接箭头连接符 266"/>
                <wp:cNvGraphicFramePr/>
                <a:graphic xmlns:a="http://schemas.openxmlformats.org/drawingml/2006/main">
                  <a:graphicData uri="http://schemas.microsoft.com/office/word/2010/wordprocessingShape">
                    <wps:wsp>
                      <wps:cNvCnPr/>
                      <wps:spPr>
                        <a:xfrm flipH="1" flipV="1">
                          <a:off x="0" y="0"/>
                          <a:ext cx="314325" cy="1016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86.9pt;margin-top:7.15pt;height:0.8pt;width:24.75pt;z-index:1483282432;mso-width-relative:page;mso-height-relative:page;" filled="f" stroked="t" coordsize="21600,21600" o:gfxdata="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0T2Ek2AAAAAkBAAAPAAAAAAAAAAEA&#10;IAAAACIAAABkcnMvZG93bnJldi54bWxQSwECFAAUAAAACACHTuJAQdM8Ag8CAADYAwAADgAAAAAA&#10;AAABACAAAAAnAQAAZHJzL2Uyb0RvYy54bWxQSwUGAAAAAAYABgBZAQAAqAU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3014196224" behindDoc="0" locked="0" layoutInCell="1" allowOverlap="1">
                <wp:simplePos x="0" y="0"/>
                <wp:positionH relativeFrom="column">
                  <wp:posOffset>3145155</wp:posOffset>
                </wp:positionH>
                <wp:positionV relativeFrom="paragraph">
                  <wp:posOffset>128905</wp:posOffset>
                </wp:positionV>
                <wp:extent cx="342900" cy="635"/>
                <wp:effectExtent l="0" t="38100" r="0" b="37465"/>
                <wp:wrapNone/>
                <wp:docPr id="264" name="直接箭头连接符 264"/>
                <wp:cNvGraphicFramePr/>
                <a:graphic xmlns:a="http://schemas.openxmlformats.org/drawingml/2006/main">
                  <a:graphicData uri="http://schemas.microsoft.com/office/word/2010/wordprocessingShape">
                    <wps:wsp>
                      <wps:cNvCnPr/>
                      <wps:spPr>
                        <a:xfrm flipH="1" flipV="1">
                          <a:off x="0" y="0"/>
                          <a:ext cx="342900" cy="63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47.65pt;margin-top:10.15pt;height:0.05pt;width:27pt;z-index:-1280771072;mso-width-relative:page;mso-height-relative:page;" filled="f" stroked="t" coordsize="21600,21600" o:gfxdata="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6Mwoe1wAAAAkBAAAPAAAAAAAAAAEAIAAAACIA&#10;AABkcnMvZG93bnJldi54bWxQSwECFAAUAAAACACHTuJA0W/8TgoCAADWAwAADgAAAAAAAAABACAA&#10;AAAmAQAAZHJzL2Uyb0RvYy54bWxQSwUGAAAAAAYABgBZAQAAogU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1632926720" behindDoc="0" locked="0" layoutInCell="1" allowOverlap="1">
                <wp:simplePos x="0" y="0"/>
                <wp:positionH relativeFrom="column">
                  <wp:posOffset>3954780</wp:posOffset>
                </wp:positionH>
                <wp:positionV relativeFrom="paragraph">
                  <wp:posOffset>119380</wp:posOffset>
                </wp:positionV>
                <wp:extent cx="371475" cy="635"/>
                <wp:effectExtent l="0" t="38100" r="9525" b="37465"/>
                <wp:wrapNone/>
                <wp:docPr id="263" name="直接箭头连接符 263"/>
                <wp:cNvGraphicFramePr/>
                <a:graphic xmlns:a="http://schemas.openxmlformats.org/drawingml/2006/main">
                  <a:graphicData uri="http://schemas.microsoft.com/office/word/2010/wordprocessingShape">
                    <wps:wsp>
                      <wps:cNvCnPr/>
                      <wps:spPr>
                        <a:xfrm flipH="1" flipV="1">
                          <a:off x="0" y="0"/>
                          <a:ext cx="371475" cy="63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11.4pt;margin-top:9.4pt;height:0.05pt;width:29.25pt;z-index:1632926720;mso-width-relative:page;mso-height-relative:page;" filled="f" stroked="t" coordsize="21600,21600" o:gfxdata="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yBjI1wAAAAkBAAAPAAAAAAAAAAEAIAAAACIA&#10;AABkcnMvZG93bnJldi54bWxQSwECFAAUAAAACACHTuJAnrrX2woCAADWAwAADgAAAAAAAAABACAA&#10;AAAmAQAAZHJzL2Uyb0RvYy54bWxQSwUGAAAAAAYABgBZAQAAogU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942291968" behindDoc="0" locked="0" layoutInCell="1" allowOverlap="1">
                <wp:simplePos x="0" y="0"/>
                <wp:positionH relativeFrom="column">
                  <wp:posOffset>4792980</wp:posOffset>
                </wp:positionH>
                <wp:positionV relativeFrom="paragraph">
                  <wp:posOffset>138430</wp:posOffset>
                </wp:positionV>
                <wp:extent cx="466725" cy="635"/>
                <wp:effectExtent l="0" t="38100" r="9525" b="37465"/>
                <wp:wrapNone/>
                <wp:docPr id="262" name="直接箭头连接符 262"/>
                <wp:cNvGraphicFramePr/>
                <a:graphic xmlns:a="http://schemas.openxmlformats.org/drawingml/2006/main">
                  <a:graphicData uri="http://schemas.microsoft.com/office/word/2010/wordprocessingShape">
                    <wps:wsp>
                      <wps:cNvCnPr/>
                      <wps:spPr>
                        <a:xfrm flipH="1" flipV="1">
                          <a:off x="0" y="0"/>
                          <a:ext cx="466725" cy="63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77.4pt;margin-top:10.9pt;height:0.05pt;width:36.75pt;z-index:942291968;mso-width-relative:page;mso-height-relative:page;" filled="f" stroked="t" coordsize="21600,21600" o:gfxdata="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IZGz3ZAAAACQEAAA8AAAAAAAAAAQAgAAAA&#10;IgAAAGRycy9kb3ducmV2LnhtbFBLAQIUABQAAAAIAIdO4kAos1yKCgIAANYDAAAOAAAAAAAAAAEA&#10;IAAAACgBAABkcnMvZTJvRG9jLnhtbFBLBQYAAAAABgAGAFkBAACkBQAAAAA=&#10;">
                <v:fill on="f" focussize="0,0"/>
                <v:stroke weight="0.5pt" color="#000000 [3213]" miterlimit="8" joinstyle="miter" endarrow="block"/>
                <v:imagedata o:title=""/>
                <o:lock v:ext="edit" aspectratio="f"/>
              </v:shape>
            </w:pict>
          </mc:Fallback>
        </mc:AlternateContent>
      </w:r>
    </w:p>
    <w:p>
      <w:pPr>
        <w:pStyle w:val="2"/>
        <w:rPr>
          <w:rFonts w:hint="eastAsia"/>
          <w:lang w:val="en-US" w:eastAsia="zh-CN"/>
        </w:rPr>
      </w:pPr>
      <w:r>
        <w:rPr>
          <w:sz w:val="24"/>
        </w:rPr>
        <mc:AlternateContent>
          <mc:Choice Requires="wps">
            <w:drawing>
              <wp:anchor distT="0" distB="0" distL="114300" distR="114300" simplePos="0" relativeHeight="2153568256" behindDoc="0" locked="0" layoutInCell="1" allowOverlap="1">
                <wp:simplePos x="0" y="0"/>
                <wp:positionH relativeFrom="column">
                  <wp:posOffset>186690</wp:posOffset>
                </wp:positionH>
                <wp:positionV relativeFrom="paragraph">
                  <wp:posOffset>278130</wp:posOffset>
                </wp:positionV>
                <wp:extent cx="856615" cy="276225"/>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85661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9pt;height:21.75pt;width:67.45pt;z-index:-2141399040;mso-width-relative:page;mso-height-relative:page;" filled="f" stroked="f" coordsize="21600,21600" o:gfxdata="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681&#10;VtoAAAAIAQAADwAAAAAAAAABACAAAAAiAAAAZHJzL2Rvd25yZXYueG1sUEsBAhQAFAAAAAgAh07i&#10;QKpyK0AgAgAAGwQAAA4AAAAAAAAAAQAgAAAAKQEAAGRycy9lMm9Eb2MueG1sUEsFBgAAAAAGAAYA&#10;WQEAALsFAAAAAA==&#10;">
                <v:fill on="f" focussize="0,0"/>
                <v:stroke on="f" weight="0.5pt"/>
                <v:imagedata o:title=""/>
                <o:lock v:ext="edit" aspectratio="f"/>
                <v:textbox>
                  <w:txbxContent>
                    <w:p>
                      <w:pPr>
                        <w:rPr>
                          <w:rFonts w:hint="eastAsia" w:eastAsia="宋体"/>
                          <w:lang w:eastAsia="zh-CN"/>
                        </w:rPr>
                      </w:pPr>
                      <w:r>
                        <w:rPr>
                          <w:rFonts w:hint="eastAsia"/>
                          <w:lang w:eastAsia="zh-CN"/>
                        </w:rPr>
                        <w:t>固废</w:t>
                      </w:r>
                    </w:p>
                  </w:txbxContent>
                </v:textbox>
              </v:shape>
            </w:pict>
          </mc:Fallback>
        </mc:AlternateContent>
      </w:r>
      <w:r>
        <w:rPr>
          <w:sz w:val="24"/>
        </w:rPr>
        <mc:AlternateContent>
          <mc:Choice Requires="wps">
            <w:drawing>
              <wp:anchor distT="0" distB="0" distL="114300" distR="114300" simplePos="0" relativeHeight="1184984064" behindDoc="0" locked="0" layoutInCell="1" allowOverlap="1">
                <wp:simplePos x="0" y="0"/>
                <wp:positionH relativeFrom="column">
                  <wp:posOffset>1882140</wp:posOffset>
                </wp:positionH>
                <wp:positionV relativeFrom="paragraph">
                  <wp:posOffset>1905</wp:posOffset>
                </wp:positionV>
                <wp:extent cx="0" cy="295275"/>
                <wp:effectExtent l="48895" t="0" r="65405" b="9525"/>
                <wp:wrapNone/>
                <wp:docPr id="127" name="直接箭头连接符 127"/>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8.2pt;margin-top:0.15pt;height:23.25pt;width:0pt;z-index:1184984064;mso-width-relative:page;mso-height-relative:page;" filled="f" stroked="t" coordsize="21600,21600" o:gfxdata="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NBHlnSAAAA&#10;BwEAAA8AAAAAAAAAAQAgAAAAIgAAAGRycy9kb3ducmV2LnhtbFBLAQIUABQAAAAIAIdO4kBkQ9cD&#10;6gEAAJUDAAAOAAAAAAAAAAEAIAAAACEBAABkcnMvZTJvRG9jLnhtbFBLBQYAAAAABgAGAFkBAAB9&#10;BQAAAAA=&#10;">
                <v:fill on="f" focussize="0,0"/>
                <v:stroke weight="0.5pt" color="#000000 [3213]" miterlimit="8" joinstyle="miter" dashstyle="3 1" endarrow="open"/>
                <v:imagedata o:title=""/>
                <o:lock v:ext="edit" aspectratio="f"/>
              </v:shape>
            </w:pict>
          </mc:Fallback>
        </mc:AlternateContent>
      </w:r>
      <w:r>
        <w:rPr>
          <w:sz w:val="24"/>
        </w:rPr>
        <mc:AlternateContent>
          <mc:Choice Requires="wps">
            <w:drawing>
              <wp:anchor distT="0" distB="0" distL="114300" distR="114300" simplePos="0" relativeHeight="718320640" behindDoc="0" locked="0" layoutInCell="1" allowOverlap="1">
                <wp:simplePos x="0" y="0"/>
                <wp:positionH relativeFrom="column">
                  <wp:posOffset>4558665</wp:posOffset>
                </wp:positionH>
                <wp:positionV relativeFrom="paragraph">
                  <wp:posOffset>40005</wp:posOffset>
                </wp:positionV>
                <wp:extent cx="0" cy="495300"/>
                <wp:effectExtent l="48895" t="0" r="65405" b="0"/>
                <wp:wrapNone/>
                <wp:docPr id="124" name="直接箭头连接符 124"/>
                <wp:cNvGraphicFramePr/>
                <a:graphic xmlns:a="http://schemas.openxmlformats.org/drawingml/2006/main">
                  <a:graphicData uri="http://schemas.microsoft.com/office/word/2010/wordprocessingShape">
                    <wps:wsp>
                      <wps:cNvCnPr/>
                      <wps:spPr>
                        <a:xfrm>
                          <a:off x="0" y="0"/>
                          <a:ext cx="0" cy="495300"/>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8.95pt;margin-top:3.15pt;height:39pt;width:0pt;z-index:718320640;mso-width-relative:page;mso-height-relative:page;" filled="f" stroked="t" coordsize="21600,21600" o:gfxdata="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oHQKd0wAA&#10;AAgBAAAPAAAAAAAAAAEAIAAAACIAAABkcnMvZG93bnJldi54bWxQSwECFAAUAAAACACHTuJAlYNs&#10;V+oBAACVAwAADgAAAAAAAAABACAAAAAiAQAAZHJzL2Uyb0RvYy54bWxQSwUGAAAAAAYABgBZAQAA&#10;fgUAAAAA&#10;">
                <v:fill on="f" focussize="0,0"/>
                <v:stroke weight="0.5pt" color="#000000 [3213]" miterlimit="8" joinstyle="miter" dashstyle="3 1" endarrow="open"/>
                <v:imagedata o:title=""/>
                <o:lock v:ext="edit" aspectratio="f"/>
              </v:shape>
            </w:pict>
          </mc:Fallback>
        </mc:AlternateContent>
      </w:r>
      <w:r>
        <w:rPr>
          <w:sz w:val="24"/>
        </w:rPr>
        <mc:AlternateContent>
          <mc:Choice Requires="wps">
            <w:drawing>
              <wp:anchor distT="0" distB="0" distL="114300" distR="114300" simplePos="0" relativeHeight="2083053568" behindDoc="0" locked="0" layoutInCell="1" allowOverlap="1">
                <wp:simplePos x="0" y="0"/>
                <wp:positionH relativeFrom="column">
                  <wp:posOffset>5482590</wp:posOffset>
                </wp:positionH>
                <wp:positionV relativeFrom="paragraph">
                  <wp:posOffset>30480</wp:posOffset>
                </wp:positionV>
                <wp:extent cx="0" cy="495300"/>
                <wp:effectExtent l="48895" t="0" r="65405" b="0"/>
                <wp:wrapNone/>
                <wp:docPr id="122" name="直接箭头连接符 122"/>
                <wp:cNvGraphicFramePr/>
                <a:graphic xmlns:a="http://schemas.openxmlformats.org/drawingml/2006/main">
                  <a:graphicData uri="http://schemas.microsoft.com/office/word/2010/wordprocessingShape">
                    <wps:wsp>
                      <wps:cNvCnPr/>
                      <wps:spPr>
                        <a:xfrm>
                          <a:off x="0" y="0"/>
                          <a:ext cx="0" cy="495300"/>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31.7pt;margin-top:2.4pt;height:39pt;width:0pt;z-index:2083053568;mso-width-relative:page;mso-height-relative:page;" filled="f" stroked="t" coordsize="21600,21600" o:gfxdata="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aOPhNMA&#10;AAAIAQAADwAAAAAAAAABACAAAAAiAAAAZHJzL2Rvd25yZXYueG1sUEsBAhQAFAAAAAgAh07iQEO/&#10;vXjrAQAAlQMAAA4AAAAAAAAAAQAgAAAAIgEAAGRycy9lMm9Eb2MueG1sUEsFBgAAAAAGAAYAWQEA&#10;AH8FAAAAAA==&#10;">
                <v:fill on="f" focussize="0,0"/>
                <v:stroke weight="0.5pt" color="#000000 [3213]" miterlimit="8" joinstyle="miter" dashstyle="3 1" endarrow="open"/>
                <v:imagedata o:title=""/>
                <o:lock v:ext="edit" aspectratio="f"/>
              </v:shape>
            </w:pict>
          </mc:Fallback>
        </mc:AlternateContent>
      </w:r>
    </w:p>
    <w:p>
      <w:pPr>
        <w:rPr>
          <w:rFonts w:hint="eastAsia"/>
          <w:lang w:val="en-US" w:eastAsia="zh-CN"/>
        </w:rPr>
      </w:pPr>
      <w:r>
        <w:rPr>
          <w:sz w:val="24"/>
        </w:rPr>
        <mc:AlternateContent>
          <mc:Choice Requires="wps">
            <w:drawing>
              <wp:anchor distT="0" distB="0" distL="114300" distR="114300" simplePos="0" relativeHeight="286914560" behindDoc="0" locked="0" layoutInCell="1" allowOverlap="1">
                <wp:simplePos x="0" y="0"/>
                <wp:positionH relativeFrom="column">
                  <wp:posOffset>1691640</wp:posOffset>
                </wp:positionH>
                <wp:positionV relativeFrom="paragraph">
                  <wp:posOffset>1905</wp:posOffset>
                </wp:positionV>
                <wp:extent cx="856615" cy="276225"/>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85661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2pt;margin-top:0.15pt;height:21.75pt;width:67.45pt;z-index:286914560;mso-width-relative:page;mso-height-relative:page;" filled="f" stroked="f" coordsize="21600,21600" o:gfxdata="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yRM/PX&#10;AAAABwEAAA8AAAAAAAAAAQAgAAAAIgAAAGRycy9kb3ducmV2LnhtbFBLAQIUABQAAAAIAIdO4kAR&#10;76W4IQIAABsEAAAOAAAAAAAAAAEAIAAAACYBAABkcnMvZTJvRG9jLnhtbFBLBQYAAAAABgAGAFkB&#10;AAC5BQAAAAA=&#10;">
                <v:fill on="f" focussize="0,0"/>
                <v:stroke on="f" weight="0.5pt"/>
                <v:imagedata o:title=""/>
                <o:lock v:ext="edit" aspectratio="f"/>
                <v:textbox>
                  <w:txbxContent>
                    <w:p>
                      <w:pPr>
                        <w:rPr>
                          <w:rFonts w:hint="eastAsia" w:eastAsia="宋体"/>
                          <w:lang w:eastAsia="zh-CN"/>
                        </w:rPr>
                      </w:pPr>
                      <w:r>
                        <w:rPr>
                          <w:rFonts w:hint="eastAsia"/>
                          <w:lang w:eastAsia="zh-CN"/>
                        </w:rPr>
                        <w:t>固废</w:t>
                      </w:r>
                    </w:p>
                  </w:txbxContent>
                </v:textbox>
              </v:shape>
            </w:pict>
          </mc:Fallback>
        </mc:AlternateContent>
      </w:r>
      <w:r>
        <w:rPr>
          <w:sz w:val="24"/>
        </w:rPr>
        <mc:AlternateContent>
          <mc:Choice Requires="wps">
            <w:drawing>
              <wp:anchor distT="0" distB="0" distL="114300" distR="114300" simplePos="0" relativeHeight="3181891584" behindDoc="0" locked="0" layoutInCell="1" allowOverlap="1">
                <wp:simplePos x="0" y="0"/>
                <wp:positionH relativeFrom="column">
                  <wp:posOffset>5006340</wp:posOffset>
                </wp:positionH>
                <wp:positionV relativeFrom="paragraph">
                  <wp:posOffset>220980</wp:posOffset>
                </wp:positionV>
                <wp:extent cx="856615" cy="276225"/>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85661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噪声、废水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4.2pt;margin-top:17.4pt;height:21.75pt;width:67.45pt;z-index:-1113075712;mso-width-relative:page;mso-height-relative:page;" filled="f" stroked="f" coordsize="21600,21600" o:gfxdata="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VA&#10;urbaAAAACQEAAA8AAAAAAAAAAQAgAAAAIgAAAGRycy9kb3ducmV2LnhtbFBLAQIUABQAAAAIAIdO&#10;4kAiiiS/IQIAABsEAAAOAAAAAAAAAAEAIAAAACkBAABkcnMvZTJvRG9jLnhtbFBLBQYAAAAABgAG&#10;AFkBAAC8BQAAAAA=&#10;">
                <v:fill on="f" focussize="0,0"/>
                <v:stroke on="f" weight="0.5pt"/>
                <v:imagedata o:title=""/>
                <o:lock v:ext="edit" aspectratio="f"/>
                <v:textbox>
                  <w:txbxContent>
                    <w:p>
                      <w:pPr>
                        <w:rPr>
                          <w:rFonts w:hint="eastAsia" w:eastAsia="宋体"/>
                          <w:lang w:eastAsia="zh-CN"/>
                        </w:rPr>
                      </w:pPr>
                      <w:r>
                        <w:rPr>
                          <w:rFonts w:hint="eastAsia"/>
                          <w:lang w:eastAsia="zh-CN"/>
                        </w:rPr>
                        <w:t>噪声、废水</w:t>
                      </w:r>
                    </w:p>
                  </w:txbxContent>
                </v:textbox>
              </v:shape>
            </w:pict>
          </mc:Fallback>
        </mc:AlternateContent>
      </w:r>
    </w:p>
    <w:p>
      <w:pPr>
        <w:pStyle w:val="2"/>
        <w:rPr>
          <w:rFonts w:hint="eastAsia"/>
          <w:lang w:val="en-US" w:eastAsia="zh-CN"/>
        </w:rPr>
      </w:pPr>
      <w:r>
        <w:rPr>
          <w:sz w:val="24"/>
        </w:rPr>
        <mc:AlternateContent>
          <mc:Choice Requires="wps">
            <w:drawing>
              <wp:anchor distT="0" distB="0" distL="114300" distR="114300" simplePos="0" relativeHeight="1186265088" behindDoc="0" locked="0" layoutInCell="1" allowOverlap="1">
                <wp:simplePos x="0" y="0"/>
                <wp:positionH relativeFrom="column">
                  <wp:posOffset>3392805</wp:posOffset>
                </wp:positionH>
                <wp:positionV relativeFrom="paragraph">
                  <wp:posOffset>193040</wp:posOffset>
                </wp:positionV>
                <wp:extent cx="819150" cy="286385"/>
                <wp:effectExtent l="0" t="0" r="0" b="18415"/>
                <wp:wrapNone/>
                <wp:docPr id="271" name="文本框 271"/>
                <wp:cNvGraphicFramePr/>
                <a:graphic xmlns:a="http://schemas.openxmlformats.org/drawingml/2006/main">
                  <a:graphicData uri="http://schemas.microsoft.com/office/word/2010/wordprocessingShape">
                    <wps:wsp>
                      <wps:cNvSpPr txBox="1"/>
                      <wps:spPr>
                        <a:xfrm>
                          <a:off x="0" y="0"/>
                          <a:ext cx="819150" cy="286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装箱入库毛线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15pt;margin-top:15.2pt;height:22.55pt;width:64.5pt;z-index:1186265088;mso-width-relative:page;mso-height-relative:page;" fillcolor="#FFFFFF [3201]" filled="t" stroked="f" coordsize="21600,21600" o:gfxdata="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1Dot9UAAAAJAQAADwAAAAAAAAABACAAAAAiAAAAZHJzL2Rvd25yZXYueG1s&#10;UEsBAhQAFAAAAAgAh07iQGh2r8o0AgAARAQAAA4AAAAAAAAAAQAgAAAAJAEAAGRycy9lMm9Eb2Mu&#10;eG1sUEsFBgAAAAAGAAYAWQEAAMoFAAAAAA==&#10;">
                <v:fill on="t" focussize="0,0"/>
                <v:stroke on="f" weight="0.5pt"/>
                <v:imagedata o:title=""/>
                <o:lock v:ext="edit" aspectratio="f"/>
                <v:textbox>
                  <w:txbxContent>
                    <w:p>
                      <w:pPr>
                        <w:rPr>
                          <w:rFonts w:hint="eastAsia" w:eastAsia="宋体"/>
                          <w:lang w:eastAsia="zh-CN"/>
                        </w:rPr>
                      </w:pPr>
                      <w:r>
                        <w:rPr>
                          <w:rFonts w:hint="eastAsia"/>
                          <w:lang w:eastAsia="zh-CN"/>
                        </w:rPr>
                        <w:t>装箱入库毛线</w:t>
                      </w:r>
                    </w:p>
                  </w:txbxContent>
                </v:textbox>
              </v:shape>
            </w:pict>
          </mc:Fallback>
        </mc:AlternateContent>
      </w:r>
      <w:r>
        <w:rPr>
          <w:sz w:val="24"/>
        </w:rPr>
        <mc:AlternateContent>
          <mc:Choice Requires="wps">
            <w:drawing>
              <wp:anchor distT="0" distB="0" distL="114300" distR="114300" simplePos="0" relativeHeight="2917097472" behindDoc="0" locked="0" layoutInCell="1" allowOverlap="1">
                <wp:simplePos x="0" y="0"/>
                <wp:positionH relativeFrom="column">
                  <wp:posOffset>2458720</wp:posOffset>
                </wp:positionH>
                <wp:positionV relativeFrom="paragraph">
                  <wp:posOffset>154940</wp:posOffset>
                </wp:positionV>
                <wp:extent cx="466725" cy="286385"/>
                <wp:effectExtent l="4445" t="4445" r="5080" b="13970"/>
                <wp:wrapNone/>
                <wp:docPr id="78" name="文本框 78"/>
                <wp:cNvGraphicFramePr/>
                <a:graphic xmlns:a="http://schemas.openxmlformats.org/drawingml/2006/main">
                  <a:graphicData uri="http://schemas.microsoft.com/office/word/2010/wordprocessingShape">
                    <wps:wsp>
                      <wps:cNvSpPr txBox="1"/>
                      <wps:spPr>
                        <a:xfrm>
                          <a:off x="0" y="0"/>
                          <a:ext cx="466725" cy="28638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验针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6pt;margin-top:12.2pt;height:22.55pt;width:36.75pt;z-index:-1377869824;mso-width-relative:page;mso-height-relative:page;" fillcolor="#FFFFFF [3201]" filled="t" stroked="t" coordsize="21600,21600" o:gfxdata="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YHwrttcAAAAJAQAADwAAAAAAAAABACAAAAAiAAAAZHJzL2Rv&#10;d25yZXYueG1sUEsBAhQAFAAAAAgAh07iQIHBHUE7AgAAawQAAA4AAAAAAAAAAQAgAAAAJgEAAGRy&#10;cy9lMm9Eb2MueG1sUEsFBgAAAAAGAAYAWQEAANMFAAAA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验针</w:t>
                      </w:r>
                    </w:p>
                  </w:txbxContent>
                </v:textbox>
              </v:shape>
            </w:pict>
          </mc:Fallback>
        </mc:AlternateContent>
      </w:r>
      <w:r>
        <w:rPr>
          <w:sz w:val="24"/>
        </w:rPr>
        <mc:AlternateContent>
          <mc:Choice Requires="wps">
            <w:drawing>
              <wp:anchor distT="0" distB="0" distL="114300" distR="114300" simplePos="0" relativeHeight="4269263872" behindDoc="0" locked="0" layoutInCell="1" allowOverlap="1">
                <wp:simplePos x="0" y="0"/>
                <wp:positionH relativeFrom="column">
                  <wp:posOffset>2106930</wp:posOffset>
                </wp:positionH>
                <wp:positionV relativeFrom="paragraph">
                  <wp:posOffset>288925</wp:posOffset>
                </wp:positionV>
                <wp:extent cx="361950" cy="8890"/>
                <wp:effectExtent l="0" t="31115" r="0" b="36195"/>
                <wp:wrapNone/>
                <wp:docPr id="77" name="直接箭头连接符 77"/>
                <wp:cNvGraphicFramePr/>
                <a:graphic xmlns:a="http://schemas.openxmlformats.org/drawingml/2006/main">
                  <a:graphicData uri="http://schemas.microsoft.com/office/word/2010/wordprocessingShape">
                    <wps:wsp>
                      <wps:cNvCnPr/>
                      <wps:spPr>
                        <a:xfrm>
                          <a:off x="0" y="0"/>
                          <a:ext cx="361950" cy="889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5.9pt;margin-top:22.75pt;height:0.7pt;width:28.5pt;z-index:-25703424;mso-width-relative:page;mso-height-relative:page;" filled="f" stroked="t" coordsize="21600,21600" o:gfxdata="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4z+fNYAAAAJAQAADwAAAAAAAAABACAAAAAiAAAAZHJzL2Rvd25y&#10;ZXYueG1sUEsBAhQAFAAAAAgAh07iQIcFycUAAgAAwQMAAA4AAAAAAAAAAQAgAAAAJQEAAGRycy9l&#10;Mm9Eb2MueG1sUEsFBgAAAAAGAAYAWQEAAJcFA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3194458112" behindDoc="0" locked="0" layoutInCell="1" allowOverlap="1">
                <wp:simplePos x="0" y="0"/>
                <wp:positionH relativeFrom="column">
                  <wp:posOffset>1344295</wp:posOffset>
                </wp:positionH>
                <wp:positionV relativeFrom="paragraph">
                  <wp:posOffset>145415</wp:posOffset>
                </wp:positionV>
                <wp:extent cx="751840" cy="286385"/>
                <wp:effectExtent l="4445" t="4445" r="5715" b="13970"/>
                <wp:wrapNone/>
                <wp:docPr id="68" name="文本框 68"/>
                <wp:cNvGraphicFramePr/>
                <a:graphic xmlns:a="http://schemas.openxmlformats.org/drawingml/2006/main">
                  <a:graphicData uri="http://schemas.microsoft.com/office/word/2010/wordprocessingShape">
                    <wps:wsp>
                      <wps:cNvSpPr txBox="1"/>
                      <wps:spPr>
                        <a:xfrm>
                          <a:off x="0" y="0"/>
                          <a:ext cx="751840" cy="28638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套包装袋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85pt;margin-top:11.45pt;height:22.55pt;width:59.2pt;z-index:-1100509184;mso-width-relative:page;mso-height-relative:page;" fillcolor="#FFFFFF [3201]" filled="t" stroked="t" coordsize="21600,21600" o:gfxdata="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WopYa1QAAAAkBAAAPAAAAAAAAAAEAIAAAACIAAABkcnMvZG93bnJl&#10;di54bWxQSwECFAAUAAAACACHTuJA6G1xrzkCAABrBAAADgAAAAAAAAABACAAAAAkAQAAZHJzL2Uy&#10;b0RvYy54bWxQSwUGAAAAAAYABgBZAQAAzwUAAA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套包装袋</w:t>
                      </w:r>
                    </w:p>
                  </w:txbxContent>
                </v:textbox>
              </v:shape>
            </w:pict>
          </mc:Fallback>
        </mc:AlternateContent>
      </w:r>
      <w:r>
        <w:rPr>
          <w:sz w:val="24"/>
        </w:rPr>
        <mc:AlternateContent>
          <mc:Choice Requires="wps">
            <w:drawing>
              <wp:anchor distT="0" distB="0" distL="114300" distR="114300" simplePos="0" relativeHeight="252414976" behindDoc="0" locked="0" layoutInCell="1" allowOverlap="1">
                <wp:simplePos x="0" y="0"/>
                <wp:positionH relativeFrom="column">
                  <wp:posOffset>982980</wp:posOffset>
                </wp:positionH>
                <wp:positionV relativeFrom="paragraph">
                  <wp:posOffset>269875</wp:posOffset>
                </wp:positionV>
                <wp:extent cx="361950" cy="8890"/>
                <wp:effectExtent l="0" t="31115" r="0" b="36195"/>
                <wp:wrapNone/>
                <wp:docPr id="242" name="直接箭头连接符 242"/>
                <wp:cNvGraphicFramePr/>
                <a:graphic xmlns:a="http://schemas.openxmlformats.org/drawingml/2006/main">
                  <a:graphicData uri="http://schemas.microsoft.com/office/word/2010/wordprocessingShape">
                    <wps:wsp>
                      <wps:cNvCnPr/>
                      <wps:spPr>
                        <a:xfrm>
                          <a:off x="1144905" y="2025015"/>
                          <a:ext cx="361950" cy="889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7.4pt;margin-top:21.25pt;height:0.7pt;width:28.5pt;z-index:252414976;mso-width-relative:page;mso-height-relative:page;" filled="f" stroked="t" coordsize="21600,21600" o:gfxdata="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VjNfVAAAACQEAAA8AAAAAAAAAAQAgAAAA&#10;IgAAAGRycy9kb3ducmV2LnhtbFBLAQIUABQAAAAIAIdO4kCYAECPDgIAAM8DAAAOAAAAAAAAAAEA&#10;IAAAACQBAABkcnMvZTJvRG9jLnhtbFBLBQYAAAAABgAGAFkBAACkBQ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3472576512" behindDoc="0" locked="0" layoutInCell="1" allowOverlap="1">
                <wp:simplePos x="0" y="0"/>
                <wp:positionH relativeFrom="column">
                  <wp:posOffset>363220</wp:posOffset>
                </wp:positionH>
                <wp:positionV relativeFrom="paragraph">
                  <wp:posOffset>135890</wp:posOffset>
                </wp:positionV>
                <wp:extent cx="610235" cy="286385"/>
                <wp:effectExtent l="4445" t="4445" r="13970" b="13970"/>
                <wp:wrapNone/>
                <wp:docPr id="280" name="文本框 280"/>
                <wp:cNvGraphicFramePr/>
                <a:graphic xmlns:a="http://schemas.openxmlformats.org/drawingml/2006/main">
                  <a:graphicData uri="http://schemas.microsoft.com/office/word/2010/wordprocessingShape">
                    <wps:wsp>
                      <wps:cNvSpPr txBox="1"/>
                      <wps:spPr>
                        <a:xfrm>
                          <a:off x="0" y="0"/>
                          <a:ext cx="610235" cy="28638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挂吊牌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pt;margin-top:10.7pt;height:22.55pt;width:48.05pt;z-index:-822390784;mso-width-relative:page;mso-height-relative:page;" fillcolor="#FFFFFF [3201]" filled="t" stroked="t" coordsize="21600,21600" o:gfxdata="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DBUjXVAAAACAEAAA8AAAAAAAAAAQAgAAAAIgAAAGRycy9kb3du&#10;cmV2LnhtbFBLAQIUABQAAAAIAIdO4kBun7TbOwIAAG0EAAAOAAAAAAAAAAEAIAAAACQBAABkcnMv&#10;ZTJvRG9jLnhtbFBLBQYAAAAABgAGAFkBAADRBQAAA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挂吊牌</w:t>
                      </w:r>
                    </w:p>
                  </w:txbxContent>
                </v:textbox>
              </v:shape>
            </w:pict>
          </mc:Fallback>
        </mc:AlternateContent>
      </w:r>
      <w:r>
        <w:rPr>
          <w:sz w:val="24"/>
        </w:rPr>
        <mc:AlternateContent>
          <mc:Choice Requires="wps">
            <w:drawing>
              <wp:anchor distT="0" distB="0" distL="114300" distR="114300" simplePos="0" relativeHeight="3648555008" behindDoc="0" locked="0" layoutInCell="1" allowOverlap="1">
                <wp:simplePos x="0" y="0"/>
                <wp:positionH relativeFrom="column">
                  <wp:posOffset>4215765</wp:posOffset>
                </wp:positionH>
                <wp:positionV relativeFrom="paragraph">
                  <wp:posOffset>29210</wp:posOffset>
                </wp:positionV>
                <wp:extent cx="856615" cy="276225"/>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85661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噪声、废水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95pt;margin-top:2.3pt;height:21.75pt;width:67.45pt;z-index:-646412288;mso-width-relative:page;mso-height-relative:page;" filled="f" stroked="f" coordsize="21600,21600" o:gfxdata="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ns+us&#10;2QAAAAgBAAAPAAAAAAAAAAEAIAAAACIAAABkcnMvZG93bnJldi54bWxQSwECFAAUAAAACACHTuJA&#10;DKt0CyACAAAbBAAADgAAAAAAAAABACAAAAAoAQAAZHJzL2Uyb0RvYy54bWxQSwUGAAAAAAYABgBZ&#10;AQAAugUAAAAA&#10;">
                <v:fill on="f" focussize="0,0"/>
                <v:stroke on="f" weight="0.5pt"/>
                <v:imagedata o:title=""/>
                <o:lock v:ext="edit" aspectratio="f"/>
                <v:textbox>
                  <w:txbxContent>
                    <w:p>
                      <w:pPr>
                        <w:rPr>
                          <w:rFonts w:hint="eastAsia" w:eastAsia="宋体"/>
                          <w:lang w:eastAsia="zh-CN"/>
                        </w:rPr>
                      </w:pPr>
                      <w:r>
                        <w:rPr>
                          <w:rFonts w:hint="eastAsia"/>
                          <w:lang w:eastAsia="zh-CN"/>
                        </w:rPr>
                        <w:t>噪声、废水</w:t>
                      </w:r>
                    </w:p>
                  </w:txbxContent>
                </v:textbox>
              </v:shape>
            </w:pict>
          </mc:Fallback>
        </mc:AlternateContent>
      </w:r>
    </w:p>
    <w:p>
      <w:pPr>
        <w:rPr>
          <w:rFonts w:hint="eastAsia"/>
          <w:lang w:val="en-US" w:eastAsia="zh-CN"/>
        </w:rPr>
      </w:pPr>
      <w:r>
        <w:rPr>
          <w:sz w:val="24"/>
        </w:rPr>
        <mc:AlternateContent>
          <mc:Choice Requires="wps">
            <w:drawing>
              <wp:anchor distT="0" distB="0" distL="114300" distR="114300" simplePos="0" relativeHeight="693838848" behindDoc="0" locked="0" layoutInCell="1" allowOverlap="1">
                <wp:simplePos x="0" y="0"/>
                <wp:positionH relativeFrom="column">
                  <wp:posOffset>1729740</wp:posOffset>
                </wp:positionH>
                <wp:positionV relativeFrom="paragraph">
                  <wp:posOffset>133985</wp:posOffset>
                </wp:positionV>
                <wp:extent cx="0" cy="295275"/>
                <wp:effectExtent l="48895" t="0" r="65405" b="9525"/>
                <wp:wrapNone/>
                <wp:docPr id="134" name="直接箭头连接符 134"/>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6.2pt;margin-top:10.55pt;height:23.25pt;width:0pt;z-index:693838848;mso-width-relative:page;mso-height-relative:page;" filled="f" stroked="t" coordsize="21600,21600" o:gfxdata="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GPUltQA&#10;AAAJAQAADwAAAAAAAAABACAAAAAiAAAAZHJzL2Rvd25yZXYueG1sUEsBAhQAFAAAAAgAh07iQArv&#10;PevqAQAAlQMAAA4AAAAAAAAAAQAgAAAAIwEAAGRycy9lMm9Eb2MueG1sUEsFBgAAAAAGAAYAWQEA&#10;AH8FAAAAAA==&#10;">
                <v:fill on="f" focussize="0,0"/>
                <v:stroke weight="0.5pt" color="#000000 [3213]" miterlimit="8" joinstyle="miter" dashstyle="3 1" endarrow="open"/>
                <v:imagedata o:title=""/>
                <o:lock v:ext="edit" aspectratio="f"/>
              </v:shape>
            </w:pict>
          </mc:Fallback>
        </mc:AlternateContent>
      </w:r>
      <w:r>
        <w:rPr>
          <w:sz w:val="24"/>
        </w:rPr>
        <mc:AlternateContent>
          <mc:Choice Requires="wps">
            <w:drawing>
              <wp:anchor distT="0" distB="0" distL="114300" distR="114300" simplePos="0" relativeHeight="3991903232" behindDoc="0" locked="0" layoutInCell="1" allowOverlap="1">
                <wp:simplePos x="0" y="0"/>
                <wp:positionH relativeFrom="column">
                  <wp:posOffset>2964180</wp:posOffset>
                </wp:positionH>
                <wp:positionV relativeFrom="paragraph">
                  <wp:posOffset>3175</wp:posOffset>
                </wp:positionV>
                <wp:extent cx="361950" cy="8890"/>
                <wp:effectExtent l="0" t="31115" r="0" b="36195"/>
                <wp:wrapNone/>
                <wp:docPr id="79" name="直接箭头连接符 79"/>
                <wp:cNvGraphicFramePr/>
                <a:graphic xmlns:a="http://schemas.openxmlformats.org/drawingml/2006/main">
                  <a:graphicData uri="http://schemas.microsoft.com/office/word/2010/wordprocessingShape">
                    <wps:wsp>
                      <wps:cNvCnPr/>
                      <wps:spPr>
                        <a:xfrm>
                          <a:off x="0" y="0"/>
                          <a:ext cx="361950" cy="889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3.4pt;margin-top:0.25pt;height:0.7pt;width:28.5pt;z-index:-303064064;mso-width-relative:page;mso-height-relative:page;" filled="f" stroked="t" coordsize="21600,21600" o:gfxdata="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Erg70wAAAAYBAAAPAAAAAAAAAAEAIAAAACIAAABkcnMvZG93bnJldi54&#10;bWxQSwECFAAUAAAACACHTuJAWGAGV/8BAADBAwAADgAAAAAAAAABACAAAAAiAQAAZHJzL2Uyb0Rv&#10;Yy54bWxQSwUGAAAAAAYABgBZAQAAkwUAAAAA&#10;">
                <v:fill on="f" focussize="0,0"/>
                <v:stroke weight="0.5pt" color="#000000 [3213]" miterlimit="8" joinstyle="miter" endarrow="block"/>
                <v:imagedata o:title=""/>
                <o:lock v:ext="edit" aspectratio="f"/>
              </v:shape>
            </w:pict>
          </mc:Fallback>
        </mc:AlternateContent>
      </w:r>
    </w:p>
    <w:p>
      <w:pPr>
        <w:pStyle w:val="36"/>
        <w:rPr>
          <w:rFonts w:hint="eastAsia"/>
          <w:lang w:val="en-US" w:eastAsia="zh-CN"/>
        </w:rPr>
      </w:pPr>
    </w:p>
    <w:p>
      <w:pPr>
        <w:pStyle w:val="36"/>
        <w:rPr>
          <w:rFonts w:hint="eastAsia"/>
          <w:lang w:val="en-US" w:eastAsia="zh-CN"/>
        </w:rPr>
      </w:pPr>
      <w:r>
        <w:rPr>
          <w:sz w:val="24"/>
        </w:rPr>
        <mc:AlternateContent>
          <mc:Choice Requires="wps">
            <w:drawing>
              <wp:anchor distT="0" distB="0" distL="114300" distR="114300" simplePos="0" relativeHeight="4055479296" behindDoc="0" locked="0" layoutInCell="1" allowOverlap="1">
                <wp:simplePos x="0" y="0"/>
                <wp:positionH relativeFrom="column">
                  <wp:posOffset>1443990</wp:posOffset>
                </wp:positionH>
                <wp:positionV relativeFrom="paragraph">
                  <wp:posOffset>29845</wp:posOffset>
                </wp:positionV>
                <wp:extent cx="856615" cy="276225"/>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85661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2.35pt;height:21.75pt;width:67.45pt;z-index:-239488000;mso-width-relative:page;mso-height-relative:page;" filled="f" stroked="f" coordsize="21600,21600" o:gfxdata="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Pw7&#10;8tkAAAAIAQAADwAAAAAAAAABACAAAAAiAAAAZHJzL2Rvd25yZXYueG1sUEsBAhQAFAAAAAgAh07i&#10;QLBtGywhAgAAGwQAAA4AAAAAAAAAAQAgAAAAKAEAAGRycy9lMm9Eb2MueG1sUEsFBgAAAAAGAAYA&#10;WQEAALsFAAAAAA==&#10;">
                <v:fill on="f" focussize="0,0"/>
                <v:stroke on="f" weight="0.5pt"/>
                <v:imagedata o:title=""/>
                <o:lock v:ext="edit" aspectratio="f"/>
                <v:textbox>
                  <w:txbxContent>
                    <w:p>
                      <w:pPr>
                        <w:rPr>
                          <w:rFonts w:hint="eastAsia" w:eastAsia="宋体"/>
                          <w:lang w:eastAsia="zh-CN"/>
                        </w:rPr>
                      </w:pPr>
                      <w:r>
                        <w:rPr>
                          <w:rFonts w:hint="eastAsia"/>
                          <w:lang w:eastAsia="zh-CN"/>
                        </w:rPr>
                        <w:t>固废</w:t>
                      </w:r>
                    </w:p>
                  </w:txbxContent>
                </v:textbox>
              </v:shape>
            </w:pict>
          </mc:Fallback>
        </mc:AlternateContent>
      </w:r>
    </w:p>
    <w:p>
      <w:pPr>
        <w:pStyle w:val="36"/>
        <w:rPr>
          <w:rFonts w:hint="eastAsia"/>
          <w:lang w:val="en-US" w:eastAsia="zh-CN"/>
        </w:rPr>
      </w:pPr>
    </w:p>
    <w:p>
      <w:pPr>
        <w:pStyle w:val="2"/>
        <w:rPr>
          <w:rFonts w:hint="eastAsia"/>
          <w:lang w:val="en-US" w:eastAsia="zh-CN"/>
        </w:rPr>
      </w:pPr>
      <w:r>
        <w:rPr>
          <w:sz w:val="21"/>
        </w:rPr>
        <mc:AlternateContent>
          <mc:Choice Requires="wps">
            <w:drawing>
              <wp:anchor distT="0" distB="0" distL="114300" distR="114300" simplePos="0" relativeHeight="617934848" behindDoc="0" locked="0" layoutInCell="1" allowOverlap="1">
                <wp:simplePos x="0" y="0"/>
                <wp:positionH relativeFrom="column">
                  <wp:posOffset>1372235</wp:posOffset>
                </wp:positionH>
                <wp:positionV relativeFrom="paragraph">
                  <wp:posOffset>36830</wp:posOffset>
                </wp:positionV>
                <wp:extent cx="3505200" cy="400685"/>
                <wp:effectExtent l="0" t="0" r="0" b="0"/>
                <wp:wrapNone/>
                <wp:docPr id="116" name="文本框 116"/>
                <wp:cNvGraphicFramePr/>
                <a:graphic xmlns:a="http://schemas.openxmlformats.org/drawingml/2006/main">
                  <a:graphicData uri="http://schemas.microsoft.com/office/word/2010/wordprocessingShape">
                    <wps:wsp>
                      <wps:cNvSpPr txBox="1"/>
                      <wps:spPr>
                        <a:xfrm>
                          <a:off x="2299335" y="4589145"/>
                          <a:ext cx="3505200" cy="400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sz w:val="24"/>
                                <w:szCs w:val="24"/>
                                <w:lang w:val="en-US" w:eastAsia="zh-CN"/>
                              </w:rPr>
                            </w:pPr>
                            <w:r>
                              <w:rPr>
                                <w:rFonts w:hint="eastAsia"/>
                                <w:b/>
                                <w:bCs/>
                                <w:sz w:val="24"/>
                                <w:szCs w:val="24"/>
                                <w:lang w:eastAsia="zh-CN"/>
                              </w:rPr>
                              <w:t>附图</w:t>
                            </w:r>
                            <w:r>
                              <w:rPr>
                                <w:rFonts w:hint="eastAsia"/>
                                <w:b/>
                                <w:bCs/>
                                <w:sz w:val="24"/>
                                <w:szCs w:val="24"/>
                                <w:lang w:val="en-US" w:eastAsia="zh-CN"/>
                              </w:rPr>
                              <w:t>2.2-2    生产工艺流程及产污节点图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05pt;margin-top:2.9pt;height:31.55pt;width:276pt;z-index:617934848;mso-width-relative:page;mso-height-relative:page;" filled="f" stroked="f" coordsize="21600,21600" o:gfxdata="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cJnmn2AAAAAgBAAAPAAAAAAAAAAEAIAAAACIAAABkcnMvZG93bnJldi54bWxQSwECFAAU&#10;AAAACACHTuJAL/PfqCoCAAAoBAAADgAAAAAAAAABACAAAAAnAQAAZHJzL2Uyb0RvYy54bWxQSwUG&#10;AAAAAAYABgBZAQAAwwUAAAAA&#10;">
                <v:fill on="f" focussize="0,0"/>
                <v:stroke on="f" weight="0.5pt"/>
                <v:imagedata o:title=""/>
                <o:lock v:ext="edit" aspectratio="f"/>
                <v:textbox>
                  <w:txbxContent>
                    <w:p>
                      <w:pPr>
                        <w:rPr>
                          <w:rFonts w:hint="default" w:eastAsia="宋体"/>
                          <w:b/>
                          <w:bCs/>
                          <w:sz w:val="24"/>
                          <w:szCs w:val="24"/>
                          <w:lang w:val="en-US" w:eastAsia="zh-CN"/>
                        </w:rPr>
                      </w:pPr>
                      <w:r>
                        <w:rPr>
                          <w:rFonts w:hint="eastAsia"/>
                          <w:b/>
                          <w:bCs/>
                          <w:sz w:val="24"/>
                          <w:szCs w:val="24"/>
                          <w:lang w:eastAsia="zh-CN"/>
                        </w:rPr>
                        <w:t>附图</w:t>
                      </w:r>
                      <w:r>
                        <w:rPr>
                          <w:rFonts w:hint="eastAsia"/>
                          <w:b/>
                          <w:bCs/>
                          <w:sz w:val="24"/>
                          <w:szCs w:val="24"/>
                          <w:lang w:val="en-US" w:eastAsia="zh-CN"/>
                        </w:rPr>
                        <w:t>2.2-2    生产工艺流程及产污节点图</w:t>
                      </w:r>
                    </w:p>
                  </w:txbxContent>
                </v:textbox>
              </v:shape>
            </w:pict>
          </mc:Fallback>
        </mc:AlternateContent>
      </w:r>
    </w:p>
    <w:p>
      <w:pPr>
        <w:rPr>
          <w:rFonts w:hint="eastAsia"/>
          <w:lang w:val="en-US" w:eastAsia="zh-CN"/>
        </w:rPr>
      </w:pPr>
    </w:p>
    <w:p>
      <w:pPr>
        <w:ind w:firstLine="482" w:firstLineChars="200"/>
        <w:rPr>
          <w:b/>
          <w:sz w:val="24"/>
          <w:szCs w:val="24"/>
        </w:rPr>
      </w:pPr>
      <w:r>
        <w:rPr>
          <w:b/>
          <w:sz w:val="24"/>
          <w:szCs w:val="24"/>
        </w:rPr>
        <w:t>生产流程说明：</w:t>
      </w:r>
    </w:p>
    <w:p>
      <w:pPr>
        <w:ind w:firstLine="480" w:firstLineChars="200"/>
        <w:rPr>
          <w:bCs/>
          <w:color w:val="000000" w:themeColor="text1"/>
          <w:kern w:val="0"/>
          <w:sz w:val="24"/>
          <w:szCs w:val="24"/>
          <w14:textFill>
            <w14:solidFill>
              <w14:schemeClr w14:val="tx1"/>
            </w14:solidFill>
          </w14:textFill>
        </w:rPr>
      </w:pPr>
      <w:r>
        <w:rPr>
          <w:bCs/>
          <w:color w:val="000000" w:themeColor="text1"/>
          <w:kern w:val="0"/>
          <w:sz w:val="24"/>
          <w:szCs w:val="24"/>
          <w14:textFill>
            <w14:solidFill>
              <w14:schemeClr w14:val="tx1"/>
            </w14:solidFill>
          </w14:textFill>
        </w:rPr>
        <w:t>（1）倒纱：将纱线等重新卷绕成各种形式筒子，并清除纱线上的疵点，改善纱线品质，是织造的首道工序，主要产生噪声、边角废料。</w:t>
      </w:r>
    </w:p>
    <w:p>
      <w:pPr>
        <w:ind w:firstLine="480" w:firstLineChars="200"/>
        <w:rPr>
          <w:bCs/>
          <w:color w:val="000000" w:themeColor="text1"/>
          <w:kern w:val="0"/>
          <w:sz w:val="24"/>
          <w:szCs w:val="24"/>
          <w14:textFill>
            <w14:solidFill>
              <w14:schemeClr w14:val="tx1"/>
            </w14:solidFill>
          </w14:textFill>
        </w:rPr>
      </w:pPr>
      <w:r>
        <w:rPr>
          <w:bCs/>
          <w:color w:val="000000" w:themeColor="text1"/>
          <w:kern w:val="0"/>
          <w:sz w:val="24"/>
          <w:szCs w:val="24"/>
          <w14:textFill>
            <w14:solidFill>
              <w14:schemeClr w14:val="tx1"/>
            </w14:solidFill>
          </w14:textFill>
        </w:rPr>
        <w:t>（2）织片：是横机通过装有成圈机件的机头在针床上往复运动，驱动舌针在针槽中上下运动来完成的。横机针织时，织针的针脚进入凸轮的槽道内，移动三角迫使织针在针板的针槽内作有规律的升降运动，并通过针勾和针舌的动作将纱线编织成针织物。织针在上升过程中，线圈逐步退出针勾，打开针舌，并退出针舌挂在针杆上；织针在下降过程中，针勾勾住新垫放的纱线，并将其牵拉弯曲成线圈，同时原有的线圈则脱出针勾，新线圈从旧线圈中穿过，与旧线圈串联起来。众多的织针织成的线圈串互相联结形成了针织物。织</w:t>
      </w:r>
      <w:r>
        <w:rPr>
          <w:rFonts w:hint="eastAsia"/>
          <w:bCs/>
          <w:color w:val="000000" w:themeColor="text1"/>
          <w:kern w:val="0"/>
          <w:sz w:val="24"/>
          <w:szCs w:val="24"/>
          <w:lang w:eastAsia="zh-CN"/>
          <w14:textFill>
            <w14:solidFill>
              <w14:schemeClr w14:val="tx1"/>
            </w14:solidFill>
          </w14:textFill>
        </w:rPr>
        <w:t>片</w:t>
      </w:r>
      <w:r>
        <w:rPr>
          <w:bCs/>
          <w:color w:val="000000" w:themeColor="text1"/>
          <w:kern w:val="0"/>
          <w:sz w:val="24"/>
          <w:szCs w:val="24"/>
          <w14:textFill>
            <w14:solidFill>
              <w14:schemeClr w14:val="tx1"/>
            </w14:solidFill>
          </w14:textFill>
        </w:rPr>
        <w:t>工序主要产生噪声。</w:t>
      </w:r>
    </w:p>
    <w:p>
      <w:pPr>
        <w:ind w:firstLine="480" w:firstLineChars="200"/>
        <w:rPr>
          <w:bCs/>
          <w:color w:val="000000" w:themeColor="text1"/>
          <w:kern w:val="0"/>
          <w:sz w:val="24"/>
          <w:szCs w:val="24"/>
          <w14:textFill>
            <w14:solidFill>
              <w14:schemeClr w14:val="tx1"/>
            </w14:solidFill>
          </w14:textFill>
        </w:rPr>
      </w:pPr>
      <w:r>
        <w:rPr>
          <w:bCs/>
          <w:color w:val="000000" w:themeColor="text1"/>
          <w:kern w:val="0"/>
          <w:sz w:val="24"/>
          <w:szCs w:val="24"/>
          <w14:textFill>
            <w14:solidFill>
              <w14:schemeClr w14:val="tx1"/>
            </w14:solidFill>
          </w14:textFill>
        </w:rPr>
        <w:t>（3）检验：主要产生少量不合格品，</w:t>
      </w:r>
      <w:r>
        <w:rPr>
          <w:rFonts w:hint="eastAsia"/>
          <w:bCs/>
          <w:color w:val="000000" w:themeColor="text1"/>
          <w:kern w:val="0"/>
          <w:sz w:val="24"/>
          <w:szCs w:val="24"/>
          <w:lang w:eastAsia="zh-CN"/>
          <w14:textFill>
            <w14:solidFill>
              <w14:schemeClr w14:val="tx1"/>
            </w14:solidFill>
          </w14:textFill>
        </w:rPr>
        <w:t>经过拆片机拆解后重新织片</w:t>
      </w:r>
      <w:r>
        <w:rPr>
          <w:bCs/>
          <w:color w:val="000000" w:themeColor="text1"/>
          <w:kern w:val="0"/>
          <w:sz w:val="24"/>
          <w:szCs w:val="24"/>
          <w14:textFill>
            <w14:solidFill>
              <w14:schemeClr w14:val="tx1"/>
            </w14:solidFill>
          </w14:textFill>
        </w:rPr>
        <w:t>。</w:t>
      </w:r>
    </w:p>
    <w:p>
      <w:pPr>
        <w:ind w:firstLine="480" w:firstLineChars="200"/>
        <w:rPr>
          <w:bCs/>
          <w:color w:val="000000" w:themeColor="text1"/>
          <w:kern w:val="0"/>
          <w:sz w:val="24"/>
          <w:szCs w:val="24"/>
          <w14:textFill>
            <w14:solidFill>
              <w14:schemeClr w14:val="tx1"/>
            </w14:solidFill>
          </w14:textFill>
        </w:rPr>
      </w:pPr>
      <w:r>
        <w:rPr>
          <w:bCs/>
          <w:color w:val="000000" w:themeColor="text1"/>
          <w:kern w:val="0"/>
          <w:sz w:val="24"/>
          <w:szCs w:val="24"/>
          <w14:textFill>
            <w14:solidFill>
              <w14:schemeClr w14:val="tx1"/>
            </w14:solidFill>
          </w14:textFill>
        </w:rPr>
        <w:t>（4）套口：也叫缝合，是将线圈逐个刮到套口机的针刺盘上。一件普通的毛衫要求圈对圈缝合要求的部位有：袖子锁眼、绱领、绱、门襟、部分衣片的下摆缝合等，有些高档羊毛衫为了满足美观舒适要求，前后幅肩部也要圈对圈缝合。对于要缝合到大身衣片上的领子或者包边，采用该机械缝合时要求进行特殊编织，即要套口横列的下一列，采用荧光线编织，组织也由纬平针组织的正面变为反面，在机上编织的时候要换针床， 编织完这一列以后再换到原来的针床，改用别的纱线继续编织，这一横列相当于一条标记线，把要缝合横列的线圈提前锁起来，荧光线正好穿过要缝合横列的每个线圈，从正面看荧光线的线迹与普通缝合部位的正面线迹相同。套口主要产生噪声和废绕线芯。</w:t>
      </w:r>
    </w:p>
    <w:p>
      <w:pPr>
        <w:ind w:firstLine="480" w:firstLineChars="200"/>
        <w:rPr>
          <w:bCs/>
          <w:color w:val="000000" w:themeColor="text1"/>
          <w:kern w:val="0"/>
          <w:sz w:val="24"/>
          <w:szCs w:val="24"/>
          <w14:textFill>
            <w14:solidFill>
              <w14:schemeClr w14:val="tx1"/>
            </w14:solidFill>
          </w14:textFill>
        </w:rPr>
      </w:pPr>
      <w:r>
        <w:rPr>
          <w:bCs/>
          <w:color w:val="000000" w:themeColor="text1"/>
          <w:kern w:val="0"/>
          <w:sz w:val="24"/>
          <w:szCs w:val="24"/>
          <w14:textFill>
            <w14:solidFill>
              <w14:schemeClr w14:val="tx1"/>
            </w14:solidFill>
          </w14:textFill>
        </w:rPr>
        <w:t>（5）水洗：针织服装经织片、套口后需对服装进行柔软、整平处理，通过水洗工序完成，只需在清洗水中添加柔软剂、平滑剂和硅油等处理即可。当服装脏时添加洗衣粉清洗，洗不掉的污渍加去污剂清洁。主要产生噪声、柔软剂、平滑剂等废桶和水洗废水。</w:t>
      </w:r>
    </w:p>
    <w:p>
      <w:pPr>
        <w:ind w:firstLine="480" w:firstLineChars="200"/>
        <w:rPr>
          <w:bCs/>
          <w:color w:val="000000" w:themeColor="text1"/>
          <w:kern w:val="0"/>
          <w:sz w:val="24"/>
          <w:szCs w:val="24"/>
          <w14:textFill>
            <w14:solidFill>
              <w14:schemeClr w14:val="tx1"/>
            </w14:solidFill>
          </w14:textFill>
        </w:rPr>
      </w:pPr>
      <w:r>
        <w:rPr>
          <w:bCs/>
          <w:color w:val="000000" w:themeColor="text1"/>
          <w:kern w:val="0"/>
          <w:sz w:val="24"/>
          <w:szCs w:val="24"/>
          <w14:textFill>
            <w14:solidFill>
              <w14:schemeClr w14:val="tx1"/>
            </w14:solidFill>
          </w14:textFill>
        </w:rPr>
        <w:t>（6）烘干：</w:t>
      </w:r>
      <w:r>
        <w:rPr>
          <w:rFonts w:hint="eastAsia"/>
          <w:bCs/>
          <w:color w:val="000000" w:themeColor="text1"/>
          <w:kern w:val="0"/>
          <w:sz w:val="24"/>
          <w:szCs w:val="24"/>
          <w:lang w:eastAsia="zh-CN"/>
          <w14:textFill>
            <w14:solidFill>
              <w14:schemeClr w14:val="tx1"/>
            </w14:solidFill>
          </w14:textFill>
        </w:rPr>
        <w:t>水洗后经脱水后进行烘干，</w:t>
      </w:r>
      <w:r>
        <w:rPr>
          <w:bCs/>
          <w:color w:val="000000" w:themeColor="text1"/>
          <w:kern w:val="0"/>
          <w:sz w:val="24"/>
          <w:szCs w:val="24"/>
          <w14:textFill>
            <w14:solidFill>
              <w14:schemeClr w14:val="tx1"/>
            </w14:solidFill>
          </w14:textFill>
        </w:rPr>
        <w:t>烘干使用热蒸汽烘干，蒸汽由</w:t>
      </w:r>
      <w:r>
        <w:rPr>
          <w:rFonts w:hint="eastAsia"/>
          <w:bCs/>
          <w:color w:val="000000" w:themeColor="text1"/>
          <w:kern w:val="0"/>
          <w:sz w:val="24"/>
          <w:szCs w:val="24"/>
          <w:lang w:eastAsia="zh-CN"/>
          <w14:textFill>
            <w14:solidFill>
              <w14:schemeClr w14:val="tx1"/>
            </w14:solidFill>
          </w14:textFill>
        </w:rPr>
        <w:t>经济开发区集中供热提供热蒸汽</w:t>
      </w:r>
      <w:r>
        <w:rPr>
          <w:bCs/>
          <w:color w:val="000000" w:themeColor="text1"/>
          <w:kern w:val="0"/>
          <w:sz w:val="24"/>
          <w:szCs w:val="24"/>
          <w14:textFill>
            <w14:solidFill>
              <w14:schemeClr w14:val="tx1"/>
            </w14:solidFill>
          </w14:textFill>
        </w:rPr>
        <w:t>。</w:t>
      </w:r>
    </w:p>
    <w:p>
      <w:pPr>
        <w:ind w:firstLine="480" w:firstLineChars="200"/>
        <w:rPr>
          <w:rFonts w:hint="eastAsia" w:eastAsia="宋体"/>
          <w:bCs/>
          <w:color w:val="000000" w:themeColor="text1"/>
          <w:kern w:val="0"/>
          <w:sz w:val="24"/>
          <w:szCs w:val="24"/>
          <w:lang w:eastAsia="zh-CN"/>
          <w14:textFill>
            <w14:solidFill>
              <w14:schemeClr w14:val="tx1"/>
            </w14:solidFill>
          </w14:textFill>
        </w:rPr>
      </w:pPr>
      <w:r>
        <w:rPr>
          <w:bCs/>
          <w:color w:val="000000" w:themeColor="text1"/>
          <w:kern w:val="0"/>
          <w:sz w:val="24"/>
          <w:szCs w:val="24"/>
          <w14:textFill>
            <w14:solidFill>
              <w14:schemeClr w14:val="tx1"/>
            </w14:solidFill>
          </w14:textFill>
        </w:rPr>
        <w:t>（7）大烫：采用蒸汽加湿熨烫，高温蒸汽能够均匀地渗透到衣料组织、纤维间，使熨烫透彻，效果好，并能避免产生极光。水份可以促使纤维分子相互挤压，使纤维组织呈现膨胀、疏松、伸展的状态，借助水分子的润滑作用，使纤维内部大分子容易活动，易于热压塑型，最后达到热定型的目的。加热可以改变纤维的伸缩和织物的经纬组织结构的密度和方向，使织物纤维内部的分子反应活跃。由于纤维中的无定型区结构松散，分子间作用力相对较小，分子链段在受热后活动能力相应加大，促使织物内部结构排列发生强烈变化，在应力的作用下就会产生形变，使纤维链定向排列在新的位置上，把无定型区变成了定型区。大烫由</w:t>
      </w:r>
      <w:r>
        <w:rPr>
          <w:rFonts w:hint="eastAsia"/>
          <w:bCs/>
          <w:color w:val="000000" w:themeColor="text1"/>
          <w:kern w:val="0"/>
          <w:sz w:val="24"/>
          <w:szCs w:val="24"/>
          <w:lang w:eastAsia="zh-CN"/>
          <w14:textFill>
            <w14:solidFill>
              <w14:schemeClr w14:val="tx1"/>
            </w14:solidFill>
          </w14:textFill>
        </w:rPr>
        <w:t>开发区集中供热</w:t>
      </w:r>
      <w:r>
        <w:rPr>
          <w:bCs/>
          <w:color w:val="000000" w:themeColor="text1"/>
          <w:kern w:val="0"/>
          <w:sz w:val="24"/>
          <w:szCs w:val="24"/>
          <w14:textFill>
            <w14:solidFill>
              <w14:schemeClr w14:val="tx1"/>
            </w14:solidFill>
          </w14:textFill>
        </w:rPr>
        <w:t>提供所需热蒸汽</w:t>
      </w:r>
      <w:r>
        <w:rPr>
          <w:rFonts w:hint="eastAsia"/>
          <w:bCs/>
          <w:color w:val="000000" w:themeColor="text1"/>
          <w:kern w:val="0"/>
          <w:sz w:val="24"/>
          <w:szCs w:val="24"/>
          <w:lang w:eastAsia="zh-CN"/>
          <w14:textFill>
            <w14:solidFill>
              <w14:schemeClr w14:val="tx1"/>
            </w14:solidFill>
          </w14:textFill>
        </w:rPr>
        <w:t>。</w:t>
      </w:r>
    </w:p>
    <w:p>
      <w:pPr>
        <w:ind w:firstLine="480" w:firstLineChars="200"/>
        <w:rPr>
          <w:bCs/>
          <w:color w:val="000000" w:themeColor="text1"/>
          <w:kern w:val="0"/>
          <w:sz w:val="24"/>
          <w:szCs w:val="24"/>
          <w14:textFill>
            <w14:solidFill>
              <w14:schemeClr w14:val="tx1"/>
            </w14:solidFill>
          </w14:textFill>
        </w:rPr>
      </w:pPr>
      <w:r>
        <w:rPr>
          <w:bCs/>
          <w:color w:val="000000" w:themeColor="text1"/>
          <w:kern w:val="0"/>
          <w:sz w:val="24"/>
          <w:szCs w:val="24"/>
          <w14:textFill>
            <w14:solidFill>
              <w14:schemeClr w14:val="tx1"/>
            </w14:solidFill>
          </w14:textFill>
        </w:rPr>
        <w:t>（8）锁眼、钉扣：加工服装中的钮孔，并将钮扣缝在指定位置处。主要产生噪声、边角废料和废纽扣。</w:t>
      </w:r>
    </w:p>
    <w:p>
      <w:pPr>
        <w:ind w:firstLine="480" w:firstLineChars="200"/>
        <w:rPr>
          <w:bCs/>
          <w:color w:val="000000" w:themeColor="text1"/>
          <w:kern w:val="0"/>
          <w:sz w:val="24"/>
          <w:szCs w:val="24"/>
          <w14:textFill>
            <w14:solidFill>
              <w14:schemeClr w14:val="tx1"/>
            </w14:solidFill>
          </w14:textFill>
        </w:rPr>
      </w:pPr>
      <w:r>
        <w:rPr>
          <w:bCs/>
          <w:color w:val="000000" w:themeColor="text1"/>
          <w:kern w:val="0"/>
          <w:sz w:val="24"/>
          <w:szCs w:val="24"/>
          <w14:textFill>
            <w14:solidFill>
              <w14:schemeClr w14:val="tx1"/>
            </w14:solidFill>
          </w14:textFill>
        </w:rPr>
        <w:t>（9）</w:t>
      </w:r>
      <w:r>
        <w:rPr>
          <w:rFonts w:hint="eastAsia"/>
          <w:bCs/>
          <w:color w:val="000000" w:themeColor="text1"/>
          <w:kern w:val="0"/>
          <w:sz w:val="24"/>
          <w:szCs w:val="24"/>
          <w:lang w:eastAsia="zh-CN"/>
          <w14:textFill>
            <w14:solidFill>
              <w14:schemeClr w14:val="tx1"/>
            </w14:solidFill>
          </w14:textFill>
        </w:rPr>
        <w:t>检验</w:t>
      </w:r>
      <w:r>
        <w:rPr>
          <w:bCs/>
          <w:color w:val="000000" w:themeColor="text1"/>
          <w:kern w:val="0"/>
          <w:sz w:val="24"/>
          <w:szCs w:val="24"/>
          <w14:textFill>
            <w14:solidFill>
              <w14:schemeClr w14:val="tx1"/>
            </w14:solidFill>
          </w14:textFill>
        </w:rPr>
        <w:t>包装：</w:t>
      </w:r>
      <w:r>
        <w:rPr>
          <w:rFonts w:hint="eastAsia"/>
          <w:bCs/>
          <w:color w:val="000000" w:themeColor="text1"/>
          <w:kern w:val="0"/>
          <w:sz w:val="24"/>
          <w:szCs w:val="24"/>
          <w:lang w:eastAsia="zh-CN"/>
          <w14:textFill>
            <w14:solidFill>
              <w14:schemeClr w14:val="tx1"/>
            </w14:solidFill>
          </w14:textFill>
        </w:rPr>
        <w:t>成衣检验合格后进行套包装袋，然后通过验证器检验后装箱入库，</w:t>
      </w:r>
      <w:r>
        <w:rPr>
          <w:bCs/>
          <w:color w:val="000000" w:themeColor="text1"/>
          <w:kern w:val="0"/>
          <w:sz w:val="24"/>
          <w:szCs w:val="24"/>
          <w14:textFill>
            <w14:solidFill>
              <w14:schemeClr w14:val="tx1"/>
            </w14:solidFill>
          </w14:textFill>
        </w:rPr>
        <w:t>主要产生</w:t>
      </w:r>
      <w:r>
        <w:rPr>
          <w:rFonts w:hint="eastAsia"/>
          <w:bCs/>
          <w:color w:val="000000" w:themeColor="text1"/>
          <w:kern w:val="0"/>
          <w:sz w:val="24"/>
          <w:szCs w:val="24"/>
          <w:lang w:eastAsia="zh-CN"/>
          <w14:textFill>
            <w14:solidFill>
              <w14:schemeClr w14:val="tx1"/>
            </w14:solidFill>
          </w14:textFill>
        </w:rPr>
        <w:t>不合格品和</w:t>
      </w:r>
      <w:r>
        <w:rPr>
          <w:bCs/>
          <w:color w:val="000000" w:themeColor="text1"/>
          <w:kern w:val="0"/>
          <w:sz w:val="24"/>
          <w:szCs w:val="24"/>
          <w14:textFill>
            <w14:solidFill>
              <w14:schemeClr w14:val="tx1"/>
            </w14:solidFill>
          </w14:textFill>
        </w:rPr>
        <w:t>少量废包装材料。</w:t>
      </w:r>
    </w:p>
    <w:p>
      <w:r>
        <w:rPr>
          <w:bCs/>
          <w:color w:val="000000" w:themeColor="text1"/>
          <w:kern w:val="0"/>
          <w:sz w:val="24"/>
          <w:szCs w:val="24"/>
          <w14:textFill>
            <w14:solidFill>
              <w14:schemeClr w14:val="tx1"/>
            </w14:solidFill>
          </w14:textFill>
        </w:rPr>
        <w:t xml:space="preserve">   </w:t>
      </w:r>
      <w:r>
        <w:rPr>
          <w:rFonts w:hint="eastAsia"/>
          <w:bCs/>
          <w:color w:val="000000" w:themeColor="text1"/>
          <w:kern w:val="0"/>
          <w:sz w:val="24"/>
          <w:szCs w:val="24"/>
          <w14:textFill>
            <w14:solidFill>
              <w14:schemeClr w14:val="tx1"/>
            </w14:solidFill>
          </w14:textFill>
        </w:rPr>
        <w:t xml:space="preserve"> </w:t>
      </w:r>
      <w:r>
        <w:rPr>
          <w:bCs/>
          <w:color w:val="000000" w:themeColor="text1"/>
          <w:kern w:val="0"/>
          <w:sz w:val="24"/>
          <w:szCs w:val="24"/>
          <w14:textFill>
            <w14:solidFill>
              <w14:schemeClr w14:val="tx1"/>
            </w14:solidFill>
          </w14:textFill>
        </w:rPr>
        <w:t>综上，结合项目各产品生产工艺，运营期项目主要产污环节如下：</w:t>
      </w:r>
    </w:p>
    <w:p>
      <w:pPr>
        <w:spacing w:line="240" w:lineRule="auto"/>
        <w:ind w:firstLine="3132" w:firstLineChars="1300"/>
        <w:rPr>
          <w:b/>
          <w:kern w:val="0"/>
          <w:sz w:val="24"/>
          <w:szCs w:val="24"/>
        </w:rPr>
      </w:pPr>
      <w:r>
        <w:rPr>
          <w:b/>
          <w:kern w:val="0"/>
          <w:sz w:val="24"/>
          <w:szCs w:val="24"/>
        </w:rPr>
        <w:t>表2</w:t>
      </w:r>
      <w:r>
        <w:rPr>
          <w:rFonts w:hint="eastAsia"/>
          <w:b/>
          <w:kern w:val="0"/>
          <w:sz w:val="24"/>
          <w:szCs w:val="24"/>
          <w:lang w:val="en-US" w:eastAsia="zh-CN"/>
        </w:rPr>
        <w:t>.</w:t>
      </w:r>
      <w:r>
        <w:rPr>
          <w:b/>
          <w:kern w:val="0"/>
          <w:sz w:val="24"/>
          <w:szCs w:val="24"/>
        </w:rPr>
        <w:t>2-2产污环节一览表</w:t>
      </w:r>
    </w:p>
    <w:tbl>
      <w:tblPr>
        <w:tblStyle w:val="22"/>
        <w:tblW w:w="928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4"/>
        <w:gridCol w:w="3457"/>
        <w:gridCol w:w="40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9" w:hRule="atLeast"/>
        </w:trPr>
        <w:tc>
          <w:tcPr>
            <w:tcW w:w="1754" w:type="dxa"/>
            <w:tcBorders>
              <w:top w:val="single" w:color="000000" w:sz="12" w:space="0"/>
              <w:left w:val="nil"/>
              <w:bottom w:val="single" w:color="000000" w:sz="8" w:space="0"/>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3457" w:type="dxa"/>
            <w:tcBorders>
              <w:top w:val="single" w:color="000000" w:sz="12" w:space="0"/>
              <w:bottom w:val="single" w:color="000000" w:sz="8" w:space="0"/>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污染工序</w:t>
            </w:r>
          </w:p>
        </w:tc>
        <w:tc>
          <w:tcPr>
            <w:tcW w:w="4076" w:type="dxa"/>
            <w:tcBorders>
              <w:top w:val="single" w:color="000000" w:sz="12" w:space="0"/>
              <w:bottom w:val="single" w:color="000000" w:sz="8" w:space="0"/>
              <w:right w:val="nil"/>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1754" w:type="dxa"/>
            <w:vMerge w:val="restart"/>
            <w:tcBorders>
              <w:top w:val="single" w:color="000000" w:sz="8" w:space="0"/>
              <w:lef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废水</w:t>
            </w:r>
          </w:p>
        </w:tc>
        <w:tc>
          <w:tcPr>
            <w:tcW w:w="3457" w:type="dxa"/>
            <w:tcBorders>
              <w:top w:val="single" w:color="000000" w:sz="8" w:space="0"/>
              <w:bottom w:val="single" w:color="000000" w:sz="8" w:space="0"/>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水洗工序</w:t>
            </w:r>
          </w:p>
        </w:tc>
        <w:tc>
          <w:tcPr>
            <w:tcW w:w="4076" w:type="dxa"/>
            <w:tcBorders>
              <w:top w:val="single" w:color="000000" w:sz="8" w:space="0"/>
              <w:bottom w:val="single" w:color="000000" w:sz="8" w:space="0"/>
              <w:right w:val="nil"/>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pH、COD、NH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vertAlign w:val="baseline"/>
              </w:rPr>
              <w:t>-N、SS、</w:t>
            </w:r>
            <w:r>
              <w:rPr>
                <w:rFonts w:hint="eastAsia" w:cs="Times New Roman"/>
                <w:sz w:val="21"/>
                <w:szCs w:val="21"/>
                <w:vertAlign w:val="baseline"/>
                <w:lang w:eastAsia="zh-CN"/>
              </w:rPr>
              <w:t>色度、</w:t>
            </w:r>
            <w:r>
              <w:rPr>
                <w:rFonts w:hint="eastAsia" w:cs="Times New Roman"/>
                <w:sz w:val="21"/>
                <w:szCs w:val="21"/>
                <w:vertAlign w:val="baseline"/>
                <w:lang w:val="en-US" w:eastAsia="zh-CN"/>
              </w:rPr>
              <w:t>TP、</w:t>
            </w:r>
            <w:r>
              <w:rPr>
                <w:rFonts w:hint="default" w:ascii="Times New Roman" w:hAnsi="Times New Roman" w:eastAsia="宋体" w:cs="Times New Roman"/>
                <w:sz w:val="21"/>
                <w:szCs w:val="21"/>
                <w:vertAlign w:val="baseline"/>
              </w:rPr>
              <w:t>LAS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754" w:type="dxa"/>
            <w:vMerge w:val="continue"/>
            <w:tcBorders>
              <w:top w:val="single" w:color="000000" w:sz="8" w:space="0"/>
              <w:left w:val="nil"/>
              <w:bottom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p>
        </w:tc>
        <w:tc>
          <w:tcPr>
            <w:tcW w:w="3457" w:type="dxa"/>
            <w:tcBorders>
              <w:top w:val="single" w:color="000000" w:sz="8" w:space="0"/>
              <w:bottom w:val="single" w:color="000000" w:sz="8" w:space="0"/>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员工生活</w:t>
            </w:r>
          </w:p>
        </w:tc>
        <w:tc>
          <w:tcPr>
            <w:tcW w:w="4076" w:type="dxa"/>
            <w:tcBorders>
              <w:top w:val="single" w:color="000000" w:sz="8" w:space="0"/>
              <w:bottom w:val="single" w:color="000000" w:sz="8" w:space="0"/>
              <w:right w:val="nil"/>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pH、COD、NH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vertAlign w:val="baseline"/>
              </w:rPr>
              <w:t>-N、SS、动植物油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1754" w:type="dxa"/>
            <w:vMerge w:val="restart"/>
            <w:tcBorders>
              <w:top w:val="single" w:color="000000" w:sz="8" w:space="0"/>
              <w:lef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废气</w:t>
            </w:r>
          </w:p>
        </w:tc>
        <w:tc>
          <w:tcPr>
            <w:tcW w:w="3457" w:type="dxa"/>
            <w:tcBorders>
              <w:top w:val="single" w:color="000000" w:sz="8" w:space="0"/>
              <w:bottom w:val="single" w:color="000000" w:sz="8" w:space="0"/>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食堂烹饪</w:t>
            </w:r>
          </w:p>
        </w:tc>
        <w:tc>
          <w:tcPr>
            <w:tcW w:w="4076" w:type="dxa"/>
            <w:tcBorders>
              <w:top w:val="single" w:color="000000" w:sz="8" w:space="0"/>
              <w:bottom w:val="single" w:color="000000" w:sz="8" w:space="0"/>
              <w:right w:val="nil"/>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油烟废气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754" w:type="dxa"/>
            <w:vMerge w:val="continue"/>
            <w:tcBorders>
              <w:top w:val="single" w:color="000000" w:sz="8" w:space="0"/>
              <w:left w:val="nil"/>
              <w:bottom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p>
        </w:tc>
        <w:tc>
          <w:tcPr>
            <w:tcW w:w="3457" w:type="dxa"/>
            <w:tcBorders>
              <w:top w:val="single" w:color="000000" w:sz="8" w:space="0"/>
              <w:bottom w:val="single" w:color="000000" w:sz="8" w:space="0"/>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w:t>
            </w:r>
          </w:p>
        </w:tc>
        <w:tc>
          <w:tcPr>
            <w:tcW w:w="4076" w:type="dxa"/>
            <w:tcBorders>
              <w:top w:val="single" w:color="000000" w:sz="8" w:space="0"/>
              <w:bottom w:val="single" w:color="000000" w:sz="8" w:space="0"/>
              <w:right w:val="nil"/>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vertAlign w:val="baseline"/>
              </w:rPr>
              <w:t>、H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vertAlign w:val="baseline"/>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9" w:hRule="atLeast"/>
        </w:trPr>
        <w:tc>
          <w:tcPr>
            <w:tcW w:w="1754" w:type="dxa"/>
            <w:tcBorders>
              <w:top w:val="single" w:color="000000" w:sz="8" w:space="0"/>
              <w:left w:val="nil"/>
              <w:bottom w:val="single" w:color="000000" w:sz="8" w:space="0"/>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3457" w:type="dxa"/>
            <w:tcBorders>
              <w:top w:val="single" w:color="000000" w:sz="8" w:space="0"/>
              <w:bottom w:val="single" w:color="000000" w:sz="8" w:space="0"/>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设备运行</w:t>
            </w:r>
          </w:p>
        </w:tc>
        <w:tc>
          <w:tcPr>
            <w:tcW w:w="4076" w:type="dxa"/>
            <w:tcBorders>
              <w:top w:val="single" w:color="000000" w:sz="8" w:space="0"/>
              <w:bottom w:val="single" w:color="000000" w:sz="8" w:space="0"/>
              <w:right w:val="nil"/>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Leq(A)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754" w:type="dxa"/>
            <w:vMerge w:val="restart"/>
            <w:tcBorders>
              <w:top w:val="single" w:color="000000" w:sz="8" w:space="0"/>
              <w:left w:val="nil"/>
              <w:bottom w:val="single" w:color="000000" w:sz="8" w:space="0"/>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固体废物</w:t>
            </w:r>
          </w:p>
        </w:tc>
        <w:tc>
          <w:tcPr>
            <w:tcW w:w="3457" w:type="dxa"/>
            <w:tcBorders>
              <w:top w:val="single" w:color="000000" w:sz="8" w:space="0"/>
              <w:bottom w:val="single" w:color="000000" w:sz="8" w:space="0"/>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eastAsia="zh-CN"/>
              </w:rPr>
            </w:pPr>
            <w:r>
              <w:rPr>
                <w:rFonts w:hint="eastAsia" w:cs="Times New Roman"/>
                <w:sz w:val="21"/>
                <w:szCs w:val="21"/>
                <w:lang w:eastAsia="zh-CN"/>
              </w:rPr>
              <w:t>服装生产加工</w:t>
            </w:r>
          </w:p>
        </w:tc>
        <w:tc>
          <w:tcPr>
            <w:tcW w:w="4076" w:type="dxa"/>
            <w:tcBorders>
              <w:top w:val="single" w:color="000000" w:sz="8" w:space="0"/>
              <w:bottom w:val="single" w:color="000000" w:sz="8" w:space="0"/>
              <w:right w:val="nil"/>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边角废料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1754" w:type="dxa"/>
            <w:vMerge w:val="continue"/>
            <w:tcBorders>
              <w:top w:val="single" w:color="000000" w:sz="8" w:space="0"/>
              <w:left w:val="nil"/>
              <w:bottom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p>
        </w:tc>
        <w:tc>
          <w:tcPr>
            <w:tcW w:w="3457" w:type="dxa"/>
            <w:tcBorders>
              <w:top w:val="single" w:color="000000" w:sz="8" w:space="0"/>
              <w:bottom w:val="single" w:color="000000" w:sz="8" w:space="0"/>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检验工序</w:t>
            </w:r>
          </w:p>
        </w:tc>
        <w:tc>
          <w:tcPr>
            <w:tcW w:w="4076" w:type="dxa"/>
            <w:tcBorders>
              <w:top w:val="single" w:color="000000" w:sz="8" w:space="0"/>
              <w:bottom w:val="single" w:color="000000" w:sz="8" w:space="0"/>
              <w:right w:val="nil"/>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不合格品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754" w:type="dxa"/>
            <w:vMerge w:val="continue"/>
            <w:tcBorders>
              <w:top w:val="single" w:color="000000" w:sz="8" w:space="0"/>
              <w:left w:val="nil"/>
              <w:bottom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p>
        </w:tc>
        <w:tc>
          <w:tcPr>
            <w:tcW w:w="3457" w:type="dxa"/>
            <w:tcBorders>
              <w:top w:val="single" w:color="000000" w:sz="8" w:space="0"/>
              <w:bottom w:val="single" w:color="000000" w:sz="8" w:space="0"/>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水洗工序</w:t>
            </w:r>
          </w:p>
        </w:tc>
        <w:tc>
          <w:tcPr>
            <w:tcW w:w="4076" w:type="dxa"/>
            <w:tcBorders>
              <w:top w:val="single" w:color="000000" w:sz="8" w:space="0"/>
              <w:bottom w:val="single" w:color="000000" w:sz="8" w:space="0"/>
              <w:right w:val="nil"/>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柔软剂、平滑剂等废桶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1754" w:type="dxa"/>
            <w:vMerge w:val="continue"/>
            <w:tcBorders>
              <w:top w:val="single" w:color="000000" w:sz="8" w:space="0"/>
              <w:left w:val="nil"/>
              <w:bottom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p>
        </w:tc>
        <w:tc>
          <w:tcPr>
            <w:tcW w:w="3457" w:type="dxa"/>
            <w:tcBorders>
              <w:top w:val="single" w:color="000000" w:sz="8" w:space="0"/>
              <w:bottom w:val="single" w:color="000000" w:sz="8" w:space="0"/>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包装工序</w:t>
            </w:r>
          </w:p>
        </w:tc>
        <w:tc>
          <w:tcPr>
            <w:tcW w:w="4076" w:type="dxa"/>
            <w:tcBorders>
              <w:top w:val="single" w:color="000000" w:sz="8" w:space="0"/>
              <w:bottom w:val="single" w:color="000000" w:sz="8" w:space="0"/>
              <w:right w:val="nil"/>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废包装材料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754" w:type="dxa"/>
            <w:vMerge w:val="continue"/>
            <w:tcBorders>
              <w:top w:val="single" w:color="000000" w:sz="8" w:space="0"/>
              <w:left w:val="nil"/>
              <w:bottom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p>
        </w:tc>
        <w:tc>
          <w:tcPr>
            <w:tcW w:w="3457" w:type="dxa"/>
            <w:tcBorders>
              <w:top w:val="single" w:color="000000" w:sz="8" w:space="0"/>
              <w:bottom w:val="single" w:color="000000" w:sz="8" w:space="0"/>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员工生活、办公</w:t>
            </w:r>
          </w:p>
        </w:tc>
        <w:tc>
          <w:tcPr>
            <w:tcW w:w="4076" w:type="dxa"/>
            <w:tcBorders>
              <w:top w:val="single" w:color="000000" w:sz="8" w:space="0"/>
              <w:bottom w:val="single" w:color="000000" w:sz="8" w:space="0"/>
              <w:right w:val="nil"/>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754" w:type="dxa"/>
            <w:vMerge w:val="continue"/>
            <w:tcBorders>
              <w:top w:val="single" w:color="000000" w:sz="8" w:space="0"/>
              <w:left w:val="nil"/>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p>
        </w:tc>
        <w:tc>
          <w:tcPr>
            <w:tcW w:w="3457" w:type="dxa"/>
            <w:tcBorders>
              <w:top w:val="single" w:color="000000" w:sz="8" w:space="0"/>
              <w:bottom w:val="single" w:color="000000" w:sz="12" w:space="0"/>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污水处理站污水处理</w:t>
            </w:r>
          </w:p>
        </w:tc>
        <w:tc>
          <w:tcPr>
            <w:tcW w:w="4076" w:type="dxa"/>
            <w:tcBorders>
              <w:top w:val="single" w:color="000000" w:sz="8" w:space="0"/>
              <w:bottom w:val="single" w:color="000000" w:sz="12" w:space="0"/>
              <w:right w:val="nil"/>
            </w:tcBorders>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污泥</w:t>
            </w:r>
          </w:p>
        </w:tc>
      </w:tr>
    </w:tbl>
    <w:p>
      <w:pPr>
        <w:adjustRightInd/>
        <w:snapToGrid/>
        <w:rPr>
          <w:b/>
          <w:sz w:val="24"/>
          <w:szCs w:val="24"/>
        </w:rPr>
      </w:pPr>
      <w:r>
        <w:rPr>
          <w:b/>
          <w:sz w:val="24"/>
          <w:szCs w:val="24"/>
        </w:rPr>
        <w:t>2</w:t>
      </w:r>
      <w:r>
        <w:rPr>
          <w:rFonts w:hint="eastAsia"/>
          <w:b/>
          <w:sz w:val="24"/>
          <w:szCs w:val="24"/>
        </w:rPr>
        <w:t>.2.4</w:t>
      </w:r>
      <w:r>
        <w:rPr>
          <w:b/>
          <w:sz w:val="24"/>
          <w:szCs w:val="24"/>
        </w:rPr>
        <w:t>、水平衡</w:t>
      </w:r>
    </w:p>
    <w:p>
      <w:pPr>
        <w:ind w:firstLine="480" w:firstLineChars="200"/>
        <w:rPr>
          <w:sz w:val="24"/>
          <w:szCs w:val="24"/>
        </w:rPr>
      </w:pPr>
      <w:bookmarkStart w:id="164" w:name="_Toc1806_WPSOffice_Level2"/>
      <w:bookmarkStart w:id="165" w:name="_Toc532395296"/>
      <w:r>
        <w:rPr>
          <w:sz w:val="24"/>
          <w:szCs w:val="24"/>
        </w:rPr>
        <w:t>项目用水主要为</w:t>
      </w:r>
      <w:r>
        <w:rPr>
          <w:rFonts w:hint="eastAsia"/>
          <w:sz w:val="24"/>
          <w:szCs w:val="24"/>
          <w:lang w:eastAsia="zh-CN"/>
        </w:rPr>
        <w:t>水洗</w:t>
      </w:r>
      <w:r>
        <w:rPr>
          <w:sz w:val="24"/>
          <w:szCs w:val="24"/>
        </w:rPr>
        <w:t>生产用水</w:t>
      </w:r>
      <w:r>
        <w:rPr>
          <w:rFonts w:hint="eastAsia"/>
          <w:sz w:val="24"/>
          <w:szCs w:val="24"/>
          <w:lang w:eastAsia="zh-CN"/>
        </w:rPr>
        <w:t>和</w:t>
      </w:r>
      <w:r>
        <w:rPr>
          <w:sz w:val="24"/>
          <w:szCs w:val="24"/>
        </w:rPr>
        <w:t>职工生活办公用水。</w:t>
      </w:r>
    </w:p>
    <w:p>
      <w:pPr>
        <w:numPr>
          <w:ilvl w:val="0"/>
          <w:numId w:val="4"/>
        </w:numPr>
        <w:ind w:firstLine="480" w:firstLineChars="200"/>
        <w:rPr>
          <w:rFonts w:hint="eastAsia"/>
          <w:sz w:val="24"/>
          <w:szCs w:val="24"/>
          <w:lang w:eastAsia="zh-CN"/>
        </w:rPr>
      </w:pPr>
      <w:r>
        <w:rPr>
          <w:rFonts w:hint="eastAsia"/>
          <w:sz w:val="24"/>
          <w:szCs w:val="24"/>
          <w:lang w:eastAsia="zh-CN"/>
        </w:rPr>
        <w:t>水洗</w:t>
      </w:r>
      <w:r>
        <w:rPr>
          <w:sz w:val="24"/>
          <w:szCs w:val="24"/>
        </w:rPr>
        <w:t>生产用水：根据</w:t>
      </w:r>
      <w:r>
        <w:rPr>
          <w:rFonts w:hint="eastAsia"/>
          <w:sz w:val="24"/>
          <w:szCs w:val="24"/>
          <w:lang w:eastAsia="zh-CN"/>
        </w:rPr>
        <w:t>建设单位生产经验和类比同类型企业，服装水洗需进行两边水洗，第</w:t>
      </w:r>
      <w:r>
        <w:rPr>
          <w:rFonts w:hint="eastAsia"/>
          <w:sz w:val="24"/>
          <w:szCs w:val="24"/>
          <w:lang w:val="en-US" w:eastAsia="zh-CN"/>
        </w:rPr>
        <w:t>1</w:t>
      </w:r>
      <w:r>
        <w:rPr>
          <w:rFonts w:hint="eastAsia"/>
          <w:sz w:val="24"/>
          <w:szCs w:val="24"/>
          <w:lang w:eastAsia="zh-CN"/>
        </w:rPr>
        <w:t>遍水洗使用添加剂，用量约</w:t>
      </w:r>
      <w:r>
        <w:rPr>
          <w:rFonts w:hint="eastAsia"/>
          <w:sz w:val="24"/>
          <w:szCs w:val="24"/>
          <w:lang w:val="en-US" w:eastAsia="zh-CN"/>
        </w:rPr>
        <w:t>10m</w:t>
      </w:r>
      <w:r>
        <w:rPr>
          <w:rFonts w:hint="eastAsia"/>
          <w:sz w:val="24"/>
          <w:szCs w:val="24"/>
          <w:vertAlign w:val="superscript"/>
          <w:lang w:val="en-US" w:eastAsia="zh-CN"/>
        </w:rPr>
        <w:t>3</w:t>
      </w:r>
      <w:r>
        <w:rPr>
          <w:rFonts w:hint="eastAsia"/>
          <w:sz w:val="24"/>
          <w:szCs w:val="24"/>
          <w:lang w:val="en-US" w:eastAsia="zh-CN"/>
        </w:rPr>
        <w:t>/d，第2遍用清水洗，用量约5m</w:t>
      </w:r>
      <w:r>
        <w:rPr>
          <w:rFonts w:hint="eastAsia"/>
          <w:sz w:val="24"/>
          <w:szCs w:val="24"/>
          <w:vertAlign w:val="superscript"/>
          <w:lang w:val="en-US" w:eastAsia="zh-CN"/>
        </w:rPr>
        <w:t>3</w:t>
      </w:r>
      <w:r>
        <w:rPr>
          <w:rFonts w:hint="eastAsia"/>
          <w:sz w:val="24"/>
          <w:szCs w:val="24"/>
          <w:lang w:val="en-US" w:eastAsia="zh-CN"/>
        </w:rPr>
        <w:t>/d，则1天水洗用量为15m</w:t>
      </w:r>
      <w:r>
        <w:rPr>
          <w:rFonts w:hint="eastAsia"/>
          <w:sz w:val="24"/>
          <w:szCs w:val="24"/>
          <w:vertAlign w:val="superscript"/>
          <w:lang w:val="en-US" w:eastAsia="zh-CN"/>
        </w:rPr>
        <w:t>3</w:t>
      </w:r>
      <w:r>
        <w:rPr>
          <w:rFonts w:hint="eastAsia"/>
          <w:sz w:val="24"/>
          <w:szCs w:val="24"/>
          <w:lang w:val="en-US" w:eastAsia="zh-CN"/>
        </w:rPr>
        <w:t>/d，4500m</w:t>
      </w:r>
      <w:r>
        <w:rPr>
          <w:rFonts w:hint="eastAsia"/>
          <w:sz w:val="24"/>
          <w:szCs w:val="24"/>
          <w:vertAlign w:val="superscript"/>
          <w:lang w:val="en-US" w:eastAsia="zh-CN"/>
        </w:rPr>
        <w:t>3</w:t>
      </w:r>
      <w:r>
        <w:rPr>
          <w:rFonts w:hint="eastAsia"/>
          <w:sz w:val="24"/>
          <w:szCs w:val="24"/>
          <w:lang w:val="en-US" w:eastAsia="zh-CN"/>
        </w:rPr>
        <w:t>/a，废水排放系数取0.9，则水洗废水排水量为13.5m</w:t>
      </w:r>
      <w:r>
        <w:rPr>
          <w:rFonts w:hint="eastAsia"/>
          <w:sz w:val="24"/>
          <w:szCs w:val="24"/>
          <w:vertAlign w:val="superscript"/>
          <w:lang w:val="en-US" w:eastAsia="zh-CN"/>
        </w:rPr>
        <w:t>3</w:t>
      </w:r>
      <w:r>
        <w:rPr>
          <w:rFonts w:hint="eastAsia"/>
          <w:sz w:val="24"/>
          <w:szCs w:val="24"/>
          <w:lang w:val="en-US" w:eastAsia="zh-CN"/>
        </w:rPr>
        <w:t>/d，4050m</w:t>
      </w:r>
      <w:r>
        <w:rPr>
          <w:rFonts w:hint="eastAsia"/>
          <w:sz w:val="24"/>
          <w:szCs w:val="24"/>
          <w:vertAlign w:val="superscript"/>
          <w:lang w:val="en-US" w:eastAsia="zh-CN"/>
        </w:rPr>
        <w:t>3</w:t>
      </w:r>
      <w:r>
        <w:rPr>
          <w:rFonts w:hint="eastAsia"/>
          <w:sz w:val="24"/>
          <w:szCs w:val="24"/>
          <w:lang w:val="en-US" w:eastAsia="zh-CN"/>
        </w:rPr>
        <w:t>/a。</w:t>
      </w:r>
    </w:p>
    <w:p>
      <w:pPr>
        <w:numPr>
          <w:ilvl w:val="0"/>
          <w:numId w:val="0"/>
        </w:numPr>
        <w:ind w:firstLine="480" w:firstLineChars="200"/>
        <w:rPr>
          <w:sz w:val="24"/>
          <w:szCs w:val="24"/>
        </w:rPr>
      </w:pPr>
      <w:r>
        <w:rPr>
          <w:sz w:val="24"/>
          <w:szCs w:val="24"/>
        </w:rPr>
        <w:t>（</w:t>
      </w:r>
      <w:r>
        <w:rPr>
          <w:rFonts w:hint="eastAsia"/>
          <w:sz w:val="24"/>
          <w:szCs w:val="24"/>
          <w:lang w:val="en-US" w:eastAsia="zh-CN"/>
        </w:rPr>
        <w:t>2</w:t>
      </w:r>
      <w:r>
        <w:rPr>
          <w:sz w:val="24"/>
          <w:szCs w:val="24"/>
        </w:rPr>
        <w:t>）</w:t>
      </w:r>
      <w:r>
        <w:rPr>
          <w:rFonts w:hint="eastAsia"/>
          <w:sz w:val="24"/>
          <w:szCs w:val="24"/>
        </w:rPr>
        <w:t>职工生活用水</w:t>
      </w:r>
    </w:p>
    <w:p>
      <w:pPr>
        <w:ind w:firstLine="480" w:firstLineChars="200"/>
        <w:rPr>
          <w:sz w:val="24"/>
          <w:szCs w:val="24"/>
        </w:rPr>
      </w:pPr>
      <w:r>
        <w:rPr>
          <w:sz w:val="24"/>
          <w:szCs w:val="24"/>
        </w:rPr>
        <w:t>项目正式投产后职工总数为</w:t>
      </w:r>
      <w:r>
        <w:rPr>
          <w:rFonts w:hint="eastAsia"/>
          <w:sz w:val="24"/>
          <w:szCs w:val="24"/>
          <w:lang w:val="en-US" w:eastAsia="zh-CN"/>
        </w:rPr>
        <w:t>200</w:t>
      </w:r>
      <w:r>
        <w:rPr>
          <w:sz w:val="24"/>
          <w:szCs w:val="24"/>
        </w:rPr>
        <w:t>人，</w:t>
      </w:r>
      <w:r>
        <w:rPr>
          <w:rFonts w:hint="eastAsia"/>
          <w:sz w:val="24"/>
          <w:szCs w:val="24"/>
          <w:highlight w:val="none"/>
          <w:lang w:eastAsia="zh-CN"/>
        </w:rPr>
        <w:t>厂区提供食宿</w:t>
      </w:r>
      <w:r>
        <w:rPr>
          <w:sz w:val="24"/>
          <w:szCs w:val="24"/>
          <w:highlight w:val="none"/>
        </w:rPr>
        <w:t>，</w:t>
      </w:r>
      <w:r>
        <w:rPr>
          <w:sz w:val="24"/>
          <w:szCs w:val="24"/>
        </w:rPr>
        <w:t>职工用水标准按</w:t>
      </w:r>
      <w:r>
        <w:rPr>
          <w:rFonts w:hint="eastAsia"/>
          <w:sz w:val="24"/>
          <w:szCs w:val="24"/>
          <w:lang w:val="en-US" w:eastAsia="zh-CN"/>
        </w:rPr>
        <w:t>12</w:t>
      </w:r>
      <w:r>
        <w:rPr>
          <w:sz w:val="24"/>
          <w:szCs w:val="24"/>
        </w:rPr>
        <w:t>0L/人·d计算，污水排放系数取0.8，则运营期职工用水量为</w:t>
      </w:r>
      <w:r>
        <w:rPr>
          <w:rFonts w:hint="eastAsia"/>
          <w:sz w:val="24"/>
          <w:szCs w:val="24"/>
          <w:lang w:val="en-US" w:eastAsia="zh-CN"/>
        </w:rPr>
        <w:t>24</w:t>
      </w:r>
      <w:r>
        <w:rPr>
          <w:sz w:val="24"/>
          <w:szCs w:val="24"/>
        </w:rPr>
        <w:t>m³/d（</w:t>
      </w:r>
      <w:r>
        <w:rPr>
          <w:rFonts w:hint="eastAsia"/>
          <w:sz w:val="24"/>
          <w:szCs w:val="24"/>
          <w:lang w:val="en-US" w:eastAsia="zh-CN"/>
        </w:rPr>
        <w:t>7200</w:t>
      </w:r>
      <w:r>
        <w:rPr>
          <w:sz w:val="24"/>
          <w:szCs w:val="24"/>
        </w:rPr>
        <w:t>m³/a），排水量为</w:t>
      </w:r>
      <w:r>
        <w:rPr>
          <w:rFonts w:hint="eastAsia"/>
          <w:sz w:val="24"/>
          <w:szCs w:val="24"/>
          <w:lang w:val="en-US" w:eastAsia="zh-CN"/>
        </w:rPr>
        <w:t>19.2</w:t>
      </w:r>
      <w:r>
        <w:rPr>
          <w:sz w:val="24"/>
          <w:szCs w:val="24"/>
        </w:rPr>
        <w:t xml:space="preserve"> m³/d（</w:t>
      </w:r>
      <w:r>
        <w:rPr>
          <w:rFonts w:hint="eastAsia"/>
          <w:sz w:val="24"/>
          <w:szCs w:val="24"/>
          <w:lang w:val="en-US" w:eastAsia="zh-CN"/>
        </w:rPr>
        <w:t>5760</w:t>
      </w:r>
      <w:r>
        <w:rPr>
          <w:sz w:val="24"/>
          <w:szCs w:val="24"/>
        </w:rPr>
        <w:t>m³/a）。</w:t>
      </w:r>
    </w:p>
    <w:p>
      <w:pPr>
        <w:ind w:firstLine="480" w:firstLineChars="200"/>
        <w:rPr>
          <w:sz w:val="24"/>
          <w:szCs w:val="24"/>
        </w:rPr>
      </w:pPr>
      <w:r>
        <w:rPr>
          <w:sz w:val="24"/>
          <w:szCs w:val="24"/>
        </w:rPr>
        <w:t>项目用水情况见表2</w:t>
      </w:r>
      <w:r>
        <w:rPr>
          <w:rFonts w:hint="eastAsia"/>
          <w:sz w:val="24"/>
          <w:szCs w:val="24"/>
          <w:lang w:val="en-US" w:eastAsia="zh-CN"/>
        </w:rPr>
        <w:t>.</w:t>
      </w:r>
      <w:r>
        <w:rPr>
          <w:sz w:val="24"/>
          <w:szCs w:val="24"/>
        </w:rPr>
        <w:t>2-</w:t>
      </w:r>
      <w:r>
        <w:rPr>
          <w:rFonts w:hint="eastAsia"/>
          <w:sz w:val="24"/>
          <w:szCs w:val="24"/>
          <w:lang w:val="en-US" w:eastAsia="zh-CN"/>
        </w:rPr>
        <w:t>3</w:t>
      </w:r>
      <w:r>
        <w:rPr>
          <w:sz w:val="24"/>
          <w:szCs w:val="24"/>
        </w:rPr>
        <w:t>和图2</w:t>
      </w:r>
      <w:r>
        <w:rPr>
          <w:rFonts w:hint="eastAsia"/>
          <w:sz w:val="24"/>
          <w:szCs w:val="24"/>
        </w:rPr>
        <w:t>.2-</w:t>
      </w:r>
      <w:r>
        <w:rPr>
          <w:rFonts w:hint="eastAsia"/>
          <w:sz w:val="24"/>
          <w:szCs w:val="24"/>
          <w:lang w:val="en-US" w:eastAsia="zh-CN"/>
        </w:rPr>
        <w:t>3</w:t>
      </w:r>
      <w:r>
        <w:rPr>
          <w:sz w:val="24"/>
          <w:szCs w:val="24"/>
        </w:rPr>
        <w:t>。</w:t>
      </w:r>
    </w:p>
    <w:p>
      <w:pPr>
        <w:spacing w:line="240" w:lineRule="auto"/>
        <w:ind w:firstLine="480" w:firstLineChars="200"/>
        <w:jc w:val="center"/>
        <w:rPr>
          <w:b/>
          <w:bCs/>
          <w:sz w:val="24"/>
          <w:szCs w:val="24"/>
        </w:rPr>
      </w:pPr>
      <w:r>
        <w:rPr>
          <w:sz w:val="24"/>
          <w:szCs w:val="24"/>
        </w:rPr>
        <w:t xml:space="preserve">        </w:t>
      </w:r>
      <w:r>
        <w:rPr>
          <w:b/>
          <w:bCs/>
          <w:sz w:val="24"/>
          <w:szCs w:val="24"/>
        </w:rPr>
        <w:t>表2</w:t>
      </w:r>
      <w:r>
        <w:rPr>
          <w:rFonts w:hint="eastAsia"/>
          <w:b/>
          <w:bCs/>
          <w:sz w:val="24"/>
          <w:szCs w:val="24"/>
          <w:lang w:val="en-US" w:eastAsia="zh-CN"/>
        </w:rPr>
        <w:t>.2</w:t>
      </w:r>
      <w:r>
        <w:rPr>
          <w:b/>
          <w:bCs/>
          <w:sz w:val="24"/>
          <w:szCs w:val="24"/>
        </w:rPr>
        <w:t>-</w:t>
      </w:r>
      <w:r>
        <w:rPr>
          <w:rFonts w:hint="eastAsia"/>
          <w:b/>
          <w:bCs/>
          <w:sz w:val="24"/>
          <w:szCs w:val="24"/>
          <w:lang w:val="en-US" w:eastAsia="zh-CN"/>
        </w:rPr>
        <w:t>3</w:t>
      </w:r>
      <w:r>
        <w:rPr>
          <w:b/>
          <w:bCs/>
          <w:sz w:val="24"/>
          <w:szCs w:val="24"/>
        </w:rPr>
        <w:t xml:space="preserve">    项目用水情况一览表   单位：m</w:t>
      </w:r>
      <w:r>
        <w:rPr>
          <w:b/>
          <w:bCs/>
          <w:sz w:val="24"/>
          <w:szCs w:val="24"/>
          <w:vertAlign w:val="superscript"/>
        </w:rPr>
        <w:t>3</w:t>
      </w:r>
      <w:r>
        <w:rPr>
          <w:b/>
          <w:bCs/>
          <w:sz w:val="24"/>
          <w:szCs w:val="24"/>
        </w:rPr>
        <w:t>/a</w:t>
      </w:r>
    </w:p>
    <w:tbl>
      <w:tblPr>
        <w:tblStyle w:val="22"/>
        <w:tblW w:w="8465" w:type="dxa"/>
        <w:jc w:val="center"/>
        <w:tblInd w:w="-1179"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980"/>
        <w:gridCol w:w="1188"/>
        <w:gridCol w:w="830"/>
        <w:gridCol w:w="1091"/>
        <w:gridCol w:w="990"/>
        <w:gridCol w:w="14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0" w:hRule="exact"/>
          <w:jc w:val="center"/>
        </w:trPr>
        <w:tc>
          <w:tcPr>
            <w:tcW w:w="9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序号</w:t>
            </w:r>
          </w:p>
        </w:tc>
        <w:tc>
          <w:tcPr>
            <w:tcW w:w="19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用水种类</w:t>
            </w:r>
          </w:p>
        </w:tc>
        <w:tc>
          <w:tcPr>
            <w:tcW w:w="11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用水标准</w:t>
            </w:r>
          </w:p>
        </w:tc>
        <w:tc>
          <w:tcPr>
            <w:tcW w:w="8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用水量</w:t>
            </w:r>
          </w:p>
        </w:tc>
        <w:tc>
          <w:tcPr>
            <w:tcW w:w="109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损耗量</w:t>
            </w:r>
          </w:p>
        </w:tc>
        <w:tc>
          <w:tcPr>
            <w:tcW w:w="9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废水量</w:t>
            </w:r>
          </w:p>
        </w:tc>
        <w:tc>
          <w:tcPr>
            <w:tcW w:w="14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exact"/>
          <w:jc w:val="center"/>
        </w:trPr>
        <w:tc>
          <w:tcPr>
            <w:tcW w:w="9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1</w:t>
            </w:r>
          </w:p>
        </w:tc>
        <w:tc>
          <w:tcPr>
            <w:tcW w:w="19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rFonts w:hint="eastAsia"/>
                <w:lang w:eastAsia="zh-CN"/>
              </w:rPr>
              <w:t>水洗</w:t>
            </w:r>
            <w:r>
              <w:t>生产用水</w:t>
            </w:r>
          </w:p>
        </w:tc>
        <w:tc>
          <w:tcPr>
            <w:tcW w:w="11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lang w:eastAsia="zh-CN"/>
              </w:rPr>
            </w:pPr>
            <w:r>
              <w:rPr>
                <w:rFonts w:hint="default"/>
                <w:lang w:val="en-US"/>
              </w:rPr>
              <mc:AlternateContent>
                <mc:Choice Requires="wps">
                  <w:drawing>
                    <wp:anchor distT="0" distB="0" distL="114300" distR="114300" simplePos="0" relativeHeight="251706368" behindDoc="0" locked="0" layoutInCell="1" allowOverlap="1">
                      <wp:simplePos x="0" y="0"/>
                      <wp:positionH relativeFrom="column">
                        <wp:posOffset>3298190</wp:posOffset>
                      </wp:positionH>
                      <wp:positionV relativeFrom="paragraph">
                        <wp:posOffset>7125335</wp:posOffset>
                      </wp:positionV>
                      <wp:extent cx="6985" cy="4982845"/>
                      <wp:effectExtent l="0" t="0" r="0" b="0"/>
                      <wp:wrapNone/>
                      <wp:docPr id="332" name="直接连接符 332"/>
                      <wp:cNvGraphicFramePr/>
                      <a:graphic xmlns:a="http://schemas.openxmlformats.org/drawingml/2006/main">
                        <a:graphicData uri="http://schemas.microsoft.com/office/word/2010/wordprocessingShape">
                          <wps:wsp>
                            <wps:cNvCnPr/>
                            <wps:spPr>
                              <a:xfrm flipH="1">
                                <a:off x="0" y="0"/>
                                <a:ext cx="6985" cy="498284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margin-left:259.7pt;margin-top:561.05pt;height:392.35pt;width:0.55pt;z-index:251706368;mso-width-relative:page;mso-height-relative:page;" filled="f" stroked="t" coordsize="21600,21600" o:gfxdata="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xXNM92gAA&#10;AA0BAAAPAAAAAAAAAAEAIAAAACIAAABkcnMvZG93bnJldi54bWxQSwECFAAUAAAACACHTuJAKPLA&#10;ueMBAACpAwAADgAAAAAAAAABACAAAAApAQAAZHJzL2Uyb0RvYy54bWxQSwUGAAAAAAYABgBZAQAA&#10;fgUAAAAA&#10;">
                      <v:fill on="f" focussize="0,0"/>
                      <v:stroke color="#000000" joinstyle="round"/>
                      <v:imagedata o:title=""/>
                      <o:lock v:ext="edit" aspectratio="f"/>
                    </v:line>
                  </w:pict>
                </mc:Fallback>
              </mc:AlternateContent>
            </w:r>
            <w:r>
              <w:rPr>
                <w:rFonts w:hint="eastAsia"/>
                <w:lang w:val="en-US" w:eastAsia="zh-CN"/>
              </w:rPr>
              <w:t>15m</w:t>
            </w:r>
            <w:r>
              <w:rPr>
                <w:rFonts w:hint="eastAsia"/>
                <w:vertAlign w:val="superscript"/>
                <w:lang w:val="en-US" w:eastAsia="zh-CN"/>
              </w:rPr>
              <w:t>3</w:t>
            </w:r>
            <w:r>
              <w:rPr>
                <w:rFonts w:hint="eastAsia"/>
                <w:lang w:val="en-US" w:eastAsia="zh-CN"/>
              </w:rPr>
              <w:t>/d</w:t>
            </w:r>
          </w:p>
        </w:tc>
        <w:tc>
          <w:tcPr>
            <w:tcW w:w="8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lang w:val="en-US" w:eastAsia="zh-CN"/>
              </w:rPr>
            </w:pPr>
            <w:r>
              <w:rPr>
                <w:rFonts w:hint="eastAsia"/>
                <w:lang w:val="en-US" w:eastAsia="zh-CN"/>
              </w:rPr>
              <w:t>4500</w:t>
            </w:r>
          </w:p>
        </w:tc>
        <w:tc>
          <w:tcPr>
            <w:tcW w:w="109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lang w:val="en-US" w:eastAsia="zh-CN"/>
              </w:rPr>
            </w:pPr>
            <w:r>
              <w:rPr>
                <w:rFonts w:hint="eastAsia"/>
                <w:lang w:val="en-US" w:eastAsia="zh-CN"/>
              </w:rPr>
              <w:t>450</w:t>
            </w:r>
          </w:p>
        </w:tc>
        <w:tc>
          <w:tcPr>
            <w:tcW w:w="9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lang w:val="en-US" w:eastAsia="zh-CN"/>
              </w:rPr>
            </w:pPr>
            <w:r>
              <w:rPr>
                <w:rFonts w:hint="eastAsia"/>
                <w:lang w:val="en-US" w:eastAsia="zh-CN"/>
              </w:rPr>
              <w:t>4050</w:t>
            </w:r>
          </w:p>
        </w:tc>
        <w:tc>
          <w:tcPr>
            <w:tcW w:w="14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排污系数0.</w:t>
            </w:r>
            <w:r>
              <w:rPr>
                <w:rFonts w:hint="eastAsia"/>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20" w:hRule="exact"/>
          <w:jc w:val="center"/>
        </w:trPr>
        <w:tc>
          <w:tcPr>
            <w:tcW w:w="9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2</w:t>
            </w:r>
          </w:p>
        </w:tc>
        <w:tc>
          <w:tcPr>
            <w:tcW w:w="19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生活办公</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用水</w:t>
            </w:r>
          </w:p>
        </w:tc>
        <w:tc>
          <w:tcPr>
            <w:tcW w:w="11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rFonts w:hint="eastAsia"/>
                <w:lang w:val="en-US" w:eastAsia="zh-CN"/>
              </w:rPr>
              <w:t>120</w:t>
            </w:r>
            <w:r>
              <w:t>L/人•天</w:t>
            </w:r>
          </w:p>
        </w:tc>
        <w:tc>
          <w:tcPr>
            <w:tcW w:w="8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lang w:val="en-US" w:eastAsia="zh-CN"/>
              </w:rPr>
            </w:pPr>
            <w:r>
              <w:rPr>
                <w:rFonts w:hint="eastAsia"/>
                <w:lang w:val="en-US" w:eastAsia="zh-CN"/>
              </w:rPr>
              <w:t>7200</w:t>
            </w:r>
          </w:p>
        </w:tc>
        <w:tc>
          <w:tcPr>
            <w:tcW w:w="109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lang w:val="en-US" w:eastAsia="zh-CN"/>
              </w:rPr>
            </w:pPr>
            <w:r>
              <w:rPr>
                <w:rFonts w:hint="eastAsia"/>
                <w:lang w:val="en-US" w:eastAsia="zh-CN"/>
              </w:rPr>
              <w:t>1240</w:t>
            </w:r>
          </w:p>
        </w:tc>
        <w:tc>
          <w:tcPr>
            <w:tcW w:w="9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lang w:val="en-US" w:eastAsia="zh-CN"/>
              </w:rPr>
            </w:pPr>
            <w:r>
              <w:rPr>
                <w:rFonts w:hint="eastAsia"/>
                <w:lang w:val="en-US" w:eastAsia="zh-CN"/>
              </w:rPr>
              <w:t>5760</w:t>
            </w:r>
          </w:p>
        </w:tc>
        <w:tc>
          <w:tcPr>
            <w:tcW w:w="14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排污系数0.8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exact"/>
          <w:jc w:val="center"/>
        </w:trPr>
        <w:tc>
          <w:tcPr>
            <w:tcW w:w="289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总计</w:t>
            </w:r>
          </w:p>
        </w:tc>
        <w:tc>
          <w:tcPr>
            <w:tcW w:w="11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w:t>
            </w:r>
          </w:p>
        </w:tc>
        <w:tc>
          <w:tcPr>
            <w:tcW w:w="8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pacing w:val="-12"/>
                <w:lang w:val="en-US" w:eastAsia="zh-CN"/>
              </w:rPr>
            </w:pPr>
            <w:r>
              <w:rPr>
                <w:rFonts w:hint="eastAsia"/>
                <w:spacing w:val="-12"/>
                <w:lang w:val="en-US" w:eastAsia="zh-CN"/>
              </w:rPr>
              <w:t>11700</w:t>
            </w:r>
          </w:p>
        </w:tc>
        <w:tc>
          <w:tcPr>
            <w:tcW w:w="109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lang w:val="en-US" w:eastAsia="zh-CN"/>
              </w:rPr>
            </w:pPr>
            <w:r>
              <w:rPr>
                <w:rFonts w:hint="eastAsia"/>
                <w:lang w:val="en-US" w:eastAsia="zh-CN"/>
              </w:rPr>
              <w:t>1690</w:t>
            </w:r>
          </w:p>
        </w:tc>
        <w:tc>
          <w:tcPr>
            <w:tcW w:w="9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lang w:val="en-US" w:eastAsia="zh-CN"/>
              </w:rPr>
            </w:pPr>
            <w:r>
              <w:rPr>
                <w:rFonts w:hint="eastAsia"/>
                <w:lang w:val="en-US" w:eastAsia="zh-CN"/>
              </w:rPr>
              <w:t>9810</w:t>
            </w:r>
          </w:p>
        </w:tc>
        <w:tc>
          <w:tcPr>
            <w:tcW w:w="14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w:t>
            </w:r>
          </w:p>
        </w:tc>
      </w:tr>
      <w:bookmarkEnd w:id="164"/>
      <w:bookmarkEnd w:id="165"/>
    </w:tbl>
    <w:p>
      <w:pPr>
        <w:pStyle w:val="36"/>
      </w:pPr>
    </w:p>
    <w:p>
      <w:r>
        <mc:AlternateContent>
          <mc:Choice Requires="wps">
            <w:drawing>
              <wp:anchor distT="0" distB="0" distL="114300" distR="114300" simplePos="0" relativeHeight="251705344" behindDoc="0" locked="0" layoutInCell="1" allowOverlap="1">
                <wp:simplePos x="0" y="0"/>
                <wp:positionH relativeFrom="column">
                  <wp:posOffset>19050</wp:posOffset>
                </wp:positionH>
                <wp:positionV relativeFrom="paragraph">
                  <wp:posOffset>34925</wp:posOffset>
                </wp:positionV>
                <wp:extent cx="1336040" cy="290830"/>
                <wp:effectExtent l="0" t="0" r="0" b="0"/>
                <wp:wrapNone/>
                <wp:docPr id="330" name="文本框 330"/>
                <wp:cNvGraphicFramePr/>
                <a:graphic xmlns:a="http://schemas.openxmlformats.org/drawingml/2006/main">
                  <a:graphicData uri="http://schemas.microsoft.com/office/word/2010/wordprocessingShape">
                    <wps:wsp>
                      <wps:cNvSpPr txBox="1"/>
                      <wps:spPr>
                        <a:xfrm>
                          <a:off x="0" y="0"/>
                          <a:ext cx="1336040" cy="290830"/>
                        </a:xfrm>
                        <a:prstGeom prst="rect">
                          <a:avLst/>
                        </a:prstGeom>
                        <a:noFill/>
                        <a:ln w="9525">
                          <a:noFill/>
                        </a:ln>
                        <a:effectLst/>
                      </wps:spPr>
                      <wps:txbx>
                        <w:txbxContent>
                          <w:p>
                            <w:r>
                              <w:rPr>
                                <w:rFonts w:hint="eastAsia"/>
                              </w:rPr>
                              <w:t>新鲜水96.63</w:t>
                            </w:r>
                          </w:p>
                          <w:p/>
                        </w:txbxContent>
                      </wps:txbx>
                      <wps:bodyPr upright="1"/>
                    </wps:wsp>
                  </a:graphicData>
                </a:graphic>
              </wp:anchor>
            </w:drawing>
          </mc:Choice>
          <mc:Fallback>
            <w:pict>
              <v:shape id="_x0000_s1026" o:spid="_x0000_s1026" o:spt="202" type="#_x0000_t202" style="position:absolute;left:0pt;margin-left:1.5pt;margin-top:2.75pt;height:22.9pt;width:105.2pt;z-index:251705344;mso-width-relative:page;mso-height-relative:page;" filled="f" stroked="f" coordsize="21600,21600" o:gfxdata="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QUe3OdMAAAAGAQAADwAAAAAAAAABACAAAAAi&#10;AAAAZHJzL2Rvd25yZXYueG1sUEsBAhQAFAAAAAgAh07iQJ2anamdAQAAGwMAAA4AAAAAAAAAAQAg&#10;AAAAIgEAAGRycy9lMm9Eb2MueG1sUEsFBgAAAAAGAAYAWQEAADEFAAAAAA==&#10;">
                <v:fill on="f" focussize="0,0"/>
                <v:stroke on="f"/>
                <v:imagedata o:title=""/>
                <o:lock v:ext="edit" aspectratio="f"/>
                <v:textbox>
                  <w:txbxContent>
                    <w:p>
                      <w:r>
                        <w:rPr>
                          <w:rFonts w:hint="eastAsia"/>
                        </w:rPr>
                        <w:t>新鲜水96.63</w:t>
                      </w:r>
                    </w:p>
                    <w:p/>
                  </w:txbxContent>
                </v:textbox>
              </v:shape>
            </w:pict>
          </mc:Fallback>
        </mc:AlternateContent>
      </w:r>
    </w:p>
    <w:p>
      <w:pPr>
        <w:pStyle w:val="39"/>
        <w:spacing w:line="360" w:lineRule="auto"/>
      </w:pPr>
      <w:r>
        <w:rPr>
          <w:sz w:val="24"/>
        </w:rPr>
        <mc:AlternateContent>
          <mc:Choice Requires="wps">
            <w:drawing>
              <wp:anchor distT="0" distB="0" distL="114300" distR="114300" simplePos="0" relativeHeight="3472577536" behindDoc="0" locked="0" layoutInCell="1" allowOverlap="1">
                <wp:simplePos x="0" y="0"/>
                <wp:positionH relativeFrom="column">
                  <wp:posOffset>413385</wp:posOffset>
                </wp:positionH>
                <wp:positionV relativeFrom="paragraph">
                  <wp:posOffset>113665</wp:posOffset>
                </wp:positionV>
                <wp:extent cx="0" cy="1604645"/>
                <wp:effectExtent l="6350" t="0" r="12700" b="14605"/>
                <wp:wrapNone/>
                <wp:docPr id="282" name="直接连接符 282"/>
                <wp:cNvGraphicFramePr/>
                <a:graphic xmlns:a="http://schemas.openxmlformats.org/drawingml/2006/main">
                  <a:graphicData uri="http://schemas.microsoft.com/office/word/2010/wordprocessingShape">
                    <wps:wsp>
                      <wps:cNvCnPr/>
                      <wps:spPr>
                        <a:xfrm flipV="1">
                          <a:off x="1402080" y="7005955"/>
                          <a:ext cx="0" cy="16046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2.55pt;margin-top:8.95pt;height:126.35pt;width:0pt;z-index:-822389760;mso-width-relative:page;mso-height-relative:page;" filled="f" stroked="t" coordsize="21600,21600" o:gfxdata="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mikqdUAAAAIAQAADwAAAAAA&#10;AAABACAAAAAiAAAAZHJzL2Rvd25yZXYueG1sUEsBAhQAFAAAAAgAh07iQN+LC17dAQAAfgMAAA4A&#10;AAAAAAAAAQAgAAAAJAEAAGRycy9lMm9Eb2MueG1sUEsFBgAAAAAGAAYAWQEAAHMFAAAAAA==&#10;">
                <v:fill on="f" focussize="0,0"/>
                <v:stroke weight="1pt" color="#000000 [3213]" miterlimit="8" joinstyle="miter"/>
                <v:imagedata o:title=""/>
                <o:lock v:ext="edit" aspectratio="f"/>
              </v:lin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1480185</wp:posOffset>
                </wp:positionH>
                <wp:positionV relativeFrom="paragraph">
                  <wp:posOffset>40640</wp:posOffset>
                </wp:positionV>
                <wp:extent cx="676275" cy="297180"/>
                <wp:effectExtent l="0" t="0" r="0" b="0"/>
                <wp:wrapNone/>
                <wp:docPr id="369" name="文本框 369"/>
                <wp:cNvGraphicFramePr/>
                <a:graphic xmlns:a="http://schemas.openxmlformats.org/drawingml/2006/main">
                  <a:graphicData uri="http://schemas.microsoft.com/office/word/2010/wordprocessingShape">
                    <wps:wsp>
                      <wps:cNvSpPr txBox="1"/>
                      <wps:spPr>
                        <a:xfrm>
                          <a:off x="0" y="0"/>
                          <a:ext cx="676275" cy="297180"/>
                        </a:xfrm>
                        <a:prstGeom prst="rect">
                          <a:avLst/>
                        </a:prstGeom>
                        <a:noFill/>
                        <a:ln w="9525">
                          <a:noFill/>
                        </a:ln>
                        <a:effectLst/>
                      </wps:spPr>
                      <wps:txbx>
                        <w:txbxContent>
                          <w:p>
                            <w:pPr>
                              <w:rPr>
                                <w:rFonts w:hint="default" w:eastAsia="宋体"/>
                                <w:lang w:val="en-US" w:eastAsia="zh-CN"/>
                              </w:rPr>
                            </w:pPr>
                            <w:r>
                              <w:rPr>
                                <w:rFonts w:hint="eastAsia"/>
                              </w:rPr>
                              <w:t>消耗</w:t>
                            </w:r>
                            <w:r>
                              <w:rPr>
                                <w:rFonts w:hint="eastAsia"/>
                                <w:lang w:val="en-US" w:eastAsia="zh-CN"/>
                              </w:rPr>
                              <w:t>4.8</w:t>
                            </w:r>
                          </w:p>
                        </w:txbxContent>
                      </wps:txbx>
                      <wps:bodyPr upright="1"/>
                    </wps:wsp>
                  </a:graphicData>
                </a:graphic>
              </wp:anchor>
            </w:drawing>
          </mc:Choice>
          <mc:Fallback>
            <w:pict>
              <v:shape id="_x0000_s1026" o:spid="_x0000_s1026" o:spt="202" type="#_x0000_t202" style="position:absolute;left:0pt;margin-left:116.55pt;margin-top:3.2pt;height:23.4pt;width:53.25pt;z-index:251703296;mso-width-relative:page;mso-height-relative:page;" filled="f" stroked="f" coordsize="21600,21600" o:gfxdata="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yMr9H1gAAAAgBAAAPAAAAAAAA&#10;AAEAIAAAACIAAABkcnMvZG93bnJldi54bWxQSwECFAAUAAAACACHTuJAVsrNbaIBAAAaAwAADgAA&#10;AAAAAAABACAAAAAlAQAAZHJzL2Uyb0RvYy54bWxQSwUGAAAAAAYABgBZAQAAOQUAAAAA&#10;">
                <v:fill on="f" focussize="0,0"/>
                <v:stroke on="f"/>
                <v:imagedata o:title=""/>
                <o:lock v:ext="edit" aspectratio="f"/>
                <v:textbox>
                  <w:txbxContent>
                    <w:p>
                      <w:pPr>
                        <w:rPr>
                          <w:rFonts w:hint="default" w:eastAsia="宋体"/>
                          <w:lang w:val="en-US" w:eastAsia="zh-CN"/>
                        </w:rPr>
                      </w:pPr>
                      <w:r>
                        <w:rPr>
                          <w:rFonts w:hint="eastAsia"/>
                        </w:rPr>
                        <w:t>消耗</w:t>
                      </w:r>
                      <w:r>
                        <w:rPr>
                          <w:rFonts w:hint="eastAsia"/>
                          <w:lang w:val="en-US" w:eastAsia="zh-CN"/>
                        </w:rPr>
                        <w:t>4.8</w:t>
                      </w:r>
                    </w:p>
                  </w:txbxContent>
                </v:textbox>
              </v:shape>
            </w:pict>
          </mc:Fallback>
        </mc:AlternateContent>
      </w:r>
    </w:p>
    <w:p>
      <w:pPr>
        <w:spacing w:line="480" w:lineRule="exact"/>
        <w:ind w:firstLine="600" w:firstLineChars="250"/>
      </w:pPr>
      <w:r>
        <w:rPr>
          <w:sz w:val="24"/>
        </w:rPr>
        <mc:AlternateContent>
          <mc:Choice Requires="wps">
            <w:drawing>
              <wp:anchor distT="0" distB="0" distL="114300" distR="114300" simplePos="0" relativeHeight="434764800" behindDoc="0" locked="0" layoutInCell="1" allowOverlap="1">
                <wp:simplePos x="0" y="0"/>
                <wp:positionH relativeFrom="column">
                  <wp:posOffset>3051810</wp:posOffset>
                </wp:positionH>
                <wp:positionV relativeFrom="paragraph">
                  <wp:posOffset>259715</wp:posOffset>
                </wp:positionV>
                <wp:extent cx="1215390" cy="302895"/>
                <wp:effectExtent l="4445" t="4445" r="18415" b="16510"/>
                <wp:wrapNone/>
                <wp:docPr id="93" name="文本框 93"/>
                <wp:cNvGraphicFramePr/>
                <a:graphic xmlns:a="http://schemas.openxmlformats.org/drawingml/2006/main">
                  <a:graphicData uri="http://schemas.microsoft.com/office/word/2010/wordprocessingShape">
                    <wps:wsp>
                      <wps:cNvSpPr txBox="1"/>
                      <wps:spPr>
                        <a:xfrm>
                          <a:off x="0" y="0"/>
                          <a:ext cx="1215390" cy="302895"/>
                        </a:xfrm>
                        <a:prstGeom prst="rect">
                          <a:avLst/>
                        </a:prstGeom>
                        <a:solidFill>
                          <a:srgbClr val="FFFFFF"/>
                        </a:solidFill>
                        <a:ln w="6350">
                          <a:solidFill>
                            <a:prstClr val="black"/>
                          </a:solidFill>
                        </a:ln>
                        <a:effectLst/>
                      </wps:spPr>
                      <wps:txbx>
                        <w:txbxContent>
                          <w:p>
                            <w:pPr>
                              <w:rPr>
                                <w:rFonts w:hint="default" w:eastAsia="宋体"/>
                                <w:lang w:val="en-US" w:eastAsia="zh-CN"/>
                              </w:rPr>
                            </w:pPr>
                            <w:r>
                              <w:rPr>
                                <w:rFonts w:hint="eastAsia"/>
                                <w:lang w:eastAsia="zh-CN"/>
                              </w:rPr>
                              <w:t>隔油池</w:t>
                            </w:r>
                            <w:r>
                              <w:rPr>
                                <w:rFonts w:hint="eastAsia"/>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3pt;margin-top:20.45pt;height:23.85pt;width:95.7pt;z-index:434764800;mso-width-relative:page;mso-height-relative:page;" fillcolor="#FFFFFF" filled="t" stroked="t" coordsize="21600,21600" o:gfxdata="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gcQ8NYAAAAJAQAADwAAAAAAAAABACAAAAAi&#10;AAAAZHJzL2Rvd25yZXYueG1sUEsBAhQAFAAAAAgAh07iQFD9yjBFAgAAeQQAAA4AAAAAAAAAAQAg&#10;AAAAJQEAAGRycy9lMm9Eb2MueG1sUEsFBgAAAAAGAAYAWQEAANwFAAAAAA==&#10;">
                <v:fill on="t" focussize="0,0"/>
                <v:stroke weight="0.5pt" color="#000000" joinstyle="round"/>
                <v:imagedata o:title=""/>
                <o:lock v:ext="edit" aspectratio="f"/>
                <v:textbox>
                  <w:txbxContent>
                    <w:p>
                      <w:pPr>
                        <w:rPr>
                          <w:rFonts w:hint="default" w:eastAsia="宋体"/>
                          <w:lang w:val="en-US" w:eastAsia="zh-CN"/>
                        </w:rPr>
                      </w:pPr>
                      <w:r>
                        <w:rPr>
                          <w:rFonts w:hint="eastAsia"/>
                          <w:lang w:eastAsia="zh-CN"/>
                        </w:rPr>
                        <w:t>隔油池</w:t>
                      </w:r>
                      <w:r>
                        <w:rPr>
                          <w:rFonts w:hint="eastAsia"/>
                          <w:lang w:val="en-US" w:eastAsia="zh-CN"/>
                        </w:rPr>
                        <w:t>+化粪池</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595630</wp:posOffset>
                </wp:positionH>
                <wp:positionV relativeFrom="paragraph">
                  <wp:posOffset>131445</wp:posOffset>
                </wp:positionV>
                <wp:extent cx="526415" cy="287020"/>
                <wp:effectExtent l="0" t="0" r="0" b="0"/>
                <wp:wrapNone/>
                <wp:docPr id="337" name="文本框 337"/>
                <wp:cNvGraphicFramePr/>
                <a:graphic xmlns:a="http://schemas.openxmlformats.org/drawingml/2006/main">
                  <a:graphicData uri="http://schemas.microsoft.com/office/word/2010/wordprocessingShape">
                    <wps:wsp>
                      <wps:cNvSpPr txBox="1"/>
                      <wps:spPr>
                        <a:xfrm>
                          <a:off x="0" y="0"/>
                          <a:ext cx="526415" cy="287020"/>
                        </a:xfrm>
                        <a:prstGeom prst="rect">
                          <a:avLst/>
                        </a:prstGeom>
                        <a:noFill/>
                        <a:ln w="9525">
                          <a:noFill/>
                        </a:ln>
                        <a:effectLst/>
                      </wps:spPr>
                      <wps:txbx>
                        <w:txbxContent>
                          <w:p>
                            <w:pPr>
                              <w:rPr>
                                <w:rFonts w:hint="default" w:eastAsia="宋体"/>
                                <w:lang w:val="en-US" w:eastAsia="zh-CN"/>
                              </w:rPr>
                            </w:pPr>
                            <w:r>
                              <w:rPr>
                                <w:rFonts w:hint="eastAsia"/>
                                <w:lang w:val="en-US" w:eastAsia="zh-CN"/>
                              </w:rPr>
                              <w:t>24</w:t>
                            </w:r>
                          </w:p>
                        </w:txbxContent>
                      </wps:txbx>
                      <wps:bodyPr upright="1"/>
                    </wps:wsp>
                  </a:graphicData>
                </a:graphic>
              </wp:anchor>
            </w:drawing>
          </mc:Choice>
          <mc:Fallback>
            <w:pict>
              <v:shape id="_x0000_s1026" o:spid="_x0000_s1026" o:spt="202" type="#_x0000_t202" style="position:absolute;left:0pt;margin-left:46.9pt;margin-top:10.35pt;height:22.6pt;width:41.45pt;z-index:251710464;mso-width-relative:page;mso-height-relative:page;" filled="f" stroked="f" coordsize="21600,21600" o:gfxdata="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AN+Gt1gAAAAgBAAAPAAAAAAAA&#10;AAEAIAAAACIAAABkcnMvZG93bnJldi54bWxQSwECFAAUAAAACACHTuJAg1xn5KIBAAAaAwAADgAA&#10;AAAAAAABACAAAAAlAQAAZHJzL2Uyb0RvYy54bWxQSwUGAAAAAAYABgBZAQAAOQUAAAAA&#10;">
                <v:fill on="f" focussize="0,0"/>
                <v:stroke on="f"/>
                <v:imagedata o:title=""/>
                <o:lock v:ext="edit" aspectratio="f"/>
                <v:textbox>
                  <w:txbxContent>
                    <w:p>
                      <w:pPr>
                        <w:rPr>
                          <w:rFonts w:hint="default" w:eastAsia="宋体"/>
                          <w:lang w:val="en-US" w:eastAsia="zh-CN"/>
                        </w:rPr>
                      </w:pPr>
                      <w:r>
                        <w:rPr>
                          <w:rFonts w:hint="eastAsia"/>
                          <w:lang w:val="en-US" w:eastAsia="zh-CN"/>
                        </w:rPr>
                        <w:t>24</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2293620</wp:posOffset>
                </wp:positionH>
                <wp:positionV relativeFrom="paragraph">
                  <wp:posOffset>160020</wp:posOffset>
                </wp:positionV>
                <wp:extent cx="469900" cy="297180"/>
                <wp:effectExtent l="0" t="0" r="0" b="0"/>
                <wp:wrapNone/>
                <wp:docPr id="651" name="文本框 651"/>
                <wp:cNvGraphicFramePr/>
                <a:graphic xmlns:a="http://schemas.openxmlformats.org/drawingml/2006/main">
                  <a:graphicData uri="http://schemas.microsoft.com/office/word/2010/wordprocessingShape">
                    <wps:wsp>
                      <wps:cNvSpPr txBox="1"/>
                      <wps:spPr>
                        <a:xfrm>
                          <a:off x="0" y="0"/>
                          <a:ext cx="469900" cy="297180"/>
                        </a:xfrm>
                        <a:prstGeom prst="rect">
                          <a:avLst/>
                        </a:prstGeom>
                        <a:noFill/>
                        <a:ln w="9525">
                          <a:noFill/>
                        </a:ln>
                        <a:effectLst/>
                      </wps:spPr>
                      <wps:txbx>
                        <w:txbxContent>
                          <w:p>
                            <w:pPr>
                              <w:rPr>
                                <w:rFonts w:hint="default" w:eastAsia="宋体"/>
                                <w:lang w:val="en-US" w:eastAsia="zh-CN"/>
                              </w:rPr>
                            </w:pPr>
                            <w:r>
                              <w:rPr>
                                <w:rFonts w:hint="eastAsia"/>
                                <w:lang w:val="en-US" w:eastAsia="zh-CN"/>
                              </w:rPr>
                              <w:t>19.2</w:t>
                            </w:r>
                          </w:p>
                        </w:txbxContent>
                      </wps:txbx>
                      <wps:bodyPr upright="1"/>
                    </wps:wsp>
                  </a:graphicData>
                </a:graphic>
              </wp:anchor>
            </w:drawing>
          </mc:Choice>
          <mc:Fallback>
            <w:pict>
              <v:shape id="_x0000_s1026" o:spid="_x0000_s1026" o:spt="202" type="#_x0000_t202" style="position:absolute;left:0pt;margin-left:180.6pt;margin-top:12.6pt;height:23.4pt;width:37pt;z-index:251698176;mso-width-relative:page;mso-height-relative:page;" filled="f" stroked="f" coordsize="21600,21600" o:gfxdata="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m8HcXWAAAACQEAAA8AAAAAAAAA&#10;AQAgAAAAIgAAAGRycy9kb3ducmV2LnhtbFBLAQIUABQAAAAIAIdO4kDmcljVoQEAABoDAAAOAAAA&#10;AAAAAAEAIAAAACUBAABkcnMvZTJvRG9jLnhtbFBLBQYAAAAABgAGAFkBAAA4BQAAAAA=&#10;">
                <v:fill on="f" focussize="0,0"/>
                <v:stroke on="f"/>
                <v:imagedata o:title=""/>
                <o:lock v:ext="edit" aspectratio="f"/>
                <v:textbox>
                  <w:txbxContent>
                    <w:p>
                      <w:pPr>
                        <w:rPr>
                          <w:rFonts w:hint="default" w:eastAsia="宋体"/>
                          <w:lang w:val="en-US" w:eastAsia="zh-CN"/>
                        </w:rPr>
                      </w:pPr>
                      <w:r>
                        <w:rPr>
                          <w:rFonts w:hint="eastAsia"/>
                          <w:lang w:val="en-US" w:eastAsia="zh-CN"/>
                        </w:rPr>
                        <w:t>19.2</w:t>
                      </w:r>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1540510</wp:posOffset>
                </wp:positionH>
                <wp:positionV relativeFrom="paragraph">
                  <wp:posOffset>74295</wp:posOffset>
                </wp:positionV>
                <wp:extent cx="247650" cy="190500"/>
                <wp:effectExtent l="635" t="12065" r="0" b="6985"/>
                <wp:wrapNone/>
                <wp:docPr id="71" name="自选图形 109"/>
                <wp:cNvGraphicFramePr/>
                <a:graphic xmlns:a="http://schemas.openxmlformats.org/drawingml/2006/main">
                  <a:graphicData uri="http://schemas.microsoft.com/office/word/2010/wordprocessingShape">
                    <wps:wsp>
                      <wps:cNvSpPr/>
                      <wps:spPr>
                        <a:xfrm>
                          <a:off x="0" y="0"/>
                          <a:ext cx="247650" cy="190500"/>
                        </a:xfrm>
                        <a:custGeom>
                          <a:avLst/>
                          <a:gdLst/>
                          <a:ahLst/>
                          <a:cxnLst/>
                          <a:pathLst>
                            <a:path w="390" h="468">
                              <a:moveTo>
                                <a:pt x="0" y="468"/>
                              </a:moveTo>
                              <a:cubicBezTo>
                                <a:pt x="165" y="416"/>
                                <a:pt x="330" y="364"/>
                                <a:pt x="360" y="312"/>
                              </a:cubicBezTo>
                              <a:cubicBezTo>
                                <a:pt x="390" y="260"/>
                                <a:pt x="180" y="208"/>
                                <a:pt x="180" y="156"/>
                              </a:cubicBezTo>
                              <a:cubicBezTo>
                                <a:pt x="180" y="104"/>
                                <a:pt x="300" y="0"/>
                                <a:pt x="360" y="0"/>
                              </a:cubicBezTo>
                            </a:path>
                          </a:pathLst>
                        </a:custGeom>
                        <a:noFill/>
                        <a:ln w="9525" cap="flat" cmpd="sng">
                          <a:solidFill>
                            <a:srgbClr val="000000"/>
                          </a:solidFill>
                          <a:prstDash val="solid"/>
                          <a:round/>
                          <a:headEnd type="none" w="med" len="med"/>
                          <a:tailEnd type="triangle" w="med" len="med"/>
                        </a:ln>
                      </wps:spPr>
                      <wps:bodyPr upright="1"/>
                    </wps:wsp>
                  </a:graphicData>
                </a:graphic>
              </wp:anchor>
            </w:drawing>
          </mc:Choice>
          <mc:Fallback>
            <w:pict>
              <v:shape id="自选图形 109" o:spid="_x0000_s1026" o:spt="100" style="position:absolute;left:0pt;margin-left:121.3pt;margin-top:5.85pt;height:15pt;width:19.5pt;z-index:251709440;mso-width-relative:page;mso-height-relative:page;" filled="f" stroked="t" coordsize="390,468" o:gfxdata="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ZaSVTWAAAACQEAAA8AAAAAAAAAAQAgAAAAIgAA&#10;AGRycy9kb3ducmV2LnhtbFBLAQIUABQAAAAIAIdO4kCb7f9yfAIAAEoFAAAOAAAAAAAAAAEAIAAA&#10;ACUBAABkcnMvZTJvRG9jLnhtbFBLBQYAAAAABgAGAFkBAAATBgAAAAA=&#10;" path="m0,468c165,416,330,364,360,312c390,260,180,208,180,156c180,104,300,0,360,0e">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1186180</wp:posOffset>
                </wp:positionH>
                <wp:positionV relativeFrom="paragraph">
                  <wp:posOffset>271145</wp:posOffset>
                </wp:positionV>
                <wp:extent cx="1028700" cy="297180"/>
                <wp:effectExtent l="4445" t="4445" r="14605" b="22225"/>
                <wp:wrapNone/>
                <wp:docPr id="338" name="文本框 338"/>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w="9525" cap="flat" cmpd="sng">
                          <a:solidFill>
                            <a:srgbClr val="000000"/>
                          </a:solidFill>
                          <a:prstDash val="solid"/>
                          <a:miter/>
                          <a:headEnd type="none" w="med" len="med"/>
                          <a:tailEnd type="none" w="med" len="med"/>
                        </a:ln>
                        <a:effectLst/>
                      </wps:spPr>
                      <wps:txbx>
                        <w:txbxContent>
                          <w:p>
                            <w:r>
                              <w:rPr>
                                <w:rFonts w:hint="eastAsia"/>
                              </w:rPr>
                              <w:t>职工生活用水</w:t>
                            </w:r>
                          </w:p>
                          <w:p/>
                        </w:txbxContent>
                      </wps:txbx>
                      <wps:bodyPr upright="1"/>
                    </wps:wsp>
                  </a:graphicData>
                </a:graphic>
              </wp:anchor>
            </w:drawing>
          </mc:Choice>
          <mc:Fallback>
            <w:pict>
              <v:shape id="_x0000_s1026" o:spid="_x0000_s1026" o:spt="202" type="#_x0000_t202" style="position:absolute;left:0pt;margin-left:93.4pt;margin-top:21.35pt;height:23.4pt;width:81pt;z-index:251708416;mso-width-relative:page;mso-height-relative:page;" filled="f" stroked="t" coordsize="21600,21600" o:gfxdata="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D2OEDXAAAACQEAAA8AAAAAAAAAAQAgAAAAIgAAAGRycy9kb3ducmV2LnhtbFBLAQIU&#10;ABQAAAAIAIdO4kDuY19F9AEAANEDAAAOAAAAAAAAAAEAIAAAACYBAABkcnMvZTJvRG9jLnhtbFBL&#10;BQYAAAAABgAGAFkBAACMBQAAAAA=&#10;">
                <v:fill on="f" focussize="0,0"/>
                <v:stroke color="#000000" joinstyle="miter"/>
                <v:imagedata o:title=""/>
                <o:lock v:ext="edit" aspectratio="f"/>
                <v:textbox>
                  <w:txbxContent>
                    <w:p>
                      <w:r>
                        <w:rPr>
                          <w:rFonts w:hint="eastAsia"/>
                        </w:rPr>
                        <w:t>职工生活用水</w:t>
                      </w:r>
                    </w:p>
                    <w:p/>
                  </w:txbxContent>
                </v:textbox>
              </v:shape>
            </w:pict>
          </mc:Fallback>
        </mc:AlternateContent>
      </w:r>
    </w:p>
    <w:p>
      <w:pPr>
        <w:spacing w:line="480" w:lineRule="exact"/>
        <w:ind w:firstLine="525" w:firstLineChars="250"/>
      </w:pPr>
      <w:r>
        <mc:AlternateContent>
          <mc:Choice Requires="wps">
            <w:drawing>
              <wp:anchor distT="0" distB="0" distL="114300" distR="114300" simplePos="0" relativeHeight="251699200" behindDoc="0" locked="0" layoutInCell="1" allowOverlap="1">
                <wp:simplePos x="0" y="0"/>
                <wp:positionH relativeFrom="column">
                  <wp:posOffset>2211070</wp:posOffset>
                </wp:positionH>
                <wp:positionV relativeFrom="paragraph">
                  <wp:posOffset>105410</wp:posOffset>
                </wp:positionV>
                <wp:extent cx="840740" cy="4445"/>
                <wp:effectExtent l="0" t="37465" r="16510" b="34290"/>
                <wp:wrapNone/>
                <wp:docPr id="650" name="直接连接符 650"/>
                <wp:cNvGraphicFramePr/>
                <a:graphic xmlns:a="http://schemas.openxmlformats.org/drawingml/2006/main">
                  <a:graphicData uri="http://schemas.microsoft.com/office/word/2010/wordprocessingShape">
                    <wps:wsp>
                      <wps:cNvCnPr/>
                      <wps:spPr>
                        <a:xfrm flipV="1">
                          <a:off x="0" y="0"/>
                          <a:ext cx="840740" cy="444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y;margin-left:174.1pt;margin-top:8.3pt;height:0.35pt;width:66.2pt;z-index:251699200;mso-width-relative:page;mso-height-relative:page;" filled="f" stroked="t" coordsize="21600,21600" o:gfxdata="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cOpYh&#10;2QAAAAkBAAAPAAAAAAAAAAEAIAAAACIAAABkcnMvZG93bnJldi54bWxQSwECFAAUAAAACACHTuJA&#10;CR+cOecBAACsAwAADgAAAAAAAAABACAAAAAoAQAAZHJzL2Uyb0RvYy54bWxQSwUGAAAAAAYABgBZ&#10;AQAAgQU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1165434880" behindDoc="0" locked="0" layoutInCell="1" allowOverlap="1">
                <wp:simplePos x="0" y="0"/>
                <wp:positionH relativeFrom="column">
                  <wp:posOffset>4858385</wp:posOffset>
                </wp:positionH>
                <wp:positionV relativeFrom="paragraph">
                  <wp:posOffset>71120</wp:posOffset>
                </wp:positionV>
                <wp:extent cx="3810" cy="1072515"/>
                <wp:effectExtent l="0" t="0" r="0" b="0"/>
                <wp:wrapNone/>
                <wp:docPr id="61" name="直接连接符 61"/>
                <wp:cNvGraphicFramePr/>
                <a:graphic xmlns:a="http://schemas.openxmlformats.org/drawingml/2006/main">
                  <a:graphicData uri="http://schemas.microsoft.com/office/word/2010/wordprocessingShape">
                    <wps:wsp>
                      <wps:cNvCnPr/>
                      <wps:spPr>
                        <a:xfrm flipH="1" flipV="1">
                          <a:off x="0" y="0"/>
                          <a:ext cx="3810" cy="10725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382.55pt;margin-top:5.6pt;height:84.45pt;width:0.3pt;z-index:1165434880;mso-width-relative:page;mso-height-relative:page;" filled="f" stroked="t" coordsize="21600,21600" o:gfxdata="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K8T07ZAAAACgEAAA8AAAAAAAAA&#10;AQAgAAAAIgAAAGRycy9kb3ducmV2LnhtbFBLAQIUABQAAAAIAIdO4kD5DGsX1wEAAH0DAAAOAAAA&#10;AAAAAAEAIAAAACgBAABkcnMvZTJvRG9jLnhtbFBLBQYAAAAABgAGAFkBAABxBQAAAAA=&#10;">
                <v:fill on="f" focussize="0,0"/>
                <v:stroke weight="1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239481856" behindDoc="0" locked="0" layoutInCell="1" allowOverlap="1">
                <wp:simplePos x="0" y="0"/>
                <wp:positionH relativeFrom="column">
                  <wp:posOffset>5160010</wp:posOffset>
                </wp:positionH>
                <wp:positionV relativeFrom="paragraph">
                  <wp:posOffset>297815</wp:posOffset>
                </wp:positionV>
                <wp:extent cx="675640" cy="302895"/>
                <wp:effectExtent l="4445" t="4445" r="5715" b="16510"/>
                <wp:wrapNone/>
                <wp:docPr id="4" name="文本框 4"/>
                <wp:cNvGraphicFramePr/>
                <a:graphic xmlns:a="http://schemas.openxmlformats.org/drawingml/2006/main">
                  <a:graphicData uri="http://schemas.microsoft.com/office/word/2010/wordprocessingShape">
                    <wps:wsp>
                      <wps:cNvSpPr txBox="1"/>
                      <wps:spPr>
                        <a:xfrm>
                          <a:off x="0" y="0"/>
                          <a:ext cx="675640" cy="302895"/>
                        </a:xfrm>
                        <a:prstGeom prst="rect">
                          <a:avLst/>
                        </a:prstGeom>
                        <a:solidFill>
                          <a:srgbClr val="FFFFFF"/>
                        </a:solidFill>
                        <a:ln w="6350">
                          <a:solidFill>
                            <a:prstClr val="black"/>
                          </a:solidFill>
                        </a:ln>
                        <a:effectLst/>
                      </wps:spPr>
                      <wps:txbx>
                        <w:txbxContent>
                          <w:p>
                            <w:pPr>
                              <w:rPr>
                                <w:rFonts w:hint="eastAsia" w:eastAsia="宋体"/>
                                <w:lang w:eastAsia="zh-CN"/>
                              </w:rPr>
                            </w:pPr>
                            <w:r>
                              <w:rPr>
                                <w:rFonts w:hint="eastAsia"/>
                                <w:lang w:eastAsia="zh-CN"/>
                              </w:rPr>
                              <w:t>排污口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6.3pt;margin-top:23.45pt;height:23.85pt;width:53.2pt;z-index:-2055485440;mso-width-relative:page;mso-height-relative:page;" fillcolor="#FFFFFF" filled="t" stroked="t" coordsize="21600,21600" o:gfxdata="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LLv8z1gAAAAkBAAAPAAAAAAAAAAEAIAAAACIAAABk&#10;cnMvZG93bnJldi54bWxQSwECFAAUAAAACACHTuJA8HRqg0ECAAB2BAAADgAAAAAAAAABACAAAAAl&#10;AQAAZHJzL2Uyb0RvYy54bWxQSwUGAAAAAAYABgBZAQAA2AUAAAAA&#10;">
                <v:fill on="t" focussize="0,0"/>
                <v:stroke weight="0.5pt" color="#000000" joinstyle="round"/>
                <v:imagedata o:title=""/>
                <o:lock v:ext="edit" aspectratio="f"/>
                <v:textbox>
                  <w:txbxContent>
                    <w:p>
                      <w:pPr>
                        <w:rPr>
                          <w:rFonts w:hint="eastAsia" w:eastAsia="宋体"/>
                          <w:lang w:eastAsia="zh-CN"/>
                        </w:rPr>
                      </w:pPr>
                      <w:r>
                        <w:rPr>
                          <w:rFonts w:hint="eastAsia"/>
                          <w:lang w:eastAsia="zh-CN"/>
                        </w:rPr>
                        <w:t>排污口</w:t>
                      </w:r>
                    </w:p>
                  </w:txbxContent>
                </v:textbox>
              </v:shape>
            </w:pict>
          </mc:Fallback>
        </mc:AlternateContent>
      </w:r>
      <w:r>
        <mc:AlternateContent>
          <mc:Choice Requires="wps">
            <w:drawing>
              <wp:anchor distT="0" distB="0" distL="114300" distR="114300" simplePos="0" relativeHeight="434793472" behindDoc="0" locked="0" layoutInCell="1" allowOverlap="1">
                <wp:simplePos x="0" y="0"/>
                <wp:positionH relativeFrom="column">
                  <wp:posOffset>4265295</wp:posOffset>
                </wp:positionH>
                <wp:positionV relativeFrom="paragraph">
                  <wp:posOffset>83820</wp:posOffset>
                </wp:positionV>
                <wp:extent cx="605790" cy="2540"/>
                <wp:effectExtent l="0" t="37465" r="3810" b="36195"/>
                <wp:wrapNone/>
                <wp:docPr id="94" name="直接连接符 94"/>
                <wp:cNvGraphicFramePr/>
                <a:graphic xmlns:a="http://schemas.openxmlformats.org/drawingml/2006/main">
                  <a:graphicData uri="http://schemas.microsoft.com/office/word/2010/wordprocessingShape">
                    <wps:wsp>
                      <wps:cNvCnPr/>
                      <wps:spPr>
                        <a:xfrm flipV="1">
                          <a:off x="0" y="0"/>
                          <a:ext cx="605790" cy="254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y;margin-left:335.85pt;margin-top:6.6pt;height:0.2pt;width:47.7pt;z-index:434793472;mso-width-relative:page;mso-height-relative:page;" filled="f" stroked="t" coordsize="21600,21600" o:gfxdata="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uyM&#10;gNgAAAAJAQAADwAAAAAAAAABACAAAAAiAAAAZHJzL2Rvd25yZXYueG1sUEsBAhQAFAAAAAgAh07i&#10;QFEILxDpAQAAqgMAAA4AAAAAAAAAAQAgAAAAJwEAAGRycy9lMm9Eb2MueG1sUEsFBgAAAAAGAAYA&#10;WQEAAII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413385</wp:posOffset>
                </wp:positionH>
                <wp:positionV relativeFrom="paragraph">
                  <wp:posOffset>112395</wp:posOffset>
                </wp:positionV>
                <wp:extent cx="781685" cy="15240"/>
                <wp:effectExtent l="0" t="24130" r="18415" b="36830"/>
                <wp:wrapNone/>
                <wp:docPr id="339" name="直接连接符 339"/>
                <wp:cNvGraphicFramePr/>
                <a:graphic xmlns:a="http://schemas.openxmlformats.org/drawingml/2006/main">
                  <a:graphicData uri="http://schemas.microsoft.com/office/word/2010/wordprocessingShape">
                    <wps:wsp>
                      <wps:cNvCnPr/>
                      <wps:spPr>
                        <a:xfrm>
                          <a:off x="0" y="0"/>
                          <a:ext cx="781685" cy="1524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32.55pt;margin-top:8.85pt;height:1.2pt;width:61.55pt;z-index:251707392;mso-width-relative:page;mso-height-relative:page;" filled="f" stroked="t" coordsize="21600,21600" o:gfxdata="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L+TUvYAAAA&#10;CAEAAA8AAAAAAAAAAQAgAAAAIgAAAGRycy9kb3ducmV2LnhtbFBLAQIUABQAAAAIAIdO4kAdeIoL&#10;5AEAAKMDAAAOAAAAAAAAAAEAIAAAACcBAABkcnMvZTJvRG9jLnhtbFBLBQYAAAAABgAGAFkBAAB9&#10;BQAAAAA=&#10;">
                <v:fill on="f" focussize="0,0"/>
                <v:stroke color="#000000" joinstyle="round" endarrow="block"/>
                <v:imagedata o:title=""/>
                <o:lock v:ext="edit" aspectratio="f"/>
              </v:line>
            </w:pict>
          </mc:Fallback>
        </mc:AlternateContent>
      </w:r>
    </w:p>
    <w:p>
      <w:pPr>
        <w:spacing w:line="480" w:lineRule="exact"/>
        <w:ind w:firstLine="525" w:firstLineChars="250"/>
      </w:pPr>
      <w:r>
        <mc:AlternateContent>
          <mc:Choice Requires="wps">
            <w:drawing>
              <wp:anchor distT="0" distB="0" distL="114300" distR="114300" simplePos="0" relativeHeight="2239523840" behindDoc="0" locked="0" layoutInCell="1" allowOverlap="1">
                <wp:simplePos x="0" y="0"/>
                <wp:positionH relativeFrom="column">
                  <wp:posOffset>4868545</wp:posOffset>
                </wp:positionH>
                <wp:positionV relativeFrom="paragraph">
                  <wp:posOffset>127635</wp:posOffset>
                </wp:positionV>
                <wp:extent cx="292100" cy="0"/>
                <wp:effectExtent l="0" t="38100" r="12700" b="38100"/>
                <wp:wrapNone/>
                <wp:docPr id="73" name="直接连接符 73"/>
                <wp:cNvGraphicFramePr/>
                <a:graphic xmlns:a="http://schemas.openxmlformats.org/drawingml/2006/main">
                  <a:graphicData uri="http://schemas.microsoft.com/office/word/2010/wordprocessingShape">
                    <wps:wsp>
                      <wps:cNvCnPr/>
                      <wps:spPr>
                        <a:xfrm>
                          <a:off x="0" y="0"/>
                          <a:ext cx="2921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383.35pt;margin-top:10.05pt;height:0pt;width:23pt;z-index:-2055443456;mso-width-relative:page;mso-height-relative:page;" filled="f" stroked="t" coordsize="21600,21600" o:gfxdata="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O2G8aNcAAAAJAQAADwAA&#10;AAAAAAABACAAAAAiAAAAZHJzL2Rvd25yZXYueG1sUEsBAhQAFAAAAAgAh07iQOXI6UzeAQAAnQMA&#10;AA4AAAAAAAAAAQAgAAAAJgEAAGRycy9lMm9Eb2MueG1sUEsFBgAAAAAGAAYAWQEAAH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1871980</wp:posOffset>
                </wp:positionH>
                <wp:positionV relativeFrom="paragraph">
                  <wp:posOffset>257810</wp:posOffset>
                </wp:positionV>
                <wp:extent cx="533400" cy="29718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533400" cy="297180"/>
                        </a:xfrm>
                        <a:prstGeom prst="rect">
                          <a:avLst/>
                        </a:prstGeom>
                        <a:noFill/>
                        <a:ln w="9525">
                          <a:noFill/>
                        </a:ln>
                        <a:effectLst/>
                      </wps:spPr>
                      <wps:txbx>
                        <w:txbxContent>
                          <w:p>
                            <w:pPr>
                              <w:rPr>
                                <w:rFonts w:hint="default" w:eastAsia="宋体"/>
                                <w:lang w:val="en-US" w:eastAsia="zh-CN"/>
                              </w:rPr>
                            </w:pPr>
                            <w:r>
                              <w:rPr>
                                <w:rFonts w:hint="eastAsia"/>
                                <w:lang w:val="en-US" w:eastAsia="zh-CN"/>
                              </w:rPr>
                              <w:t>1.5</w:t>
                            </w:r>
                          </w:p>
                        </w:txbxContent>
                      </wps:txbx>
                      <wps:bodyPr upright="1"/>
                    </wps:wsp>
                  </a:graphicData>
                </a:graphic>
              </wp:anchor>
            </w:drawing>
          </mc:Choice>
          <mc:Fallback>
            <w:pict>
              <v:shape id="_x0000_s1026" o:spid="_x0000_s1026" o:spt="202" type="#_x0000_t202" style="position:absolute;left:0pt;margin-left:147.4pt;margin-top:20.3pt;height:23.4pt;width:42pt;z-index:251722752;mso-width-relative:page;mso-height-relative:page;" filled="f" stroked="f" coordsize="21600,21600" o:gfxdata="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uFDXq1wAAAAkBAAAPAAAAAAAA&#10;AAEAIAAAACIAAABkcnMvZG93bnJldi54bWxQSwECFAAUAAAACACHTuJA1e88saEBAAAaAwAADgAA&#10;AAAAAAABACAAAAAmAQAAZHJzL2Uyb0RvYy54bWxQSwUGAAAAAAYABgBZAQAAOQUAAAAA&#10;">
                <v:fill on="f" focussize="0,0"/>
                <v:stroke on="f"/>
                <v:imagedata o:title=""/>
                <o:lock v:ext="edit" aspectratio="f"/>
                <v:textbox>
                  <w:txbxContent>
                    <w:p>
                      <w:pPr>
                        <w:rPr>
                          <w:rFonts w:hint="default" w:eastAsia="宋体"/>
                          <w:lang w:val="en-US" w:eastAsia="zh-CN"/>
                        </w:rPr>
                      </w:pPr>
                      <w:r>
                        <w:rPr>
                          <w:rFonts w:hint="eastAsia"/>
                          <w:lang w:val="en-US" w:eastAsia="zh-CN"/>
                        </w:rPr>
                        <w:t>1.5</w:t>
                      </w:r>
                    </w:p>
                  </w:txbxContent>
                </v:textbox>
              </v:shape>
            </w:pict>
          </mc:Fallback>
        </mc:AlternateContent>
      </w:r>
    </w:p>
    <w:p>
      <w:pPr>
        <w:spacing w:line="480" w:lineRule="exact"/>
        <w:ind w:firstLine="525" w:firstLineChars="250"/>
      </w:pPr>
      <w:r>
        <mc:AlternateContent>
          <mc:Choice Requires="wps">
            <w:drawing>
              <wp:anchor distT="0" distB="0" distL="114300" distR="114300" simplePos="0" relativeHeight="3472702464" behindDoc="0" locked="0" layoutInCell="1" allowOverlap="1">
                <wp:simplePos x="0" y="0"/>
                <wp:positionH relativeFrom="column">
                  <wp:posOffset>4918075</wp:posOffset>
                </wp:positionH>
                <wp:positionV relativeFrom="paragraph">
                  <wp:posOffset>92710</wp:posOffset>
                </wp:positionV>
                <wp:extent cx="694690" cy="569595"/>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694690" cy="569595"/>
                        </a:xfrm>
                        <a:prstGeom prst="rect">
                          <a:avLst/>
                        </a:prstGeom>
                        <a:noFill/>
                        <a:ln w="9525">
                          <a:noFill/>
                        </a:ln>
                        <a:effectLst/>
                      </wps:spPr>
                      <wps:txbx>
                        <w:txbxContent>
                          <w:p>
                            <w:pPr>
                              <w:rPr>
                                <w:rFonts w:hint="eastAsia" w:eastAsia="宋体"/>
                                <w:lang w:eastAsia="zh-CN"/>
                              </w:rPr>
                            </w:pPr>
                            <w:r>
                              <w:rPr>
                                <w:rFonts w:hint="eastAsia"/>
                                <w:lang w:eastAsia="zh-CN"/>
                              </w:rPr>
                              <w:t>市政污水管网</w:t>
                            </w:r>
                          </w:p>
                        </w:txbxContent>
                      </wps:txbx>
                      <wps:bodyPr upright="1"/>
                    </wps:wsp>
                  </a:graphicData>
                </a:graphic>
              </wp:anchor>
            </w:drawing>
          </mc:Choice>
          <mc:Fallback>
            <w:pict>
              <v:shape id="_x0000_s1026" o:spid="_x0000_s1026" o:spt="202" type="#_x0000_t202" style="position:absolute;left:0pt;margin-left:387.25pt;margin-top:7.3pt;height:44.85pt;width:54.7pt;z-index:-822264832;mso-width-relative:page;mso-height-relative:page;" filled="f" stroked="f" coordsize="21600,21600" o:gfxdata="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oE+rXAAAACgEAAA8AAAAAAAAA&#10;AQAgAAAAIgAAAGRycy9kb3ducmV2LnhtbFBLAQIUABQAAAAIAIdO4kBVf6SqoAEAABoDAAAOAAAA&#10;AAAAAAEAIAAAACYBAABkcnMvZTJvRG9jLnhtbFBLBQYAAAAABgAGAFkBAAA4BQAAAAA=&#10;">
                <v:fill on="f" focussize="0,0"/>
                <v:stroke on="f"/>
                <v:imagedata o:title=""/>
                <o:lock v:ext="edit" aspectratio="f"/>
                <v:textbox>
                  <w:txbxContent>
                    <w:p>
                      <w:pPr>
                        <w:rPr>
                          <w:rFonts w:hint="eastAsia" w:eastAsia="宋体"/>
                          <w:lang w:eastAsia="zh-CN"/>
                        </w:rPr>
                      </w:pPr>
                      <w:r>
                        <w:rPr>
                          <w:rFonts w:hint="eastAsia"/>
                          <w:lang w:eastAsia="zh-CN"/>
                        </w:rPr>
                        <w:t>市政污水管网</w:t>
                      </w:r>
                    </w:p>
                  </w:txbxContent>
                </v:textbox>
              </v:shape>
            </w:pict>
          </mc:Fallback>
        </mc:AlternateContent>
      </w:r>
      <w:r>
        <mc:AlternateContent>
          <mc:Choice Requires="wps">
            <w:drawing>
              <wp:anchor distT="0" distB="0" distL="114300" distR="114300" simplePos="0" relativeHeight="3472606208" behindDoc="0" locked="0" layoutInCell="1" allowOverlap="1">
                <wp:simplePos x="0" y="0"/>
                <wp:positionH relativeFrom="column">
                  <wp:posOffset>5528945</wp:posOffset>
                </wp:positionH>
                <wp:positionV relativeFrom="paragraph">
                  <wp:posOffset>635</wp:posOffset>
                </wp:positionV>
                <wp:extent cx="12700" cy="927100"/>
                <wp:effectExtent l="26670" t="0" r="36830" b="6350"/>
                <wp:wrapNone/>
                <wp:docPr id="284" name="直接连接符 284"/>
                <wp:cNvGraphicFramePr/>
                <a:graphic xmlns:a="http://schemas.openxmlformats.org/drawingml/2006/main">
                  <a:graphicData uri="http://schemas.microsoft.com/office/word/2010/wordprocessingShape">
                    <wps:wsp>
                      <wps:cNvCnPr/>
                      <wps:spPr>
                        <a:xfrm>
                          <a:off x="0" y="0"/>
                          <a:ext cx="12700" cy="92710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435.35pt;margin-top:0.05pt;height:73pt;width:1pt;z-index:-822361088;mso-width-relative:page;mso-height-relative:page;" filled="f" stroked="t" coordsize="21600,21600" o:gfxdata="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tbgtv1wAAAAgBAAAP&#10;AAAAAAAAAAEAIAAAACIAAABkcnMvZG93bnJldi54bWxQSwECFAAUAAAACACHTuJAsrKEduABAACj&#10;AwAADgAAAAAAAAABACAAAAAmAQAAZHJzL2Uyb0RvYy54bWxQSwUGAAAAAAYABgBZAQAAe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2385695</wp:posOffset>
                </wp:positionH>
                <wp:positionV relativeFrom="paragraph">
                  <wp:posOffset>274955</wp:posOffset>
                </wp:positionV>
                <wp:extent cx="533400" cy="29718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533400" cy="297180"/>
                        </a:xfrm>
                        <a:prstGeom prst="rect">
                          <a:avLst/>
                        </a:prstGeom>
                        <a:noFill/>
                        <a:ln w="9525">
                          <a:noFill/>
                        </a:ln>
                        <a:effectLst/>
                      </wps:spPr>
                      <wps:txbx>
                        <w:txbxContent>
                          <w:p>
                            <w:pPr>
                              <w:rPr>
                                <w:rFonts w:hint="default" w:eastAsia="宋体"/>
                                <w:lang w:val="en-US" w:eastAsia="zh-CN"/>
                              </w:rPr>
                            </w:pPr>
                            <w:r>
                              <w:rPr>
                                <w:rFonts w:hint="eastAsia"/>
                                <w:lang w:val="en-US" w:eastAsia="zh-CN"/>
                              </w:rPr>
                              <w:t>13.5</w:t>
                            </w:r>
                          </w:p>
                        </w:txbxContent>
                      </wps:txbx>
                      <wps:bodyPr upright="1"/>
                    </wps:wsp>
                  </a:graphicData>
                </a:graphic>
              </wp:anchor>
            </w:drawing>
          </mc:Choice>
          <mc:Fallback>
            <w:pict>
              <v:shape id="_x0000_s1026" o:spid="_x0000_s1026" o:spt="202" type="#_x0000_t202" style="position:absolute;left:0pt;margin-left:187.85pt;margin-top:21.65pt;height:23.4pt;width:42pt;z-index:251737088;mso-width-relative:page;mso-height-relative:page;" filled="f" stroked="f" coordsize="21600,21600" o:gfxdata="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9ucI61wAAAAkBAAAPAAAAAAAAAAEA&#10;IAAAACIAAABkcnMvZG93bnJldi54bWxQSwECFAAUAAAACACHTuJAordel54BAAAYAwAADgAAAAAA&#10;AAABACAAAAAmAQAAZHJzL2Uyb0RvYy54bWxQSwUGAAAAAAYABgBZAQAANgUAAAAA&#10;">
                <v:fill on="f" focussize="0,0"/>
                <v:stroke on="f"/>
                <v:imagedata o:title=""/>
                <o:lock v:ext="edit" aspectratio="f"/>
                <v:textbox>
                  <w:txbxContent>
                    <w:p>
                      <w:pPr>
                        <w:rPr>
                          <w:rFonts w:hint="default" w:eastAsia="宋体"/>
                          <w:lang w:val="en-US" w:eastAsia="zh-CN"/>
                        </w:rPr>
                      </w:pPr>
                      <w:r>
                        <w:rPr>
                          <w:rFonts w:hint="eastAsia"/>
                          <w:lang w:val="en-US" w:eastAsia="zh-CN"/>
                        </w:rPr>
                        <w:t>13.5</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1677035</wp:posOffset>
                </wp:positionH>
                <wp:positionV relativeFrom="paragraph">
                  <wp:posOffset>167005</wp:posOffset>
                </wp:positionV>
                <wp:extent cx="247650" cy="190500"/>
                <wp:effectExtent l="635" t="12065" r="0" b="6985"/>
                <wp:wrapNone/>
                <wp:docPr id="66" name="自选图形 127"/>
                <wp:cNvGraphicFramePr/>
                <a:graphic xmlns:a="http://schemas.openxmlformats.org/drawingml/2006/main">
                  <a:graphicData uri="http://schemas.microsoft.com/office/word/2010/wordprocessingShape">
                    <wps:wsp>
                      <wps:cNvSpPr/>
                      <wps:spPr>
                        <a:xfrm>
                          <a:off x="0" y="0"/>
                          <a:ext cx="247650" cy="190500"/>
                        </a:xfrm>
                        <a:custGeom>
                          <a:avLst/>
                          <a:gdLst/>
                          <a:ahLst/>
                          <a:cxnLst/>
                          <a:pathLst>
                            <a:path w="390" h="468">
                              <a:moveTo>
                                <a:pt x="0" y="468"/>
                              </a:moveTo>
                              <a:cubicBezTo>
                                <a:pt x="165" y="416"/>
                                <a:pt x="330" y="364"/>
                                <a:pt x="360" y="312"/>
                              </a:cubicBezTo>
                              <a:cubicBezTo>
                                <a:pt x="390" y="260"/>
                                <a:pt x="180" y="208"/>
                                <a:pt x="180" y="156"/>
                              </a:cubicBezTo>
                              <a:cubicBezTo>
                                <a:pt x="180" y="104"/>
                                <a:pt x="300" y="0"/>
                                <a:pt x="360" y="0"/>
                              </a:cubicBezTo>
                            </a:path>
                          </a:pathLst>
                        </a:custGeom>
                        <a:noFill/>
                        <a:ln w="9525" cap="flat" cmpd="sng">
                          <a:solidFill>
                            <a:srgbClr val="000000"/>
                          </a:solidFill>
                          <a:prstDash val="solid"/>
                          <a:round/>
                          <a:headEnd type="none" w="med" len="med"/>
                          <a:tailEnd type="triangle" w="med" len="med"/>
                        </a:ln>
                      </wps:spPr>
                      <wps:bodyPr upright="1"/>
                    </wps:wsp>
                  </a:graphicData>
                </a:graphic>
              </wp:anchor>
            </w:drawing>
          </mc:Choice>
          <mc:Fallback>
            <w:pict>
              <v:shape id="自选图形 127" o:spid="_x0000_s1026" o:spt="100" style="position:absolute;left:0pt;margin-left:132.05pt;margin-top:13.15pt;height:15pt;width:19.5pt;z-index:251679744;mso-width-relative:page;mso-height-relative:page;" filled="f" stroked="t" coordsize="390,468" o:gfxdata="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SuuqX1wAAAAkBAAAPAAAAAAAAAAEAIAAAACIA&#10;AABkcnMvZG93bnJldi54bWxQSwECFAAUAAAACACHTuJAbAi5k3wCAABKBQAADgAAAAAAAAABACAA&#10;AAAmAQAAZHJzL2Uyb0RvYy54bWxQSwUGAAAAAAYABgBZAQAAFAYAAAAA&#10;" path="m0,468c165,416,330,364,360,312c390,260,180,208,180,156c180,104,300,0,360,0e">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531495</wp:posOffset>
                </wp:positionH>
                <wp:positionV relativeFrom="paragraph">
                  <wp:posOffset>297180</wp:posOffset>
                </wp:positionV>
                <wp:extent cx="533400" cy="29718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533400" cy="297180"/>
                        </a:xfrm>
                        <a:prstGeom prst="rect">
                          <a:avLst/>
                        </a:prstGeom>
                        <a:noFill/>
                        <a:ln w="9525">
                          <a:noFill/>
                        </a:ln>
                        <a:effectLst/>
                      </wps:spPr>
                      <wps:txbx>
                        <w:txbxContent>
                          <w:p>
                            <w:pPr>
                              <w:rPr>
                                <w:rFonts w:hint="default" w:eastAsia="宋体"/>
                                <w:lang w:val="en-US" w:eastAsia="zh-CN"/>
                              </w:rPr>
                            </w:pPr>
                            <w:r>
                              <w:rPr>
                                <w:rFonts w:hint="eastAsia"/>
                                <w:lang w:val="en-US" w:eastAsia="zh-CN"/>
                              </w:rPr>
                              <w:t>15</w:t>
                            </w:r>
                          </w:p>
                        </w:txbxContent>
                      </wps:txbx>
                      <wps:bodyPr upright="1"/>
                    </wps:wsp>
                  </a:graphicData>
                </a:graphic>
              </wp:anchor>
            </w:drawing>
          </mc:Choice>
          <mc:Fallback>
            <w:pict>
              <v:shape id="_x0000_s1026" o:spid="_x0000_s1026" o:spt="202" type="#_x0000_t202" style="position:absolute;left:0pt;margin-left:41.85pt;margin-top:23.4pt;height:23.4pt;width:42pt;z-index:251704320;mso-width-relative:page;mso-height-relative:page;" filled="f" stroked="f" coordsize="21600,21600" o:gfxdata="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pjNlk1gAAAAgBAAAPAAAAAAAAAAEA&#10;IAAAACIAAABkcnMvZG93bnJldi54bWxQSwECFAAUAAAACACHTuJASwk+Np8BAAAaAwAADgAAAAAA&#10;AAABACAAAAAlAQAAZHJzL2Uyb0RvYy54bWxQSwUGAAAAAAYABgBZAQAANgUAAAAA&#10;">
                <v:fill on="f" focussize="0,0"/>
                <v:stroke on="f"/>
                <v:imagedata o:title=""/>
                <o:lock v:ext="edit" aspectratio="f"/>
                <v:textbox>
                  <w:txbxContent>
                    <w:p>
                      <w:pPr>
                        <w:rPr>
                          <w:rFonts w:hint="default" w:eastAsia="宋体"/>
                          <w:lang w:val="en-US" w:eastAsia="zh-CN"/>
                        </w:rPr>
                      </w:pPr>
                      <w:r>
                        <w:rPr>
                          <w:rFonts w:hint="eastAsia"/>
                          <w:lang w:val="en-US" w:eastAsia="zh-CN"/>
                        </w:rPr>
                        <w:t>15</w:t>
                      </w:r>
                    </w:p>
                  </w:txbxContent>
                </v:textbox>
              </v:shape>
            </w:pict>
          </mc:Fallback>
        </mc:AlternateContent>
      </w:r>
    </w:p>
    <w:p>
      <w:pPr>
        <w:spacing w:line="480" w:lineRule="exact"/>
        <w:ind w:firstLine="525" w:firstLineChars="250"/>
      </w:pPr>
      <w:r>
        <mc:AlternateContent>
          <mc:Choice Requires="wps">
            <w:drawing>
              <wp:anchor distT="0" distB="0" distL="114300" distR="114300" simplePos="0" relativeHeight="251685888" behindDoc="0" locked="0" layoutInCell="1" allowOverlap="1">
                <wp:simplePos x="0" y="0"/>
                <wp:positionH relativeFrom="column">
                  <wp:posOffset>4265295</wp:posOffset>
                </wp:positionH>
                <wp:positionV relativeFrom="paragraph">
                  <wp:posOffset>217170</wp:posOffset>
                </wp:positionV>
                <wp:extent cx="605790" cy="2540"/>
                <wp:effectExtent l="0" t="37465" r="3810" b="36195"/>
                <wp:wrapNone/>
                <wp:docPr id="656" name="直接连接符 656"/>
                <wp:cNvGraphicFramePr/>
                <a:graphic xmlns:a="http://schemas.openxmlformats.org/drawingml/2006/main">
                  <a:graphicData uri="http://schemas.microsoft.com/office/word/2010/wordprocessingShape">
                    <wps:wsp>
                      <wps:cNvCnPr/>
                      <wps:spPr>
                        <a:xfrm flipV="1">
                          <a:off x="0" y="0"/>
                          <a:ext cx="605790" cy="254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y;margin-left:335.85pt;margin-top:17.1pt;height:0.2pt;width:47.7pt;z-index:251685888;mso-width-relative:page;mso-height-relative:page;" filled="f" stroked="t" coordsize="21600,21600" o:gfxdata="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O&#10;315x2AAAAAkBAAAPAAAAAAAAAAEAIAAAACIAAABkcnMvZG93bnJldi54bWxQSwECFAAUAAAACACH&#10;TuJAdwt6WOsBAACsAwAADgAAAAAAAAABACAAAAAnAQAAZHJzL2Uyb0RvYy54bWxQSwUGAAAAAAYA&#10;BgBZAQAAhAU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3032760</wp:posOffset>
                </wp:positionH>
                <wp:positionV relativeFrom="paragraph">
                  <wp:posOffset>69215</wp:posOffset>
                </wp:positionV>
                <wp:extent cx="1215390" cy="302895"/>
                <wp:effectExtent l="4445" t="4445" r="18415" b="16510"/>
                <wp:wrapNone/>
                <wp:docPr id="353" name="文本框 353"/>
                <wp:cNvGraphicFramePr/>
                <a:graphic xmlns:a="http://schemas.openxmlformats.org/drawingml/2006/main">
                  <a:graphicData uri="http://schemas.microsoft.com/office/word/2010/wordprocessingShape">
                    <wps:wsp>
                      <wps:cNvSpPr txBox="1"/>
                      <wps:spPr>
                        <a:xfrm>
                          <a:off x="4429125" y="7107555"/>
                          <a:ext cx="1215390" cy="302895"/>
                        </a:xfrm>
                        <a:prstGeom prst="rect">
                          <a:avLst/>
                        </a:prstGeom>
                        <a:solidFill>
                          <a:srgbClr val="FFFFFF"/>
                        </a:solidFill>
                        <a:ln w="6350">
                          <a:solidFill>
                            <a:prstClr val="black"/>
                          </a:solidFill>
                        </a:ln>
                        <a:effectLst/>
                      </wps:spPr>
                      <wps:txbx>
                        <w:txbxContent>
                          <w:p>
                            <w:r>
                              <w:rPr>
                                <w:rFonts w:hint="eastAsia"/>
                              </w:rPr>
                              <w:t>自建污水处理站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8pt;margin-top:5.45pt;height:23.85pt;width:95.7pt;z-index:251702272;mso-width-relative:page;mso-height-relative:page;" fillcolor="#FFFFFF" filled="t" stroked="t" coordsize="21600,21600" o:gfxdata="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rfizS1gAAAAkBAAAP&#10;AAAAAAAAAAEAIAAAACIAAABkcnMvZG93bnJldi54bWxQSwECFAAUAAAACACHTuJAKu+jF1MCAACH&#10;BAAADgAAAAAAAAABACAAAAAlAQAAZHJzL2Uyb0RvYy54bWxQSwUGAAAAAAYABgBZAQAA6gUAAAAA&#10;">
                <v:fill on="t" focussize="0,0"/>
                <v:stroke weight="0.5pt" color="#000000" joinstyle="round"/>
                <v:imagedata o:title=""/>
                <o:lock v:ext="edit" aspectratio="f"/>
                <v:textbox>
                  <w:txbxContent>
                    <w:p>
                      <w:r>
                        <w:rPr>
                          <w:rFonts w:hint="eastAsia"/>
                        </w:rPr>
                        <w:t>自建污水处理站</w:t>
                      </w:r>
                    </w:p>
                  </w:txbxContent>
                </v:textbox>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1205865</wp:posOffset>
                </wp:positionH>
                <wp:positionV relativeFrom="paragraph">
                  <wp:posOffset>52070</wp:posOffset>
                </wp:positionV>
                <wp:extent cx="1094105" cy="297180"/>
                <wp:effectExtent l="5080" t="4445" r="5715" b="22225"/>
                <wp:wrapNone/>
                <wp:docPr id="348" name="文本框 348"/>
                <wp:cNvGraphicFramePr/>
                <a:graphic xmlns:a="http://schemas.openxmlformats.org/drawingml/2006/main">
                  <a:graphicData uri="http://schemas.microsoft.com/office/word/2010/wordprocessingShape">
                    <wps:wsp>
                      <wps:cNvSpPr txBox="1"/>
                      <wps:spPr>
                        <a:xfrm>
                          <a:off x="0" y="0"/>
                          <a:ext cx="1094105" cy="29718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eastAsia="zh-CN"/>
                              </w:rPr>
                              <w:t>水洗用水</w:t>
                            </w:r>
                          </w:p>
                        </w:txbxContent>
                      </wps:txbx>
                      <wps:bodyPr upright="1"/>
                    </wps:wsp>
                  </a:graphicData>
                </a:graphic>
              </wp:anchor>
            </w:drawing>
          </mc:Choice>
          <mc:Fallback>
            <w:pict>
              <v:shape id="_x0000_s1026" o:spid="_x0000_s1026" o:spt="202" type="#_x0000_t202" style="position:absolute;left:0pt;margin-left:94.95pt;margin-top:4.1pt;height:23.4pt;width:86.15pt;z-index:251716608;mso-width-relative:page;mso-height-relative:page;" filled="f" stroked="t" coordsize="21600,21600" o:gfxdata="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IzA1PVAAAACAEAAA8AAAAAAAAAAQAgAAAAIgAAAGRycy9kb3ducmV2LnhtbFBLAQIUABQA&#10;AAAIAIdO4kAAyx+G8wEAANEDAAAOAAAAAAAAAAEAIAAAACQBAABkcnMvZTJvRG9jLnhtbFBLBQYA&#10;AAAABgAGAFkBAACJBQAAAAA=&#10;">
                <v:fill on="f" focussize="0,0"/>
                <v:stroke color="#000000" joinstyle="miter"/>
                <v:imagedata o:title=""/>
                <o:lock v:ext="edit" aspectratio="f"/>
                <v:textbox>
                  <w:txbxContent>
                    <w:p>
                      <w:pPr>
                        <w:jc w:val="center"/>
                        <w:rPr>
                          <w:rFonts w:hint="eastAsia" w:eastAsia="宋体"/>
                          <w:lang w:eastAsia="zh-CN"/>
                        </w:rPr>
                      </w:pPr>
                      <w:r>
                        <w:rPr>
                          <w:rFonts w:hint="eastAsia"/>
                          <w:lang w:eastAsia="zh-CN"/>
                        </w:rPr>
                        <w:t>水洗用水</w:t>
                      </w:r>
                    </w:p>
                  </w:txbxContent>
                </v:textbox>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2314575</wp:posOffset>
                </wp:positionH>
                <wp:positionV relativeFrom="paragraph">
                  <wp:posOffset>207010</wp:posOffset>
                </wp:positionV>
                <wp:extent cx="727710" cy="8890"/>
                <wp:effectExtent l="0" t="37465" r="15240" b="29845"/>
                <wp:wrapNone/>
                <wp:docPr id="103" name="直接连接符 103"/>
                <wp:cNvGraphicFramePr/>
                <a:graphic xmlns:a="http://schemas.openxmlformats.org/drawingml/2006/main">
                  <a:graphicData uri="http://schemas.microsoft.com/office/word/2010/wordprocessingShape">
                    <wps:wsp>
                      <wps:cNvCnPr/>
                      <wps:spPr>
                        <a:xfrm flipV="1">
                          <a:off x="0" y="0"/>
                          <a:ext cx="727710" cy="889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y;margin-left:182.25pt;margin-top:16.3pt;height:0.7pt;width:57.3pt;z-index:251727872;mso-width-relative:page;mso-height-relative:page;" filled="f" stroked="t" coordsize="21600,21600" o:gfxdata="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KCNM9kAAAAJAQAADwAAAAAAAAABACAAAAAiAAAAZHJzL2Rvd25yZXYueG1sUEsBAhQAFAAAAAgA&#10;h07iQERBXH3rAQAArAMAAA4AAAAAAAAAAQAgAAAAKAEAAGRycy9lMm9Eb2MueG1sUEsFBgAAAAAG&#10;AAYAWQEAAIU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405765</wp:posOffset>
                </wp:positionH>
                <wp:positionV relativeFrom="paragraph">
                  <wp:posOffset>212090</wp:posOffset>
                </wp:positionV>
                <wp:extent cx="800100" cy="0"/>
                <wp:effectExtent l="0" t="38100" r="0" b="38100"/>
                <wp:wrapNone/>
                <wp:docPr id="344" name="直接连接符 344"/>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31.95pt;margin-top:16.7pt;height:0pt;width:63pt;z-index:251715584;mso-width-relative:page;mso-height-relative:page;" filled="f" stroked="t" coordsize="21600,21600" o:gfxdata="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l1NiCtcAAAAIAQAADwAA&#10;AAAAAAABACAAAAAiAAAAZHJzL2Rvd25yZXYueG1sUEsBAhQAFAAAAAgAh07iQHONAGXeAQAAnwMA&#10;AA4AAAAAAAAAAQAgAAAAJgEAAGRycy9lMm9Eb2MueG1sUEsFBgAAAAAGAAYAWQEAAHYFAAAAAA==&#10;">
                <v:fill on="f" focussize="0,0"/>
                <v:stroke color="#000000" joinstyle="round" endarrow="block"/>
                <v:imagedata o:title=""/>
                <o:lock v:ext="edit" aspectratio="f"/>
              </v:line>
            </w:pict>
          </mc:Fallback>
        </mc:AlternateContent>
      </w:r>
    </w:p>
    <w:p>
      <w:pPr>
        <w:jc w:val="center"/>
        <w:rPr>
          <w:b/>
        </w:rPr>
      </w:pPr>
    </w:p>
    <w:p>
      <w:pPr>
        <w:jc w:val="center"/>
        <w:rPr>
          <w:b/>
          <w:sz w:val="24"/>
          <w:szCs w:val="24"/>
        </w:rPr>
      </w:pPr>
      <w:r>
        <mc:AlternateContent>
          <mc:Choice Requires="wps">
            <w:drawing>
              <wp:anchor distT="0" distB="0" distL="114300" distR="114300" simplePos="0" relativeHeight="3472654336" behindDoc="0" locked="0" layoutInCell="1" allowOverlap="1">
                <wp:simplePos x="0" y="0"/>
                <wp:positionH relativeFrom="column">
                  <wp:posOffset>4813300</wp:posOffset>
                </wp:positionH>
                <wp:positionV relativeFrom="paragraph">
                  <wp:posOffset>97790</wp:posOffset>
                </wp:positionV>
                <wp:extent cx="1336040" cy="29083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1336040" cy="290830"/>
                        </a:xfrm>
                        <a:prstGeom prst="rect">
                          <a:avLst/>
                        </a:prstGeom>
                        <a:noFill/>
                        <a:ln w="9525">
                          <a:noFill/>
                        </a:ln>
                        <a:effectLst/>
                      </wps:spPr>
                      <wps:txbx>
                        <w:txbxContent>
                          <w:p>
                            <w:pPr>
                              <w:rPr>
                                <w:rFonts w:hint="eastAsia" w:eastAsia="宋体"/>
                                <w:lang w:eastAsia="zh-CN"/>
                              </w:rPr>
                            </w:pPr>
                            <w:r>
                              <w:rPr>
                                <w:rFonts w:hint="eastAsia"/>
                                <w:lang w:eastAsia="zh-CN"/>
                              </w:rPr>
                              <w:t>城北污水处理厂</w:t>
                            </w:r>
                          </w:p>
                        </w:txbxContent>
                      </wps:txbx>
                      <wps:bodyPr upright="1"/>
                    </wps:wsp>
                  </a:graphicData>
                </a:graphic>
              </wp:anchor>
            </w:drawing>
          </mc:Choice>
          <mc:Fallback>
            <w:pict>
              <v:shape id="_x0000_s1026" o:spid="_x0000_s1026" o:spt="202" type="#_x0000_t202" style="position:absolute;left:0pt;margin-left:379pt;margin-top:7.7pt;height:22.9pt;width:105.2pt;z-index:-822312960;mso-width-relative:page;mso-height-relative:page;" filled="f" stroked="f" coordsize="21600,21600" o:gfxdata="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ie3Vn1wAAAAkBAAAPAAAAAAAA&#10;AAEAIAAAACIAAABkcnMvZG93bnJldi54bWxQSwECFAAUAAAACACHTuJA0PcVuKEBAAAbAwAADgAA&#10;AAAAAAABACAAAAAmAQAAZHJzL2Uyb0RvYy54bWxQSwUGAAAAAAYABgBZAQAAOQUAAAAA&#10;">
                <v:fill on="f" focussize="0,0"/>
                <v:stroke on="f"/>
                <v:imagedata o:title=""/>
                <o:lock v:ext="edit" aspectratio="f"/>
                <v:textbox>
                  <w:txbxContent>
                    <w:p>
                      <w:pPr>
                        <w:rPr>
                          <w:rFonts w:hint="eastAsia" w:eastAsia="宋体"/>
                          <w:lang w:eastAsia="zh-CN"/>
                        </w:rPr>
                      </w:pPr>
                      <w:r>
                        <w:rPr>
                          <w:rFonts w:hint="eastAsia"/>
                          <w:lang w:eastAsia="zh-CN"/>
                        </w:rPr>
                        <w:t>城北污水处理厂</w:t>
                      </w:r>
                    </w:p>
                  </w:txbxContent>
                </v:textbox>
              </v:shape>
            </w:pict>
          </mc:Fallback>
        </mc:AlternateContent>
      </w:r>
    </w:p>
    <w:p>
      <w:pPr>
        <w:jc w:val="center"/>
        <w:rPr>
          <w:b/>
          <w:sz w:val="24"/>
          <w:szCs w:val="24"/>
        </w:rPr>
      </w:pPr>
    </w:p>
    <w:p>
      <w:pPr>
        <w:jc w:val="center"/>
        <w:rPr>
          <w:b/>
          <w:sz w:val="24"/>
          <w:szCs w:val="24"/>
        </w:rPr>
      </w:pPr>
      <w:r>
        <w:rPr>
          <w:b/>
          <w:sz w:val="24"/>
          <w:szCs w:val="24"/>
        </w:rPr>
        <w:t>图2.2-</w:t>
      </w:r>
      <w:r>
        <w:rPr>
          <w:rFonts w:hint="eastAsia"/>
          <w:b/>
          <w:sz w:val="24"/>
          <w:szCs w:val="24"/>
          <w:lang w:val="en-US" w:eastAsia="zh-CN"/>
        </w:rPr>
        <w:t>3</w:t>
      </w:r>
      <w:r>
        <w:rPr>
          <w:rFonts w:hint="eastAsia"/>
          <w:b/>
          <w:sz w:val="24"/>
          <w:szCs w:val="24"/>
        </w:rPr>
        <w:t xml:space="preserve">  </w:t>
      </w:r>
      <w:r>
        <w:rPr>
          <w:b/>
          <w:sz w:val="24"/>
          <w:szCs w:val="24"/>
        </w:rPr>
        <w:t>项目用水平衡图 （单位：m</w:t>
      </w:r>
      <w:r>
        <w:rPr>
          <w:b/>
          <w:sz w:val="24"/>
          <w:szCs w:val="24"/>
          <w:vertAlign w:val="superscript"/>
        </w:rPr>
        <w:t>3</w:t>
      </w:r>
      <w:r>
        <w:rPr>
          <w:b/>
          <w:sz w:val="24"/>
          <w:szCs w:val="24"/>
        </w:rPr>
        <w:t>/d）</w:t>
      </w:r>
    </w:p>
    <w:p>
      <w:pPr>
        <w:pStyle w:val="5"/>
        <w:rPr>
          <w:sz w:val="24"/>
          <w:szCs w:val="24"/>
        </w:rPr>
      </w:pPr>
      <w:bookmarkStart w:id="166" w:name="_Toc19673_WPSOffice_Level2"/>
      <w:r>
        <w:rPr>
          <w:sz w:val="24"/>
          <w:szCs w:val="24"/>
        </w:rPr>
        <w:t>2.3 污染源源强核算</w:t>
      </w:r>
      <w:bookmarkEnd w:id="166"/>
    </w:p>
    <w:p>
      <w:pPr>
        <w:rPr>
          <w:b/>
          <w:sz w:val="24"/>
          <w:szCs w:val="24"/>
        </w:rPr>
      </w:pPr>
      <w:r>
        <w:rPr>
          <w:b/>
          <w:sz w:val="24"/>
          <w:szCs w:val="24"/>
        </w:rPr>
        <w:t>2.3.1 废气污染源强核算</w:t>
      </w:r>
    </w:p>
    <w:p>
      <w:pPr>
        <w:adjustRightInd/>
        <w:snapToGrid/>
        <w:ind w:firstLine="480" w:firstLineChars="200"/>
        <w:rPr>
          <w:sz w:val="24"/>
          <w:szCs w:val="24"/>
        </w:rPr>
      </w:pPr>
      <w:r>
        <w:rPr>
          <w:sz w:val="24"/>
          <w:szCs w:val="24"/>
        </w:rPr>
        <w:t>通过分析项目生产工艺，项目产生的废气主要为污水处理站恶臭</w:t>
      </w:r>
      <w:r>
        <w:rPr>
          <w:rFonts w:hint="eastAsia"/>
          <w:sz w:val="24"/>
          <w:szCs w:val="24"/>
          <w:lang w:eastAsia="zh-CN"/>
        </w:rPr>
        <w:t>和食堂油烟</w:t>
      </w:r>
      <w:r>
        <w:rPr>
          <w:sz w:val="24"/>
          <w:szCs w:val="24"/>
        </w:rPr>
        <w:t>。</w:t>
      </w:r>
    </w:p>
    <w:p>
      <w:pPr>
        <w:ind w:firstLine="480" w:firstLineChars="200"/>
        <w:rPr>
          <w:sz w:val="24"/>
          <w:szCs w:val="24"/>
        </w:rPr>
      </w:pPr>
      <w:r>
        <w:rPr>
          <w:sz w:val="24"/>
          <w:szCs w:val="24"/>
        </w:rPr>
        <w:t>（1）恶臭</w:t>
      </w:r>
    </w:p>
    <w:p>
      <w:pPr>
        <w:ind w:firstLine="480" w:firstLineChars="200"/>
        <w:rPr>
          <w:sz w:val="24"/>
          <w:szCs w:val="24"/>
        </w:rPr>
      </w:pPr>
      <w:r>
        <w:rPr>
          <w:sz w:val="24"/>
          <w:szCs w:val="24"/>
        </w:rPr>
        <w:t>项目恶臭污染源来自</w:t>
      </w:r>
      <w:r>
        <w:rPr>
          <w:rFonts w:hint="eastAsia"/>
          <w:sz w:val="24"/>
          <w:szCs w:val="24"/>
          <w:lang w:eastAsia="zh-CN"/>
        </w:rPr>
        <w:t>厂区自建</w:t>
      </w:r>
      <w:r>
        <w:rPr>
          <w:sz w:val="24"/>
          <w:szCs w:val="24"/>
        </w:rPr>
        <w:t>污水处理站，由于污水处理设施恶臭物质的逸出和扩散机理比较复杂，废气源强难于计算根据美国EPA对城市污水处理厂恶臭污染物产生情况的研究，既每处理1g的BOD</w:t>
      </w:r>
      <w:r>
        <w:rPr>
          <w:sz w:val="24"/>
          <w:szCs w:val="24"/>
          <w:vertAlign w:val="subscript"/>
        </w:rPr>
        <w:t>5</w:t>
      </w:r>
      <w:r>
        <w:rPr>
          <w:sz w:val="24"/>
          <w:szCs w:val="24"/>
        </w:rPr>
        <w:t>可产生0.0031</w:t>
      </w:r>
      <w:r>
        <w:rPr>
          <w:rFonts w:hint="eastAsia"/>
          <w:sz w:val="24"/>
          <w:szCs w:val="24"/>
          <w:lang w:val="en-US" w:eastAsia="zh-CN"/>
        </w:rPr>
        <w:t>g</w:t>
      </w:r>
      <w:r>
        <w:rPr>
          <w:sz w:val="24"/>
          <w:szCs w:val="24"/>
        </w:rPr>
        <w:t>的NH</w:t>
      </w:r>
      <w:r>
        <w:rPr>
          <w:sz w:val="24"/>
          <w:szCs w:val="24"/>
          <w:vertAlign w:val="subscript"/>
        </w:rPr>
        <w:t>3</w:t>
      </w:r>
      <w:r>
        <w:rPr>
          <w:sz w:val="24"/>
          <w:szCs w:val="24"/>
        </w:rPr>
        <w:t>和0.00012</w:t>
      </w:r>
      <w:r>
        <w:rPr>
          <w:rFonts w:hint="eastAsia"/>
          <w:sz w:val="24"/>
          <w:szCs w:val="24"/>
          <w:lang w:val="en-US" w:eastAsia="zh-CN"/>
        </w:rPr>
        <w:t>g</w:t>
      </w:r>
      <w:r>
        <w:rPr>
          <w:sz w:val="24"/>
          <w:szCs w:val="24"/>
        </w:rPr>
        <w:t>的H</w:t>
      </w:r>
      <w:r>
        <w:rPr>
          <w:sz w:val="24"/>
          <w:szCs w:val="24"/>
          <w:vertAlign w:val="subscript"/>
        </w:rPr>
        <w:t>2</w:t>
      </w:r>
      <w:r>
        <w:rPr>
          <w:sz w:val="24"/>
          <w:szCs w:val="24"/>
        </w:rPr>
        <w:t>S。由废水污染源强分析可知，项目BOD</w:t>
      </w:r>
      <w:r>
        <w:rPr>
          <w:sz w:val="24"/>
          <w:szCs w:val="24"/>
          <w:vertAlign w:val="subscript"/>
        </w:rPr>
        <w:t>5</w:t>
      </w:r>
      <w:r>
        <w:rPr>
          <w:sz w:val="24"/>
          <w:szCs w:val="24"/>
        </w:rPr>
        <w:t>处理量</w:t>
      </w:r>
      <w:r>
        <w:rPr>
          <w:sz w:val="24"/>
          <w:szCs w:val="24"/>
          <w:highlight w:val="none"/>
        </w:rPr>
        <w:t>为</w:t>
      </w:r>
      <w:r>
        <w:rPr>
          <w:rFonts w:hint="eastAsia"/>
          <w:sz w:val="24"/>
          <w:szCs w:val="24"/>
          <w:highlight w:val="none"/>
          <w:lang w:val="en-US" w:eastAsia="zh-CN"/>
        </w:rPr>
        <w:t>2.86</w:t>
      </w:r>
      <w:r>
        <w:rPr>
          <w:sz w:val="24"/>
          <w:szCs w:val="24"/>
          <w:highlight w:val="none"/>
        </w:rPr>
        <w:t>t/a。由</w:t>
      </w:r>
      <w:r>
        <w:rPr>
          <w:sz w:val="24"/>
          <w:szCs w:val="24"/>
        </w:rPr>
        <w:t>此可计算出本项目的恶臭污染物源强如下：</w:t>
      </w:r>
    </w:p>
    <w:p>
      <w:pPr>
        <w:pStyle w:val="36"/>
        <w:spacing w:line="480" w:lineRule="exact"/>
        <w:jc w:val="center"/>
        <w:rPr>
          <w:rFonts w:ascii="Times New Roman" w:cs="Times New Roman"/>
          <w:b/>
          <w:bCs/>
          <w:color w:val="auto"/>
        </w:rPr>
      </w:pPr>
      <w:r>
        <w:rPr>
          <w:rFonts w:hint="eastAsia" w:ascii="Times New Roman" w:cs="Times New Roman"/>
          <w:b/>
          <w:bCs/>
          <w:color w:val="auto"/>
        </w:rPr>
        <w:t>表2</w:t>
      </w:r>
      <w:r>
        <w:rPr>
          <w:rFonts w:hint="eastAsia" w:ascii="Times New Roman" w:cs="Times New Roman"/>
          <w:b/>
          <w:bCs/>
          <w:color w:val="auto"/>
          <w:lang w:val="en-US" w:eastAsia="zh-CN"/>
        </w:rPr>
        <w:t>.</w:t>
      </w:r>
      <w:r>
        <w:rPr>
          <w:rFonts w:hint="eastAsia" w:ascii="Times New Roman" w:cs="Times New Roman"/>
          <w:b/>
          <w:bCs/>
          <w:color w:val="auto"/>
        </w:rPr>
        <w:t>3-</w:t>
      </w:r>
      <w:r>
        <w:rPr>
          <w:rFonts w:hint="eastAsia" w:ascii="Times New Roman" w:cs="Times New Roman"/>
          <w:b/>
          <w:bCs/>
          <w:color w:val="auto"/>
          <w:lang w:val="en-US" w:eastAsia="zh-CN"/>
        </w:rPr>
        <w:t>4</w:t>
      </w:r>
      <w:r>
        <w:rPr>
          <w:rFonts w:hint="eastAsia" w:ascii="Times New Roman" w:cs="Times New Roman"/>
          <w:b/>
          <w:bCs/>
          <w:color w:val="auto"/>
        </w:rPr>
        <w:t xml:space="preserve"> 污水处理系统恶臭污染强源一览表</w:t>
      </w:r>
    </w:p>
    <w:tbl>
      <w:tblPr>
        <w:tblStyle w:val="23"/>
        <w:tblW w:w="883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2208"/>
        <w:gridCol w:w="2209"/>
        <w:gridCol w:w="2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9" w:type="dxa"/>
            <w:tcBorders>
              <w:tl2br w:val="nil"/>
              <w:tr2bl w:val="nil"/>
            </w:tcBorders>
            <w:vAlign w:val="center"/>
          </w:tcPr>
          <w:p>
            <w:pPr>
              <w:pStyle w:val="36"/>
              <w:jc w:val="center"/>
              <w:rPr>
                <w:rFonts w:ascii="Times New Roman" w:cs="Times New Roman"/>
                <w:color w:val="auto"/>
                <w:kern w:val="2"/>
                <w:sz w:val="21"/>
                <w:szCs w:val="21"/>
              </w:rPr>
            </w:pPr>
            <w:r>
              <w:rPr>
                <w:rFonts w:ascii="Times New Roman" w:cs="Times New Roman"/>
                <w:color w:val="auto"/>
                <w:kern w:val="2"/>
                <w:sz w:val="21"/>
                <w:szCs w:val="21"/>
              </w:rPr>
              <w:t>评价因子</w:t>
            </w:r>
          </w:p>
        </w:tc>
        <w:tc>
          <w:tcPr>
            <w:tcW w:w="2208" w:type="dxa"/>
            <w:tcBorders>
              <w:tl2br w:val="nil"/>
              <w:tr2bl w:val="nil"/>
            </w:tcBorders>
            <w:vAlign w:val="center"/>
          </w:tcPr>
          <w:p>
            <w:pPr>
              <w:pStyle w:val="36"/>
              <w:jc w:val="center"/>
              <w:rPr>
                <w:rFonts w:ascii="Times New Roman" w:cs="Times New Roman"/>
                <w:color w:val="auto"/>
                <w:kern w:val="2"/>
                <w:sz w:val="21"/>
                <w:szCs w:val="21"/>
              </w:rPr>
            </w:pPr>
            <w:r>
              <w:rPr>
                <w:rFonts w:ascii="Times New Roman" w:cs="Times New Roman"/>
                <w:color w:val="auto"/>
                <w:kern w:val="2"/>
                <w:sz w:val="21"/>
                <w:szCs w:val="21"/>
              </w:rPr>
              <w:t>生产系数</w:t>
            </w:r>
          </w:p>
        </w:tc>
        <w:tc>
          <w:tcPr>
            <w:tcW w:w="2209" w:type="dxa"/>
            <w:tcBorders>
              <w:tl2br w:val="nil"/>
              <w:tr2bl w:val="nil"/>
            </w:tcBorders>
            <w:vAlign w:val="center"/>
          </w:tcPr>
          <w:p>
            <w:pPr>
              <w:pStyle w:val="36"/>
              <w:jc w:val="center"/>
              <w:rPr>
                <w:rFonts w:ascii="Times New Roman" w:cs="Times New Roman"/>
                <w:color w:val="auto"/>
                <w:kern w:val="2"/>
                <w:sz w:val="21"/>
                <w:szCs w:val="21"/>
              </w:rPr>
            </w:pPr>
            <w:r>
              <w:rPr>
                <w:rFonts w:ascii="Times New Roman" w:cs="Times New Roman"/>
                <w:color w:val="auto"/>
                <w:kern w:val="2"/>
                <w:sz w:val="21"/>
                <w:szCs w:val="21"/>
              </w:rPr>
              <w:t>产生速率kg/h</w:t>
            </w:r>
          </w:p>
        </w:tc>
        <w:tc>
          <w:tcPr>
            <w:tcW w:w="2208" w:type="dxa"/>
            <w:tcBorders>
              <w:tl2br w:val="nil"/>
              <w:tr2bl w:val="nil"/>
            </w:tcBorders>
            <w:vAlign w:val="center"/>
          </w:tcPr>
          <w:p>
            <w:pPr>
              <w:pStyle w:val="36"/>
              <w:jc w:val="center"/>
              <w:rPr>
                <w:rFonts w:ascii="Times New Roman" w:cs="Times New Roman"/>
                <w:color w:val="auto"/>
                <w:kern w:val="2"/>
                <w:sz w:val="21"/>
                <w:szCs w:val="21"/>
              </w:rPr>
            </w:pPr>
            <w:r>
              <w:rPr>
                <w:rFonts w:ascii="Times New Roman" w:cs="Times New Roman"/>
                <w:color w:val="auto"/>
                <w:kern w:val="2"/>
                <w:sz w:val="21"/>
                <w:szCs w:val="21"/>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6" w:hRule="atLeast"/>
          <w:jc w:val="center"/>
        </w:trPr>
        <w:tc>
          <w:tcPr>
            <w:tcW w:w="2209" w:type="dxa"/>
            <w:tcBorders>
              <w:tl2br w:val="nil"/>
              <w:tr2bl w:val="nil"/>
            </w:tcBorders>
            <w:vAlign w:val="center"/>
          </w:tcPr>
          <w:p>
            <w:pPr>
              <w:pStyle w:val="36"/>
              <w:jc w:val="center"/>
              <w:rPr>
                <w:rFonts w:ascii="Times New Roman" w:cs="Times New Roman"/>
                <w:color w:val="auto"/>
                <w:kern w:val="2"/>
                <w:sz w:val="21"/>
                <w:szCs w:val="21"/>
              </w:rPr>
            </w:pPr>
            <w:r>
              <w:rPr>
                <w:rFonts w:ascii="Times New Roman" w:cs="Times New Roman"/>
                <w:color w:val="auto"/>
                <w:kern w:val="2"/>
                <w:sz w:val="21"/>
                <w:szCs w:val="21"/>
              </w:rPr>
              <w:t>NH</w:t>
            </w:r>
            <w:r>
              <w:rPr>
                <w:rFonts w:ascii="Times New Roman" w:cs="Times New Roman"/>
                <w:color w:val="auto"/>
                <w:kern w:val="2"/>
                <w:sz w:val="21"/>
                <w:szCs w:val="21"/>
                <w:vertAlign w:val="subscript"/>
              </w:rPr>
              <w:t>3</w:t>
            </w:r>
          </w:p>
        </w:tc>
        <w:tc>
          <w:tcPr>
            <w:tcW w:w="2208" w:type="dxa"/>
            <w:tcBorders>
              <w:tl2br w:val="nil"/>
              <w:tr2bl w:val="nil"/>
            </w:tcBorders>
            <w:vAlign w:val="center"/>
          </w:tcPr>
          <w:p>
            <w:pPr>
              <w:pStyle w:val="36"/>
              <w:jc w:val="center"/>
              <w:rPr>
                <w:rFonts w:ascii="Times New Roman" w:cs="Times New Roman"/>
                <w:color w:val="auto"/>
                <w:kern w:val="2"/>
                <w:sz w:val="21"/>
                <w:szCs w:val="21"/>
              </w:rPr>
            </w:pPr>
            <w:r>
              <w:rPr>
                <w:rFonts w:hint="eastAsia" w:ascii="Times New Roman" w:cs="Times New Roman"/>
                <w:color w:val="auto"/>
                <w:kern w:val="2"/>
                <w:sz w:val="21"/>
                <w:szCs w:val="21"/>
              </w:rPr>
              <w:t>0.0031g/gBOD</w:t>
            </w:r>
            <w:r>
              <w:rPr>
                <w:rFonts w:hint="eastAsia" w:ascii="Times New Roman" w:cs="Times New Roman"/>
                <w:color w:val="auto"/>
                <w:kern w:val="2"/>
                <w:sz w:val="21"/>
                <w:szCs w:val="21"/>
                <w:vertAlign w:val="subscript"/>
              </w:rPr>
              <w:t>5</w:t>
            </w:r>
          </w:p>
        </w:tc>
        <w:tc>
          <w:tcPr>
            <w:tcW w:w="2209" w:type="dxa"/>
            <w:tcBorders>
              <w:tl2br w:val="nil"/>
              <w:tr2bl w:val="nil"/>
            </w:tcBorders>
            <w:vAlign w:val="center"/>
          </w:tcPr>
          <w:p>
            <w:pPr>
              <w:pStyle w:val="36"/>
              <w:jc w:val="center"/>
              <w:rPr>
                <w:rFonts w:hint="default" w:asci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0.002</w:t>
            </w:r>
          </w:p>
        </w:tc>
        <w:tc>
          <w:tcPr>
            <w:tcW w:w="2208" w:type="dxa"/>
            <w:tcBorders>
              <w:tl2br w:val="nil"/>
              <w:tr2bl w:val="nil"/>
            </w:tcBorders>
            <w:vAlign w:val="center"/>
          </w:tcPr>
          <w:p>
            <w:pPr>
              <w:pStyle w:val="36"/>
              <w:jc w:val="center"/>
              <w:rPr>
                <w:rFonts w:hint="default" w:asci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0.009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9" w:type="dxa"/>
            <w:tcBorders>
              <w:tl2br w:val="nil"/>
              <w:tr2bl w:val="nil"/>
            </w:tcBorders>
            <w:vAlign w:val="center"/>
          </w:tcPr>
          <w:p>
            <w:pPr>
              <w:pStyle w:val="36"/>
              <w:jc w:val="center"/>
              <w:rPr>
                <w:rFonts w:ascii="Times New Roman" w:cs="Times New Roman"/>
                <w:color w:val="auto"/>
                <w:kern w:val="2"/>
                <w:sz w:val="21"/>
                <w:szCs w:val="21"/>
              </w:rPr>
            </w:pPr>
            <w:r>
              <w:rPr>
                <w:rFonts w:ascii="Times New Roman" w:cs="Times New Roman"/>
                <w:color w:val="auto"/>
                <w:kern w:val="2"/>
                <w:sz w:val="21"/>
                <w:szCs w:val="21"/>
              </w:rPr>
              <w:t>H</w:t>
            </w:r>
            <w:r>
              <w:rPr>
                <w:rFonts w:ascii="Times New Roman" w:cs="Times New Roman"/>
                <w:color w:val="auto"/>
                <w:kern w:val="2"/>
                <w:sz w:val="21"/>
                <w:szCs w:val="21"/>
                <w:vertAlign w:val="subscript"/>
              </w:rPr>
              <w:t>2</w:t>
            </w:r>
            <w:r>
              <w:rPr>
                <w:rFonts w:ascii="Times New Roman" w:cs="Times New Roman"/>
                <w:color w:val="auto"/>
                <w:kern w:val="2"/>
                <w:sz w:val="21"/>
                <w:szCs w:val="21"/>
              </w:rPr>
              <w:t>S</w:t>
            </w:r>
          </w:p>
        </w:tc>
        <w:tc>
          <w:tcPr>
            <w:tcW w:w="2208" w:type="dxa"/>
            <w:tcBorders>
              <w:tl2br w:val="nil"/>
              <w:tr2bl w:val="nil"/>
            </w:tcBorders>
            <w:vAlign w:val="center"/>
          </w:tcPr>
          <w:p>
            <w:pPr>
              <w:pStyle w:val="36"/>
              <w:jc w:val="center"/>
              <w:rPr>
                <w:rFonts w:ascii="Times New Roman" w:cs="Times New Roman"/>
                <w:color w:val="auto"/>
                <w:kern w:val="2"/>
                <w:sz w:val="21"/>
                <w:szCs w:val="21"/>
              </w:rPr>
            </w:pPr>
            <w:r>
              <w:rPr>
                <w:rFonts w:hint="eastAsia" w:ascii="Times New Roman" w:cs="Times New Roman"/>
                <w:color w:val="auto"/>
                <w:kern w:val="2"/>
                <w:sz w:val="21"/>
                <w:szCs w:val="21"/>
              </w:rPr>
              <w:t>0.00012g/gBOD</w:t>
            </w:r>
            <w:r>
              <w:rPr>
                <w:rFonts w:hint="eastAsia" w:ascii="Times New Roman" w:cs="Times New Roman"/>
                <w:color w:val="auto"/>
                <w:kern w:val="2"/>
                <w:sz w:val="21"/>
                <w:szCs w:val="21"/>
                <w:vertAlign w:val="subscript"/>
              </w:rPr>
              <w:t>5</w:t>
            </w:r>
          </w:p>
        </w:tc>
        <w:tc>
          <w:tcPr>
            <w:tcW w:w="2209" w:type="dxa"/>
            <w:tcBorders>
              <w:tl2br w:val="nil"/>
              <w:tr2bl w:val="nil"/>
            </w:tcBorders>
            <w:vAlign w:val="center"/>
          </w:tcPr>
          <w:p>
            <w:pPr>
              <w:pStyle w:val="36"/>
              <w:jc w:val="center"/>
              <w:rPr>
                <w:rFonts w:hint="default" w:asci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0.00009</w:t>
            </w:r>
          </w:p>
        </w:tc>
        <w:tc>
          <w:tcPr>
            <w:tcW w:w="2208" w:type="dxa"/>
            <w:tcBorders>
              <w:tl2br w:val="nil"/>
              <w:tr2bl w:val="nil"/>
            </w:tcBorders>
            <w:vAlign w:val="center"/>
          </w:tcPr>
          <w:p>
            <w:pPr>
              <w:pStyle w:val="36"/>
              <w:jc w:val="center"/>
              <w:rPr>
                <w:rFonts w:hint="default" w:asci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0.0003</w:t>
            </w:r>
          </w:p>
        </w:tc>
      </w:tr>
    </w:tbl>
    <w:p>
      <w:pPr>
        <w:pStyle w:val="3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ascii="Times New Roman" w:cs="Times New Roman"/>
          <w:color w:val="auto"/>
        </w:rPr>
      </w:pPr>
      <w:r>
        <w:rPr>
          <w:rFonts w:ascii="Times New Roman" w:cs="Times New Roman"/>
          <w:color w:val="auto"/>
        </w:rPr>
        <w:t>对于无组织排放恶臭的治理方法主要是从减少臭气产生、防止恶臭扩散等多种方法并举。建设单位拟采取的臭气防治措施如下</w:t>
      </w:r>
      <w:r>
        <w:rPr>
          <w:rFonts w:hint="eastAsia" w:ascii="Times New Roman" w:cs="Times New Roman"/>
          <w:color w:val="auto"/>
        </w:rPr>
        <w:t>：</w:t>
      </w:r>
    </w:p>
    <w:p>
      <w:pPr>
        <w:pStyle w:val="36"/>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ascii="Times New Roman" w:cs="Times New Roman"/>
          <w:color w:val="auto"/>
        </w:rPr>
      </w:pPr>
      <w:r>
        <w:rPr>
          <w:rFonts w:ascii="Times New Roman" w:cs="Times New Roman"/>
          <w:color w:val="auto"/>
        </w:rPr>
        <w:t xml:space="preserve">      A、加强污泥清理频次。</w:t>
      </w:r>
    </w:p>
    <w:p>
      <w:pPr>
        <w:pStyle w:val="36"/>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ascii="Times New Roman" w:cs="Times New Roman"/>
          <w:color w:val="auto"/>
        </w:rPr>
      </w:pPr>
      <w:r>
        <w:rPr>
          <w:rFonts w:ascii="Times New Roman" w:cs="Times New Roman"/>
          <w:color w:val="auto"/>
        </w:rPr>
        <w:t xml:space="preserve">      B、增设除异味的物质，在污泥暂存点喷洒一些高效的除臭剂。</w:t>
      </w:r>
    </w:p>
    <w:p>
      <w:pPr>
        <w:pStyle w:val="36"/>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ascii="Times New Roman" w:cs="Times New Roman"/>
          <w:color w:val="auto"/>
        </w:rPr>
      </w:pPr>
      <w:r>
        <w:rPr>
          <w:rFonts w:ascii="Times New Roman" w:cs="Times New Roman"/>
          <w:color w:val="auto"/>
        </w:rPr>
        <w:t xml:space="preserve">      C、加强污水处理站及区绿化设施，在易于散发臭气的构筑物周围种植具有吸附功能的天然植物，使得臭气得以就地处理。</w:t>
      </w:r>
    </w:p>
    <w:p>
      <w:pPr>
        <w:pStyle w:val="36"/>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ascii="Times New Roman" w:cs="Times New Roman"/>
          <w:color w:val="auto"/>
        </w:rPr>
      </w:pPr>
      <w:r>
        <w:rPr>
          <w:rFonts w:ascii="Times New Roman" w:cs="Times New Roman"/>
          <w:color w:val="auto"/>
        </w:rPr>
        <w:t xml:space="preserve">      D、对产生恶臭的调节池、进水泵站、污泥储存池及污泥脱水设施等实施密封作业</w:t>
      </w:r>
      <w:r>
        <w:rPr>
          <w:rFonts w:hint="eastAsia" w:ascii="Times New Roman" w:cs="Times New Roman"/>
          <w:color w:val="auto"/>
        </w:rPr>
        <w:t>。</w:t>
      </w:r>
    </w:p>
    <w:p>
      <w:pPr>
        <w:pStyle w:val="3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ascii="Times New Roman" w:cs="Times New Roman"/>
          <w:color w:val="auto"/>
        </w:rPr>
      </w:pPr>
      <w:r>
        <w:rPr>
          <w:rFonts w:ascii="Times New Roman" w:cs="Times New Roman"/>
          <w:color w:val="auto"/>
        </w:rPr>
        <w:t>通过上述措施处理后，厂界恶臭满足《恶臭污染物排放标准》（GB14554-93）中无组织排放浓度限值（NH</w:t>
      </w:r>
      <w:r>
        <w:rPr>
          <w:rFonts w:ascii="Times New Roman" w:cs="Times New Roman"/>
          <w:color w:val="auto"/>
          <w:vertAlign w:val="subscript"/>
        </w:rPr>
        <w:t>3</w:t>
      </w:r>
      <w:r>
        <w:rPr>
          <w:rFonts w:ascii="Times New Roman" w:cs="Times New Roman"/>
          <w:color w:val="auto"/>
        </w:rPr>
        <w:t>≤1.5mg/m</w:t>
      </w:r>
      <w:r>
        <w:rPr>
          <w:rFonts w:ascii="Times New Roman" w:cs="Times New Roman"/>
          <w:color w:val="auto"/>
          <w:vertAlign w:val="superscript"/>
        </w:rPr>
        <w:t>3</w:t>
      </w:r>
      <w:r>
        <w:rPr>
          <w:rFonts w:ascii="Times New Roman" w:cs="Times New Roman"/>
          <w:color w:val="auto"/>
        </w:rPr>
        <w:t>，H</w:t>
      </w:r>
      <w:r>
        <w:rPr>
          <w:rFonts w:ascii="Times New Roman" w:cs="Times New Roman"/>
          <w:color w:val="auto"/>
          <w:vertAlign w:val="subscript"/>
        </w:rPr>
        <w:t>2</w:t>
      </w:r>
      <w:r>
        <w:rPr>
          <w:rFonts w:ascii="Times New Roman" w:cs="Times New Roman"/>
          <w:color w:val="auto"/>
        </w:rPr>
        <w:t>S≤0.06mg/m</w:t>
      </w:r>
      <w:r>
        <w:rPr>
          <w:rFonts w:ascii="Times New Roman" w:cs="Times New Roman"/>
          <w:color w:val="auto"/>
          <w:vertAlign w:val="superscript"/>
        </w:rPr>
        <w:t>3</w:t>
      </w:r>
      <w:r>
        <w:rPr>
          <w:rFonts w:ascii="Times New Roman" w:cs="Times New Roman"/>
          <w:color w:val="auto"/>
        </w:rPr>
        <w:t>）。</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）食堂油烟废气</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项目设有食堂为职工提供</w:t>
      </w:r>
      <w:r>
        <w:rPr>
          <w:rFonts w:hint="eastAsia" w:cs="Times New Roman"/>
          <w:sz w:val="24"/>
          <w:szCs w:val="24"/>
          <w:lang w:eastAsia="zh-CN"/>
        </w:rPr>
        <w:t>三餐</w:t>
      </w:r>
      <w:r>
        <w:rPr>
          <w:rFonts w:hint="default" w:ascii="Times New Roman" w:hAnsi="Times New Roman" w:eastAsia="宋体" w:cs="Times New Roman"/>
          <w:sz w:val="24"/>
          <w:szCs w:val="24"/>
        </w:rPr>
        <w:t>，共3个基准灶头，使用天然气和电能等清洁能源。食堂就餐人数约</w:t>
      </w:r>
      <w:r>
        <w:rPr>
          <w:rFonts w:hint="eastAsia" w:cs="Times New Roman"/>
          <w:sz w:val="24"/>
          <w:szCs w:val="24"/>
          <w:lang w:val="en-US" w:eastAsia="zh-CN"/>
        </w:rPr>
        <w:t>2</w:t>
      </w:r>
      <w:r>
        <w:rPr>
          <w:rFonts w:hint="default" w:ascii="Times New Roman" w:hAnsi="Times New Roman" w:eastAsia="宋体" w:cs="Times New Roman"/>
          <w:sz w:val="24"/>
          <w:szCs w:val="24"/>
        </w:rPr>
        <w:t>00人，食用油量以30g/人·d 计，则食用油量约为</w:t>
      </w:r>
      <w:r>
        <w:rPr>
          <w:rFonts w:hint="eastAsia" w:cs="Times New Roman"/>
          <w:sz w:val="24"/>
          <w:szCs w:val="24"/>
          <w:lang w:val="en-US" w:eastAsia="zh-CN"/>
        </w:rPr>
        <w:t>1.8</w:t>
      </w:r>
      <w:r>
        <w:rPr>
          <w:rFonts w:hint="default" w:ascii="Times New Roman" w:hAnsi="Times New Roman" w:eastAsia="宋体" w:cs="Times New Roman"/>
          <w:sz w:val="24"/>
          <w:szCs w:val="24"/>
        </w:rPr>
        <w:t>t/a，油烟产生系数按食用油量的2.64%计，则油烟产生量为0.0</w:t>
      </w:r>
      <w:r>
        <w:rPr>
          <w:rFonts w:hint="eastAsia" w:cs="Times New Roman"/>
          <w:sz w:val="24"/>
          <w:szCs w:val="24"/>
          <w:lang w:val="en-US" w:eastAsia="zh-CN"/>
        </w:rPr>
        <w:t>48</w:t>
      </w:r>
      <w:r>
        <w:rPr>
          <w:rFonts w:hint="default" w:ascii="Times New Roman" w:hAnsi="Times New Roman" w:eastAsia="宋体" w:cs="Times New Roman"/>
          <w:sz w:val="24"/>
          <w:szCs w:val="24"/>
        </w:rPr>
        <w:t>t/a</w:t>
      </w:r>
      <w:r>
        <w:rPr>
          <w:rFonts w:hint="eastAsia" w:cs="Times New Roman"/>
          <w:sz w:val="24"/>
          <w:szCs w:val="24"/>
          <w:lang w:eastAsia="zh-CN"/>
        </w:rPr>
        <w:t>。</w:t>
      </w:r>
      <w:r>
        <w:rPr>
          <w:rFonts w:hint="default" w:ascii="Times New Roman" w:hAnsi="Times New Roman" w:eastAsia="宋体" w:cs="Times New Roman"/>
          <w:sz w:val="24"/>
          <w:szCs w:val="24"/>
          <w:lang w:val="en-US"/>
        </w:rPr>
        <w:t>项目在食堂安装油烟净化处理装置，抽油烟机效率为</w:t>
      </w:r>
      <w:r>
        <w:rPr>
          <w:rFonts w:hint="eastAsia" w:cs="Times New Roman"/>
          <w:sz w:val="24"/>
          <w:szCs w:val="24"/>
          <w:lang w:val="en-US" w:eastAsia="zh-CN"/>
        </w:rPr>
        <w:t>75%</w:t>
      </w:r>
      <w:r>
        <w:rPr>
          <w:rFonts w:hint="eastAsia" w:cs="Times New Roman"/>
          <w:sz w:val="24"/>
          <w:szCs w:val="24"/>
          <w:lang w:eastAsia="zh-CN"/>
        </w:rPr>
        <w:t>计，</w:t>
      </w:r>
      <w:r>
        <w:rPr>
          <w:rFonts w:hint="default" w:ascii="Times New Roman" w:hAnsi="Times New Roman" w:eastAsia="宋体" w:cs="Times New Roman"/>
          <w:sz w:val="24"/>
          <w:szCs w:val="24"/>
        </w:rPr>
        <w:t>油烟产生时间以6h/d 计，</w:t>
      </w:r>
      <w:r>
        <w:rPr>
          <w:rFonts w:hint="default" w:ascii="Times New Roman" w:hAnsi="Times New Roman" w:eastAsia="宋体" w:cs="Times New Roman"/>
          <w:sz w:val="24"/>
          <w:szCs w:val="24"/>
          <w:lang w:val="en-US"/>
        </w:rPr>
        <w:t>每个灶头排风量2000m</w:t>
      </w:r>
      <w:r>
        <w:rPr>
          <w:rFonts w:hint="default" w:ascii="Times New Roman" w:hAnsi="Times New Roman" w:eastAsia="宋体" w:cs="Times New Roman"/>
          <w:sz w:val="24"/>
          <w:szCs w:val="24"/>
          <w:vertAlign w:val="superscript"/>
          <w:lang w:val="en-US"/>
        </w:rPr>
        <w:t>3</w:t>
      </w:r>
      <w:r>
        <w:rPr>
          <w:rFonts w:hint="default" w:ascii="Times New Roman" w:hAnsi="Times New Roman" w:eastAsia="宋体" w:cs="Times New Roman"/>
          <w:sz w:val="24"/>
          <w:szCs w:val="24"/>
          <w:lang w:val="en-US"/>
        </w:rPr>
        <w:t>/h，</w:t>
      </w:r>
      <w:r>
        <w:rPr>
          <w:rFonts w:hint="default" w:ascii="Times New Roman" w:hAnsi="Times New Roman" w:eastAsia="宋体" w:cs="Times New Roman"/>
          <w:sz w:val="24"/>
          <w:szCs w:val="24"/>
        </w:rPr>
        <w:t>则产生速率为0.0</w:t>
      </w:r>
      <w:r>
        <w:rPr>
          <w:rFonts w:hint="eastAsia" w:cs="Times New Roman"/>
          <w:sz w:val="24"/>
          <w:szCs w:val="24"/>
          <w:lang w:val="en-US" w:eastAsia="zh-CN"/>
        </w:rPr>
        <w:t>07</w:t>
      </w:r>
      <w:r>
        <w:rPr>
          <w:rFonts w:hint="default" w:ascii="Times New Roman" w:hAnsi="Times New Roman" w:eastAsia="宋体" w:cs="Times New Roman"/>
          <w:sz w:val="24"/>
          <w:szCs w:val="24"/>
        </w:rPr>
        <w:t>kg/h，产生浓度为</w:t>
      </w:r>
      <w:r>
        <w:rPr>
          <w:rFonts w:hint="eastAsia" w:cs="Times New Roman"/>
          <w:sz w:val="24"/>
          <w:szCs w:val="24"/>
          <w:lang w:val="en-US" w:eastAsia="zh-CN"/>
        </w:rPr>
        <w:t>1.11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cs="Times New Roman"/>
          <w:sz w:val="24"/>
          <w:szCs w:val="24"/>
          <w:lang w:eastAsia="zh-CN"/>
        </w:rPr>
        <w:t>，</w:t>
      </w:r>
      <w:r>
        <w:rPr>
          <w:rFonts w:hint="default" w:ascii="Times New Roman" w:hAnsi="Times New Roman" w:eastAsia="宋体" w:cs="Times New Roman"/>
          <w:sz w:val="24"/>
          <w:szCs w:val="24"/>
        </w:rPr>
        <w:t>满足《饮食业油烟排放标准（试行）》（GB18483-2001）</w:t>
      </w:r>
      <w:r>
        <w:rPr>
          <w:rFonts w:hint="eastAsia" w:cs="Times New Roman"/>
          <w:sz w:val="24"/>
          <w:szCs w:val="24"/>
          <w:lang w:eastAsia="zh-CN"/>
        </w:rPr>
        <w:t>中中型</w:t>
      </w:r>
      <w:r>
        <w:rPr>
          <w:rFonts w:hint="default" w:ascii="Times New Roman" w:hAnsi="Times New Roman" w:eastAsia="宋体" w:cs="Times New Roman"/>
          <w:sz w:val="24"/>
          <w:szCs w:val="24"/>
        </w:rPr>
        <w:t>标准限值。食堂油烟废气产生及排放情况详见</w:t>
      </w:r>
      <w:r>
        <w:rPr>
          <w:rFonts w:hint="eastAsia" w:ascii="Times New Roman" w:hAnsi="Times New Roman" w:eastAsia="宋体" w:cs="Times New Roman"/>
          <w:sz w:val="24"/>
          <w:szCs w:val="24"/>
          <w:lang w:eastAsia="zh-CN"/>
        </w:rPr>
        <w:t>下</w:t>
      </w:r>
      <w:r>
        <w:rPr>
          <w:rFonts w:hint="default" w:ascii="Times New Roman" w:hAnsi="Times New Roman" w:eastAsia="宋体" w:cs="Times New Roman"/>
          <w:sz w:val="24"/>
          <w:szCs w:val="24"/>
        </w:rPr>
        <w:t>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w:t>
      </w:r>
      <w:r>
        <w:rPr>
          <w:rFonts w:hint="eastAsia" w:ascii="Times New Roman" w:hAnsi="Times New Roman" w:eastAsia="宋体" w:cs="Times New Roman"/>
          <w:b/>
          <w:bCs/>
          <w:sz w:val="24"/>
          <w:szCs w:val="24"/>
          <w:lang w:val="en-US" w:eastAsia="zh-CN"/>
        </w:rPr>
        <w:t>2.3-</w:t>
      </w:r>
      <w:r>
        <w:rPr>
          <w:rFonts w:hint="eastAsia" w:cs="Times New Roman"/>
          <w:b/>
          <w:bCs/>
          <w:sz w:val="24"/>
          <w:szCs w:val="24"/>
          <w:lang w:val="en-US" w:eastAsia="zh-CN"/>
        </w:rPr>
        <w:t>5</w:t>
      </w:r>
      <w:r>
        <w:rPr>
          <w:rFonts w:hint="default" w:ascii="Times New Roman" w:hAnsi="Times New Roman" w:eastAsia="宋体" w:cs="Times New Roman"/>
          <w:b/>
          <w:bCs/>
          <w:sz w:val="24"/>
          <w:szCs w:val="24"/>
        </w:rPr>
        <w:t>食堂油烟废气产生及排放情况统计表</w:t>
      </w:r>
    </w:p>
    <w:tbl>
      <w:tblPr>
        <w:tblStyle w:val="22"/>
        <w:tblW w:w="9294"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054"/>
        <w:gridCol w:w="1091"/>
        <w:gridCol w:w="1292"/>
        <w:gridCol w:w="1086"/>
        <w:gridCol w:w="1100"/>
        <w:gridCol w:w="1293"/>
        <w:gridCol w:w="11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186" w:type="dxa"/>
            <w:tcBorders>
              <w:top w:val="single" w:color="000000" w:sz="12" w:space="0"/>
              <w:lef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1054" w:type="dxa"/>
            <w:tcBorders>
              <w:top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091" w:type="dxa"/>
            <w:tcBorders>
              <w:top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产生速率</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1292" w:type="dxa"/>
            <w:tcBorders>
              <w:top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产生浓度</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086" w:type="dxa"/>
            <w:tcBorders>
              <w:top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100" w:type="dxa"/>
            <w:tcBorders>
              <w:top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1293" w:type="dxa"/>
            <w:tcBorders>
              <w:top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192" w:type="dxa"/>
            <w:tcBorders>
              <w:top w:val="single" w:color="000000" w:sz="12"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净化效率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186" w:type="dxa"/>
            <w:tcBorders>
              <w:left w:val="nil"/>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油烟废气</w:t>
            </w:r>
          </w:p>
        </w:tc>
        <w:tc>
          <w:tcPr>
            <w:tcW w:w="1054"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0.048</w:t>
            </w:r>
          </w:p>
        </w:tc>
        <w:tc>
          <w:tcPr>
            <w:tcW w:w="1091"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0.027</w:t>
            </w:r>
          </w:p>
        </w:tc>
        <w:tc>
          <w:tcPr>
            <w:tcW w:w="1292"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4.44</w:t>
            </w:r>
          </w:p>
        </w:tc>
        <w:tc>
          <w:tcPr>
            <w:tcW w:w="1086"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0.012</w:t>
            </w:r>
          </w:p>
        </w:tc>
        <w:tc>
          <w:tcPr>
            <w:tcW w:w="1100"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0.007</w:t>
            </w:r>
          </w:p>
        </w:tc>
        <w:tc>
          <w:tcPr>
            <w:tcW w:w="1293" w:type="dxa"/>
            <w:tcBorders>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1.11</w:t>
            </w:r>
          </w:p>
        </w:tc>
        <w:tc>
          <w:tcPr>
            <w:tcW w:w="1192" w:type="dxa"/>
            <w:tcBorders>
              <w:bottom w:val="single" w:color="000000" w:sz="12"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w:t>
            </w:r>
          </w:p>
        </w:tc>
      </w:tr>
    </w:tbl>
    <w:p>
      <w:pPr>
        <w:spacing w:after="0"/>
        <w:rPr>
          <w:sz w:val="21"/>
        </w:rPr>
        <w:sectPr>
          <w:pgSz w:w="11910" w:h="16840"/>
          <w:pgMar w:top="1100" w:right="1180" w:bottom="1180" w:left="1200" w:header="872" w:footer="993" w:gutter="0"/>
          <w:pgBorders>
            <w:top w:val="none" w:sz="0" w:space="0"/>
            <w:left w:val="none" w:sz="0" w:space="0"/>
            <w:bottom w:val="none" w:sz="0" w:space="0"/>
            <w:right w:val="none" w:sz="0" w:space="0"/>
          </w:pgBorders>
        </w:sectPr>
      </w:pPr>
    </w:p>
    <w:p>
      <w:pPr>
        <w:rPr>
          <w:b/>
          <w:sz w:val="24"/>
          <w:szCs w:val="24"/>
        </w:rPr>
      </w:pPr>
      <w:r>
        <w:rPr>
          <w:b/>
          <w:sz w:val="24"/>
          <w:szCs w:val="24"/>
        </w:rPr>
        <w:t>2.3.2 废水污染源强核算</w:t>
      </w:r>
    </w:p>
    <w:p>
      <w:pPr>
        <w:ind w:firstLine="480" w:firstLineChars="200"/>
        <w:rPr>
          <w:bCs/>
          <w:sz w:val="24"/>
          <w:szCs w:val="24"/>
        </w:rPr>
      </w:pPr>
      <w:r>
        <w:rPr>
          <w:bCs/>
          <w:sz w:val="24"/>
          <w:szCs w:val="24"/>
        </w:rPr>
        <w:t>1、废水产排情况分析</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eastAsia="宋体"/>
          <w:sz w:val="24"/>
          <w:szCs w:val="24"/>
          <w:lang w:eastAsia="zh-CN"/>
        </w:rPr>
      </w:pPr>
      <w:r>
        <w:rPr>
          <w:bCs/>
          <w:sz w:val="24"/>
          <w:szCs w:val="24"/>
        </w:rPr>
        <w:t>根据工艺流程分析，营运期项目废水主要为</w:t>
      </w:r>
      <w:r>
        <w:rPr>
          <w:rFonts w:hint="eastAsia"/>
          <w:bCs/>
          <w:sz w:val="24"/>
          <w:szCs w:val="24"/>
          <w:lang w:eastAsia="zh-CN"/>
        </w:rPr>
        <w:t>水洗</w:t>
      </w:r>
      <w:r>
        <w:rPr>
          <w:bCs/>
          <w:sz w:val="24"/>
          <w:szCs w:val="24"/>
        </w:rPr>
        <w:t>废水</w:t>
      </w:r>
      <w:r>
        <w:rPr>
          <w:rFonts w:hint="eastAsia"/>
          <w:bCs/>
          <w:sz w:val="24"/>
          <w:szCs w:val="24"/>
          <w:lang w:eastAsia="zh-CN"/>
        </w:rPr>
        <w:t>和</w:t>
      </w:r>
      <w:r>
        <w:rPr>
          <w:bCs/>
          <w:sz w:val="24"/>
          <w:szCs w:val="24"/>
        </w:rPr>
        <w:t>生活污水</w:t>
      </w:r>
      <w:r>
        <w:rPr>
          <w:rFonts w:hint="eastAsia"/>
          <w:bCs/>
          <w:sz w:val="24"/>
          <w:szCs w:val="24"/>
        </w:rPr>
        <w:t>。</w:t>
      </w:r>
      <w:r>
        <w:rPr>
          <w:rFonts w:hint="eastAsia"/>
          <w:bCs/>
          <w:sz w:val="24"/>
          <w:szCs w:val="24"/>
          <w:lang w:eastAsia="zh-CN"/>
        </w:rPr>
        <w:t>水洗废水经自建污水处理站处理后汇同经隔油池和化粪池预处理后的生活污水经市政污水管网排入城北污水处理厂。</w:t>
      </w:r>
    </w:p>
    <w:p>
      <w:pPr>
        <w:pStyle w:val="12"/>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464" w:firstLineChars="200"/>
        <w:textAlignment w:val="auto"/>
        <w:rPr>
          <w:rFonts w:hint="default" w:ascii="Times New Roman" w:hAnsi="Times New Roman" w:eastAsia="宋体" w:cs="Times New Roman"/>
          <w:sz w:val="24"/>
          <w:szCs w:val="24"/>
          <w:highlight w:val="none"/>
          <w:lang w:eastAsia="zh-CN"/>
        </w:rPr>
      </w:pPr>
      <w:r>
        <w:rPr>
          <w:rFonts w:hint="default" w:ascii="Times New Roman" w:hAnsi="Times New Roman" w:cs="Times New Roman"/>
          <w:spacing w:val="-4"/>
        </w:rPr>
        <w:t>根据类比</w:t>
      </w:r>
      <w:r>
        <w:rPr>
          <w:rFonts w:hint="default" w:ascii="Times New Roman" w:hAnsi="Times New Roman" w:cs="Times New Roman"/>
          <w:sz w:val="24"/>
          <w:szCs w:val="24"/>
        </w:rPr>
        <w:t>《</w:t>
      </w:r>
      <w:r>
        <w:rPr>
          <w:rFonts w:hint="default" w:ascii="Times New Roman" w:hAnsi="Times New Roman" w:cs="Times New Roman"/>
          <w:spacing w:val="-4"/>
          <w:lang w:eastAsia="zh-CN"/>
        </w:rPr>
        <w:t>安徽艾丽格斯服饰有限公司年产</w:t>
      </w:r>
      <w:r>
        <w:rPr>
          <w:rFonts w:hint="default" w:ascii="Times New Roman" w:hAnsi="Times New Roman" w:cs="Times New Roman"/>
          <w:spacing w:val="-4"/>
          <w:lang w:val="en-US" w:eastAsia="zh-CN"/>
        </w:rPr>
        <w:t>360万件服装生产项目环境影响报告书</w:t>
      </w:r>
      <w:r>
        <w:rPr>
          <w:rFonts w:hint="default" w:ascii="Times New Roman" w:hAnsi="Times New Roman" w:cs="Times New Roman"/>
          <w:sz w:val="24"/>
          <w:szCs w:val="24"/>
        </w:rPr>
        <w:t>》</w:t>
      </w:r>
      <w:r>
        <w:rPr>
          <w:rFonts w:hint="default" w:ascii="Times New Roman" w:hAnsi="Times New Roman" w:cs="Times New Roman"/>
          <w:sz w:val="24"/>
          <w:szCs w:val="24"/>
          <w:lang w:eastAsia="zh-CN"/>
        </w:rPr>
        <w:t>以及</w:t>
      </w:r>
      <w:r>
        <w:rPr>
          <w:rFonts w:hint="default" w:ascii="Times New Roman" w:hAnsi="Times New Roman" w:cs="Times New Roman"/>
          <w:spacing w:val="-4"/>
        </w:rPr>
        <w:t>同类水洗服装生产型企</w:t>
      </w:r>
      <w:r>
        <w:rPr>
          <w:rFonts w:hint="default" w:ascii="Times New Roman" w:hAnsi="Times New Roman" w:cs="Times New Roman"/>
          <w:spacing w:val="-4"/>
          <w:highlight w:val="none"/>
        </w:rPr>
        <w:t>业，</w:t>
      </w:r>
      <w:r>
        <w:rPr>
          <w:rFonts w:hint="eastAsia" w:ascii="Times New Roman" w:hAnsi="Times New Roman" w:cs="Times New Roman"/>
          <w:spacing w:val="-4"/>
          <w:highlight w:val="none"/>
          <w:lang w:eastAsia="zh-CN"/>
        </w:rPr>
        <w:t>水洗废水</w:t>
      </w:r>
      <w:r>
        <w:rPr>
          <w:rFonts w:hint="default" w:ascii="Times New Roman" w:hAnsi="Times New Roman" w:cs="Times New Roman"/>
          <w:spacing w:val="-7"/>
          <w:highlight w:val="none"/>
        </w:rPr>
        <w:t>中污染物浓度分别为</w:t>
      </w:r>
      <w:r>
        <w:rPr>
          <w:rFonts w:hint="default" w:ascii="Times New Roman" w:hAnsi="Times New Roman" w:eastAsia="Times New Roman" w:cs="Times New Roman"/>
          <w:spacing w:val="-6"/>
          <w:highlight w:val="none"/>
        </w:rPr>
        <w:t>COD</w:t>
      </w:r>
      <w:r>
        <w:rPr>
          <w:rFonts w:hint="default" w:ascii="Times New Roman" w:hAnsi="Times New Roman" w:cs="Times New Roman"/>
          <w:spacing w:val="-6"/>
          <w:highlight w:val="none"/>
        </w:rPr>
        <w:t>：</w:t>
      </w:r>
      <w:r>
        <w:rPr>
          <w:rFonts w:hint="eastAsia" w:ascii="Times New Roman" w:hAnsi="Times New Roman" w:eastAsia="宋体" w:cs="Times New Roman"/>
          <w:spacing w:val="-6"/>
          <w:highlight w:val="none"/>
          <w:lang w:val="en-US" w:eastAsia="zh-CN"/>
        </w:rPr>
        <w:t>100</w:t>
      </w:r>
      <w:r>
        <w:rPr>
          <w:rFonts w:hint="default" w:ascii="Times New Roman" w:hAnsi="Times New Roman" w:eastAsia="Times New Roman" w:cs="Times New Roman"/>
          <w:spacing w:val="-6"/>
          <w:highlight w:val="none"/>
        </w:rPr>
        <w:t>0mg/L</w:t>
      </w:r>
      <w:r>
        <w:rPr>
          <w:rFonts w:hint="default" w:ascii="Times New Roman" w:hAnsi="Times New Roman" w:cs="Times New Roman"/>
          <w:spacing w:val="-58"/>
          <w:highlight w:val="none"/>
        </w:rPr>
        <w:t>、</w:t>
      </w:r>
      <w:r>
        <w:rPr>
          <w:rFonts w:hint="default" w:ascii="Times New Roman" w:hAnsi="Times New Roman" w:eastAsia="Times New Roman" w:cs="Times New Roman"/>
          <w:spacing w:val="-6"/>
          <w:highlight w:val="none"/>
        </w:rPr>
        <w:t>BOD</w:t>
      </w:r>
      <w:r>
        <w:rPr>
          <w:rFonts w:hint="default" w:ascii="Times New Roman" w:hAnsi="Times New Roman" w:eastAsia="Times New Roman" w:cs="Times New Roman"/>
          <w:spacing w:val="-6"/>
          <w:highlight w:val="none"/>
          <w:vertAlign w:val="subscript"/>
        </w:rPr>
        <w:t>5</w:t>
      </w:r>
      <w:r>
        <w:rPr>
          <w:rFonts w:hint="default" w:ascii="Times New Roman" w:hAnsi="Times New Roman" w:cs="Times New Roman"/>
          <w:spacing w:val="-6"/>
          <w:highlight w:val="none"/>
          <w:vertAlign w:val="baseline"/>
        </w:rPr>
        <w:t>：</w:t>
      </w:r>
      <w:r>
        <w:rPr>
          <w:rFonts w:hint="eastAsia" w:ascii="Times New Roman" w:hAnsi="Times New Roman" w:eastAsia="宋体" w:cs="Times New Roman"/>
          <w:spacing w:val="-6"/>
          <w:highlight w:val="none"/>
          <w:vertAlign w:val="baseline"/>
          <w:lang w:val="en-US" w:eastAsia="zh-CN"/>
        </w:rPr>
        <w:t>60</w:t>
      </w:r>
      <w:r>
        <w:rPr>
          <w:rFonts w:hint="default" w:ascii="Times New Roman" w:hAnsi="Times New Roman" w:eastAsia="Times New Roman" w:cs="Times New Roman"/>
          <w:spacing w:val="-6"/>
          <w:highlight w:val="none"/>
          <w:vertAlign w:val="baseline"/>
        </w:rPr>
        <w:t>0mg/L</w:t>
      </w:r>
      <w:r>
        <w:rPr>
          <w:rFonts w:hint="eastAsia" w:ascii="Times New Roman" w:hAnsi="Times New Roman" w:eastAsia="宋体" w:cs="Times New Roman"/>
          <w:spacing w:val="-6"/>
          <w:highlight w:val="none"/>
          <w:vertAlign w:val="baseline"/>
          <w:lang w:eastAsia="zh-CN"/>
        </w:rPr>
        <w:t>、</w:t>
      </w:r>
      <w:r>
        <w:rPr>
          <w:rFonts w:hint="default" w:ascii="Times New Roman" w:hAnsi="Times New Roman" w:eastAsia="Times New Roman" w:cs="Times New Roman"/>
          <w:spacing w:val="-7"/>
          <w:highlight w:val="none"/>
          <w:vertAlign w:val="baseline"/>
        </w:rPr>
        <w:t>SS</w:t>
      </w:r>
      <w:r>
        <w:rPr>
          <w:rFonts w:hint="default" w:ascii="Times New Roman" w:hAnsi="Times New Roman" w:cs="Times New Roman"/>
          <w:spacing w:val="-7"/>
          <w:highlight w:val="none"/>
          <w:vertAlign w:val="baseline"/>
        </w:rPr>
        <w:t>：</w:t>
      </w:r>
      <w:r>
        <w:rPr>
          <w:rFonts w:hint="eastAsia" w:ascii="Times New Roman" w:hAnsi="Times New Roman" w:eastAsia="宋体" w:cs="Times New Roman"/>
          <w:spacing w:val="-7"/>
          <w:highlight w:val="none"/>
          <w:vertAlign w:val="baseline"/>
          <w:lang w:val="en-US" w:eastAsia="zh-CN"/>
        </w:rPr>
        <w:t>40</w:t>
      </w:r>
      <w:r>
        <w:rPr>
          <w:rFonts w:hint="default" w:ascii="Times New Roman" w:hAnsi="Times New Roman" w:eastAsia="Times New Roman" w:cs="Times New Roman"/>
          <w:spacing w:val="-7"/>
          <w:highlight w:val="none"/>
          <w:vertAlign w:val="baseline"/>
        </w:rPr>
        <w:t>0mg/L</w:t>
      </w:r>
      <w:r>
        <w:rPr>
          <w:rFonts w:hint="default" w:ascii="Times New Roman" w:hAnsi="Times New Roman" w:cs="Times New Roman"/>
          <w:spacing w:val="-58"/>
          <w:highlight w:val="none"/>
          <w:vertAlign w:val="baseline"/>
        </w:rPr>
        <w:t>、</w:t>
      </w:r>
      <w:r>
        <w:rPr>
          <w:rFonts w:hint="default" w:ascii="Times New Roman" w:hAnsi="Times New Roman" w:eastAsia="Times New Roman" w:cs="Times New Roman"/>
          <w:highlight w:val="none"/>
          <w:vertAlign w:val="baseline"/>
        </w:rPr>
        <w:t>NH</w:t>
      </w:r>
      <w:r>
        <w:rPr>
          <w:rFonts w:hint="default" w:ascii="Times New Roman" w:hAnsi="Times New Roman" w:eastAsia="Times New Roman" w:cs="Times New Roman"/>
          <w:highlight w:val="none"/>
          <w:vertAlign w:val="subscript"/>
        </w:rPr>
        <w:t>3</w:t>
      </w:r>
      <w:r>
        <w:rPr>
          <w:rFonts w:hint="default" w:ascii="Times New Roman" w:hAnsi="Times New Roman" w:eastAsia="Times New Roman" w:cs="Times New Roman"/>
          <w:highlight w:val="none"/>
          <w:vertAlign w:val="baseline"/>
        </w:rPr>
        <w:t>-N</w:t>
      </w:r>
      <w:r>
        <w:rPr>
          <w:rFonts w:hint="default" w:ascii="Times New Roman" w:hAnsi="Times New Roman" w:cs="Times New Roman"/>
          <w:highlight w:val="none"/>
          <w:vertAlign w:val="baseline"/>
        </w:rPr>
        <w:t>：</w:t>
      </w:r>
      <w:r>
        <w:rPr>
          <w:rFonts w:hint="eastAsia" w:ascii="Times New Roman" w:hAnsi="Times New Roman" w:eastAsia="宋体" w:cs="Times New Roman"/>
          <w:sz w:val="24"/>
          <w:highlight w:val="none"/>
          <w:lang w:val="en-US" w:eastAsia="zh-CN"/>
        </w:rPr>
        <w:t>50</w:t>
      </w:r>
      <w:r>
        <w:rPr>
          <w:rFonts w:hint="default" w:ascii="Times New Roman" w:hAnsi="Times New Roman" w:eastAsia="Times New Roman" w:cs="Times New Roman"/>
          <w:sz w:val="24"/>
          <w:highlight w:val="none"/>
        </w:rPr>
        <w:t>mg/L</w:t>
      </w:r>
      <w:r>
        <w:rPr>
          <w:rFonts w:hint="default" w:ascii="Times New Roman" w:hAnsi="Times New Roman" w:cs="Times New Roman"/>
          <w:sz w:val="24"/>
          <w:highlight w:val="none"/>
        </w:rPr>
        <w:t>、</w:t>
      </w:r>
      <w:r>
        <w:rPr>
          <w:rFonts w:hint="default" w:ascii="Times New Roman" w:hAnsi="Times New Roman" w:eastAsia="Times New Roman" w:cs="Times New Roman"/>
          <w:sz w:val="24"/>
          <w:highlight w:val="none"/>
        </w:rPr>
        <w:t>TP</w:t>
      </w:r>
      <w:r>
        <w:rPr>
          <w:rFonts w:hint="default" w:ascii="Times New Roman" w:hAnsi="Times New Roman" w:cs="Times New Roman"/>
          <w:sz w:val="24"/>
          <w:highlight w:val="none"/>
        </w:rPr>
        <w:t>：</w:t>
      </w:r>
      <w:r>
        <w:rPr>
          <w:rFonts w:hint="eastAsia" w:ascii="Times New Roman" w:hAnsi="Times New Roman" w:eastAsia="宋体" w:cs="Times New Roman"/>
          <w:sz w:val="24"/>
          <w:highlight w:val="none"/>
          <w:lang w:val="en-US" w:eastAsia="zh-CN"/>
        </w:rPr>
        <w:t>8</w:t>
      </w:r>
      <w:r>
        <w:rPr>
          <w:rFonts w:hint="default" w:ascii="Times New Roman" w:hAnsi="Times New Roman" w:eastAsia="Times New Roman" w:cs="Times New Roman"/>
          <w:sz w:val="24"/>
          <w:highlight w:val="none"/>
        </w:rPr>
        <w:t>mg/L</w:t>
      </w:r>
      <w:r>
        <w:rPr>
          <w:rFonts w:hint="default" w:ascii="Times New Roman" w:hAnsi="Times New Roman" w:cs="Times New Roman"/>
          <w:sz w:val="24"/>
          <w:highlight w:val="none"/>
        </w:rPr>
        <w:t>、</w:t>
      </w:r>
      <w:r>
        <w:rPr>
          <w:rFonts w:hint="default" w:ascii="Times New Roman" w:hAnsi="Times New Roman" w:eastAsia="Times New Roman" w:cs="Times New Roman"/>
          <w:sz w:val="24"/>
          <w:highlight w:val="none"/>
        </w:rPr>
        <w:t>LAS</w:t>
      </w:r>
      <w:r>
        <w:rPr>
          <w:rFonts w:hint="default" w:ascii="Times New Roman" w:hAnsi="Times New Roman" w:cs="Times New Roman"/>
          <w:sz w:val="24"/>
          <w:highlight w:val="none"/>
        </w:rPr>
        <w:t>：</w:t>
      </w:r>
      <w:r>
        <w:rPr>
          <w:rFonts w:hint="eastAsia" w:ascii="Times New Roman" w:hAnsi="Times New Roman" w:eastAsia="宋体" w:cs="Times New Roman"/>
          <w:sz w:val="24"/>
          <w:highlight w:val="none"/>
          <w:lang w:val="en-US" w:eastAsia="zh-CN"/>
        </w:rPr>
        <w:t>60</w:t>
      </w:r>
      <w:r>
        <w:rPr>
          <w:rFonts w:hint="default" w:ascii="Times New Roman" w:hAnsi="Times New Roman" w:eastAsia="Times New Roman" w:cs="Times New Roman"/>
          <w:sz w:val="24"/>
          <w:highlight w:val="none"/>
        </w:rPr>
        <w:t>mg/L</w:t>
      </w:r>
      <w:r>
        <w:rPr>
          <w:rFonts w:hint="default" w:ascii="Times New Roman" w:hAnsi="Times New Roman" w:cs="Times New Roman"/>
          <w:sz w:val="24"/>
          <w:highlight w:val="none"/>
        </w:rPr>
        <w:t>，</w:t>
      </w:r>
      <w:r>
        <w:rPr>
          <w:rFonts w:hint="default" w:ascii="Times New Roman" w:hAnsi="Times New Roman" w:cs="Times New Roman"/>
          <w:sz w:val="24"/>
          <w:highlight w:val="none"/>
          <w:lang w:eastAsia="zh-CN"/>
        </w:rPr>
        <w:t>则</w:t>
      </w:r>
      <w:r>
        <w:rPr>
          <w:rFonts w:hint="eastAsia" w:ascii="Times New Roman" w:hAnsi="Times New Roman" w:cs="Times New Roman"/>
          <w:sz w:val="24"/>
          <w:highlight w:val="none"/>
          <w:lang w:eastAsia="zh-CN"/>
        </w:rPr>
        <w:t>废水</w:t>
      </w:r>
      <w:r>
        <w:rPr>
          <w:rFonts w:hint="default" w:ascii="Times New Roman" w:hAnsi="Times New Roman" w:cs="Times New Roman"/>
          <w:sz w:val="24"/>
          <w:highlight w:val="none"/>
          <w:lang w:eastAsia="zh-CN"/>
        </w:rPr>
        <w:t>水质以及污染</w:t>
      </w:r>
      <w:r>
        <w:rPr>
          <w:rFonts w:hint="eastAsia" w:ascii="Times New Roman" w:hAnsi="Times New Roman" w:cs="Times New Roman"/>
          <w:sz w:val="24"/>
          <w:highlight w:val="none"/>
          <w:lang w:eastAsia="zh-CN"/>
        </w:rPr>
        <w:t>产生</w:t>
      </w:r>
      <w:r>
        <w:rPr>
          <w:rFonts w:hint="default" w:ascii="Times New Roman" w:hAnsi="Times New Roman" w:cs="Times New Roman"/>
          <w:sz w:val="24"/>
          <w:highlight w:val="none"/>
          <w:lang w:eastAsia="zh-CN"/>
        </w:rPr>
        <w:t>量见下表：</w:t>
      </w:r>
    </w:p>
    <w:p>
      <w:pPr>
        <w:spacing w:line="240" w:lineRule="auto"/>
        <w:jc w:val="center"/>
        <w:rPr>
          <w:b/>
          <w:color w:val="auto"/>
          <w:sz w:val="24"/>
          <w:szCs w:val="24"/>
        </w:rPr>
      </w:pPr>
      <w:r>
        <w:rPr>
          <w:b/>
          <w:color w:val="auto"/>
          <w:sz w:val="24"/>
          <w:szCs w:val="24"/>
        </w:rPr>
        <w:t>表2</w:t>
      </w:r>
      <w:r>
        <w:rPr>
          <w:rFonts w:hint="eastAsia"/>
          <w:b/>
          <w:color w:val="auto"/>
          <w:sz w:val="24"/>
          <w:szCs w:val="24"/>
          <w:lang w:val="en-US" w:eastAsia="zh-CN"/>
        </w:rPr>
        <w:t>.3-6</w:t>
      </w:r>
      <w:r>
        <w:rPr>
          <w:b/>
          <w:color w:val="auto"/>
          <w:sz w:val="24"/>
          <w:szCs w:val="24"/>
        </w:rPr>
        <w:t xml:space="preserve">  项目废水水质情况一览表</w:t>
      </w:r>
    </w:p>
    <w:tbl>
      <w:tblPr>
        <w:tblStyle w:val="22"/>
        <w:tblW w:w="9896" w:type="dxa"/>
        <w:jc w:val="center"/>
        <w:tblInd w:w="-64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425"/>
        <w:gridCol w:w="930"/>
        <w:gridCol w:w="975"/>
        <w:gridCol w:w="825"/>
        <w:gridCol w:w="1080"/>
        <w:gridCol w:w="1110"/>
        <w:gridCol w:w="840"/>
        <w:gridCol w:w="750"/>
        <w:gridCol w:w="7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2646" w:type="dxa"/>
            <w:gridSpan w:val="2"/>
            <w:vMerge w:val="restart"/>
            <w:vAlign w:val="center"/>
          </w:tcPr>
          <w:p>
            <w:pPr>
              <w:spacing w:line="240" w:lineRule="auto"/>
              <w:jc w:val="center"/>
            </w:pPr>
            <w:r>
              <w:t>废水类别</w:t>
            </w:r>
          </w:p>
          <w:p>
            <w:pPr>
              <w:spacing w:line="240" w:lineRule="auto"/>
              <w:jc w:val="center"/>
            </w:pPr>
          </w:p>
        </w:tc>
        <w:tc>
          <w:tcPr>
            <w:tcW w:w="7250" w:type="dxa"/>
            <w:gridSpan w:val="8"/>
            <w:vAlign w:val="center"/>
          </w:tcPr>
          <w:p>
            <w:pPr>
              <w:spacing w:line="240" w:lineRule="auto"/>
              <w:jc w:val="center"/>
            </w:pPr>
            <w:r>
              <w:t>废  水  水  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2646" w:type="dxa"/>
            <w:gridSpan w:val="2"/>
            <w:vMerge w:val="continue"/>
            <w:vAlign w:val="center"/>
          </w:tcPr>
          <w:p>
            <w:pPr>
              <w:spacing w:line="240" w:lineRule="auto"/>
              <w:jc w:val="center"/>
            </w:pPr>
          </w:p>
        </w:tc>
        <w:tc>
          <w:tcPr>
            <w:tcW w:w="930" w:type="dxa"/>
            <w:vAlign w:val="center"/>
          </w:tcPr>
          <w:p>
            <w:pPr>
              <w:spacing w:line="240" w:lineRule="auto"/>
              <w:jc w:val="center"/>
            </w:pPr>
            <w:r>
              <w:t>COD</w:t>
            </w:r>
          </w:p>
        </w:tc>
        <w:tc>
          <w:tcPr>
            <w:tcW w:w="975" w:type="dxa"/>
            <w:vAlign w:val="center"/>
          </w:tcPr>
          <w:p>
            <w:pPr>
              <w:spacing w:line="240" w:lineRule="auto"/>
              <w:jc w:val="center"/>
            </w:pPr>
            <w:r>
              <w:t>BOD</w:t>
            </w:r>
            <w:r>
              <w:rPr>
                <w:vertAlign w:val="subscript"/>
              </w:rPr>
              <w:t>5</w:t>
            </w:r>
          </w:p>
        </w:tc>
        <w:tc>
          <w:tcPr>
            <w:tcW w:w="825" w:type="dxa"/>
            <w:vAlign w:val="center"/>
          </w:tcPr>
          <w:p>
            <w:pPr>
              <w:spacing w:line="240" w:lineRule="auto"/>
              <w:jc w:val="center"/>
            </w:pPr>
            <w:r>
              <w:t>SS</w:t>
            </w:r>
          </w:p>
        </w:tc>
        <w:tc>
          <w:tcPr>
            <w:tcW w:w="1080" w:type="dxa"/>
            <w:vAlign w:val="center"/>
          </w:tcPr>
          <w:p>
            <w:pPr>
              <w:spacing w:line="240" w:lineRule="auto"/>
              <w:jc w:val="center"/>
            </w:pPr>
            <w:r>
              <w:t>NH</w:t>
            </w:r>
            <w:r>
              <w:rPr>
                <w:vertAlign w:val="subscript"/>
              </w:rPr>
              <w:t>3</w:t>
            </w:r>
            <w:r>
              <w:t>-N</w:t>
            </w:r>
          </w:p>
        </w:tc>
        <w:tc>
          <w:tcPr>
            <w:tcW w:w="1110" w:type="dxa"/>
            <w:vAlign w:val="center"/>
          </w:tcPr>
          <w:p>
            <w:pPr>
              <w:spacing w:line="240" w:lineRule="auto"/>
              <w:jc w:val="center"/>
            </w:pPr>
            <w:r>
              <w:t>动植物油</w:t>
            </w:r>
          </w:p>
        </w:tc>
        <w:tc>
          <w:tcPr>
            <w:tcW w:w="840" w:type="dxa"/>
            <w:vAlign w:val="center"/>
          </w:tcPr>
          <w:p>
            <w:pPr>
              <w:spacing w:line="240" w:lineRule="auto"/>
              <w:jc w:val="center"/>
              <w:rPr>
                <w:rFonts w:hint="default" w:eastAsia="宋体"/>
                <w:lang w:val="en-US" w:eastAsia="zh-CN"/>
              </w:rPr>
            </w:pPr>
            <w:r>
              <w:rPr>
                <w:rFonts w:hint="eastAsia"/>
                <w:lang w:val="en-US" w:eastAsia="zh-CN"/>
              </w:rPr>
              <w:t>TP</w:t>
            </w:r>
          </w:p>
        </w:tc>
        <w:tc>
          <w:tcPr>
            <w:tcW w:w="750" w:type="dxa"/>
            <w:vAlign w:val="center"/>
          </w:tcPr>
          <w:p>
            <w:pPr>
              <w:spacing w:line="240" w:lineRule="auto"/>
              <w:jc w:val="center"/>
              <w:rPr>
                <w:rFonts w:hint="default" w:eastAsia="宋体"/>
                <w:lang w:val="en-US" w:eastAsia="zh-CN"/>
              </w:rPr>
            </w:pPr>
            <w:r>
              <w:rPr>
                <w:rFonts w:hint="eastAsia"/>
                <w:lang w:val="en-US" w:eastAsia="zh-CN"/>
              </w:rPr>
              <w:t>LAS</w:t>
            </w:r>
          </w:p>
        </w:tc>
        <w:tc>
          <w:tcPr>
            <w:tcW w:w="740" w:type="dxa"/>
            <w:vAlign w:val="center"/>
          </w:tcPr>
          <w:p>
            <w:pPr>
              <w:spacing w:line="240" w:lineRule="auto"/>
              <w:jc w:val="center"/>
              <w:rPr>
                <w:rFonts w:hint="eastAsia"/>
                <w:lang w:val="en-US" w:eastAsia="zh-CN"/>
              </w:rPr>
            </w:pPr>
            <w:r>
              <w:rPr>
                <w:rFonts w:hint="eastAsia"/>
                <w:lang w:val="en-US" w:eastAsia="zh-CN"/>
              </w:rPr>
              <w:t>色度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221" w:type="dxa"/>
            <w:vMerge w:val="restart"/>
            <w:vAlign w:val="center"/>
          </w:tcPr>
          <w:p>
            <w:pPr>
              <w:spacing w:line="240" w:lineRule="auto"/>
              <w:jc w:val="center"/>
              <w:rPr>
                <w:rFonts w:hint="eastAsia" w:eastAsia="宋体"/>
                <w:lang w:eastAsia="zh-CN"/>
              </w:rPr>
            </w:pPr>
            <w:r>
              <w:rPr>
                <w:rFonts w:hint="eastAsia"/>
                <w:lang w:eastAsia="zh-CN"/>
              </w:rPr>
              <w:t>生产废</w:t>
            </w:r>
            <w:r>
              <w:t>水</w:t>
            </w:r>
            <w:r>
              <w:rPr>
                <w:rFonts w:hint="eastAsia"/>
                <w:lang w:eastAsia="zh-CN"/>
              </w:rPr>
              <w:t>（</w:t>
            </w:r>
            <w:r>
              <w:rPr>
                <w:rFonts w:hint="eastAsia"/>
                <w:lang w:val="en-US" w:eastAsia="zh-CN"/>
              </w:rPr>
              <w:t>4050t/a</w:t>
            </w:r>
            <w:r>
              <w:rPr>
                <w:rFonts w:hint="eastAsia"/>
                <w:lang w:eastAsia="zh-CN"/>
              </w:rPr>
              <w:t>）</w:t>
            </w:r>
          </w:p>
        </w:tc>
        <w:tc>
          <w:tcPr>
            <w:tcW w:w="1425" w:type="dxa"/>
            <w:vAlign w:val="center"/>
          </w:tcPr>
          <w:p>
            <w:pPr>
              <w:spacing w:line="240" w:lineRule="auto"/>
              <w:jc w:val="center"/>
              <w:rPr>
                <w:rFonts w:hint="eastAsia" w:eastAsia="宋体"/>
                <w:lang w:eastAsia="zh-CN"/>
              </w:rPr>
            </w:pPr>
            <w:r>
              <w:rPr>
                <w:rFonts w:hint="eastAsia"/>
                <w:lang w:eastAsia="zh-CN"/>
              </w:rPr>
              <w:t>浓度</w:t>
            </w:r>
            <w:r>
              <w:rPr>
                <w:rFonts w:hint="eastAsia"/>
              </w:rPr>
              <w:t>（</w:t>
            </w:r>
            <w:r>
              <w:t>mg/L</w:t>
            </w:r>
            <w:r>
              <w:rPr>
                <w:rFonts w:hint="eastAsia"/>
              </w:rPr>
              <w:t>）</w:t>
            </w:r>
          </w:p>
        </w:tc>
        <w:tc>
          <w:tcPr>
            <w:tcW w:w="930" w:type="dxa"/>
            <w:vAlign w:val="center"/>
          </w:tcPr>
          <w:p>
            <w:pPr>
              <w:spacing w:line="240" w:lineRule="auto"/>
              <w:jc w:val="center"/>
              <w:rPr>
                <w:rFonts w:hint="default" w:eastAsia="宋体"/>
                <w:lang w:val="en-US" w:eastAsia="zh-CN"/>
              </w:rPr>
            </w:pPr>
            <w:r>
              <w:rPr>
                <w:rFonts w:hint="eastAsia"/>
                <w:lang w:val="en-US" w:eastAsia="zh-CN"/>
              </w:rPr>
              <w:t>1000</w:t>
            </w:r>
          </w:p>
        </w:tc>
        <w:tc>
          <w:tcPr>
            <w:tcW w:w="975" w:type="dxa"/>
            <w:vAlign w:val="center"/>
          </w:tcPr>
          <w:p>
            <w:pPr>
              <w:spacing w:line="240" w:lineRule="auto"/>
              <w:jc w:val="center"/>
              <w:rPr>
                <w:rFonts w:hint="default" w:eastAsia="宋体"/>
                <w:lang w:val="en-US" w:eastAsia="zh-CN"/>
              </w:rPr>
            </w:pPr>
            <w:r>
              <w:rPr>
                <w:rFonts w:hint="eastAsia"/>
                <w:lang w:val="en-US" w:eastAsia="zh-CN"/>
              </w:rPr>
              <w:t>600</w:t>
            </w:r>
          </w:p>
        </w:tc>
        <w:tc>
          <w:tcPr>
            <w:tcW w:w="825" w:type="dxa"/>
            <w:vAlign w:val="center"/>
          </w:tcPr>
          <w:p>
            <w:pPr>
              <w:spacing w:line="240" w:lineRule="auto"/>
              <w:jc w:val="center"/>
              <w:rPr>
                <w:rFonts w:hint="default" w:eastAsia="宋体"/>
                <w:lang w:val="en-US" w:eastAsia="zh-CN"/>
              </w:rPr>
            </w:pPr>
            <w:r>
              <w:rPr>
                <w:rFonts w:hint="eastAsia"/>
                <w:lang w:val="en-US" w:eastAsia="zh-CN"/>
              </w:rPr>
              <w:t>400</w:t>
            </w:r>
          </w:p>
        </w:tc>
        <w:tc>
          <w:tcPr>
            <w:tcW w:w="1080" w:type="dxa"/>
            <w:vAlign w:val="center"/>
          </w:tcPr>
          <w:p>
            <w:pPr>
              <w:spacing w:line="240" w:lineRule="auto"/>
              <w:jc w:val="center"/>
              <w:rPr>
                <w:rFonts w:hint="default" w:eastAsia="宋体"/>
                <w:lang w:val="en-US" w:eastAsia="zh-CN"/>
              </w:rPr>
            </w:pPr>
            <w:r>
              <w:rPr>
                <w:rFonts w:hint="eastAsia"/>
                <w:lang w:val="en-US" w:eastAsia="zh-CN"/>
              </w:rPr>
              <w:t>50</w:t>
            </w:r>
          </w:p>
        </w:tc>
        <w:tc>
          <w:tcPr>
            <w:tcW w:w="1110" w:type="dxa"/>
            <w:vAlign w:val="center"/>
          </w:tcPr>
          <w:p>
            <w:pPr>
              <w:spacing w:line="240" w:lineRule="auto"/>
              <w:jc w:val="center"/>
              <w:rPr>
                <w:rFonts w:hint="eastAsia" w:eastAsia="宋体"/>
                <w:lang w:val="en-US" w:eastAsia="zh-CN"/>
              </w:rPr>
            </w:pPr>
            <w:r>
              <w:rPr>
                <w:rFonts w:hint="eastAsia"/>
                <w:lang w:val="en-US" w:eastAsia="zh-CN"/>
              </w:rPr>
              <w:t>-</w:t>
            </w:r>
          </w:p>
        </w:tc>
        <w:tc>
          <w:tcPr>
            <w:tcW w:w="840" w:type="dxa"/>
            <w:vAlign w:val="center"/>
          </w:tcPr>
          <w:p>
            <w:pPr>
              <w:spacing w:line="240" w:lineRule="auto"/>
              <w:jc w:val="center"/>
              <w:rPr>
                <w:rFonts w:hint="eastAsia" w:eastAsia="宋体"/>
                <w:lang w:val="en-US" w:eastAsia="zh-CN"/>
              </w:rPr>
            </w:pPr>
            <w:r>
              <w:rPr>
                <w:rFonts w:hint="eastAsia"/>
                <w:lang w:val="en-US" w:eastAsia="zh-CN"/>
              </w:rPr>
              <w:t>8</w:t>
            </w:r>
          </w:p>
        </w:tc>
        <w:tc>
          <w:tcPr>
            <w:tcW w:w="750" w:type="dxa"/>
            <w:vAlign w:val="center"/>
          </w:tcPr>
          <w:p>
            <w:pPr>
              <w:spacing w:line="240" w:lineRule="auto"/>
              <w:jc w:val="center"/>
              <w:rPr>
                <w:rFonts w:hint="default" w:eastAsia="宋体"/>
                <w:lang w:val="en-US" w:eastAsia="zh-CN"/>
              </w:rPr>
            </w:pPr>
            <w:r>
              <w:rPr>
                <w:rFonts w:hint="eastAsia"/>
                <w:lang w:val="en-US" w:eastAsia="zh-CN"/>
              </w:rPr>
              <w:t>60</w:t>
            </w:r>
          </w:p>
        </w:tc>
        <w:tc>
          <w:tcPr>
            <w:tcW w:w="740" w:type="dxa"/>
            <w:vAlign w:val="center"/>
          </w:tcPr>
          <w:p>
            <w:pPr>
              <w:spacing w:line="240" w:lineRule="auto"/>
              <w:jc w:val="center"/>
              <w:rPr>
                <w:rFonts w:hint="default"/>
                <w:lang w:val="en-US" w:eastAsia="zh-CN"/>
              </w:rPr>
            </w:pPr>
            <w:r>
              <w:rPr>
                <w:rFonts w:hint="eastAsia"/>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221" w:type="dxa"/>
            <w:vMerge w:val="continue"/>
            <w:vAlign w:val="center"/>
          </w:tcPr>
          <w:p>
            <w:pPr>
              <w:spacing w:line="240" w:lineRule="auto"/>
              <w:jc w:val="center"/>
            </w:pPr>
          </w:p>
        </w:tc>
        <w:tc>
          <w:tcPr>
            <w:tcW w:w="1425" w:type="dxa"/>
            <w:vAlign w:val="center"/>
          </w:tcPr>
          <w:p>
            <w:pPr>
              <w:spacing w:line="240" w:lineRule="auto"/>
              <w:jc w:val="center"/>
              <w:rPr>
                <w:rFonts w:hint="eastAsia" w:eastAsia="宋体"/>
                <w:lang w:eastAsia="zh-CN"/>
              </w:rPr>
            </w:pPr>
            <w:r>
              <w:rPr>
                <w:rFonts w:hint="eastAsia"/>
                <w:lang w:eastAsia="zh-CN"/>
              </w:rPr>
              <w:t>产生量</w:t>
            </w:r>
          </w:p>
        </w:tc>
        <w:tc>
          <w:tcPr>
            <w:tcW w:w="930" w:type="dxa"/>
            <w:vAlign w:val="center"/>
          </w:tcPr>
          <w:p>
            <w:pPr>
              <w:spacing w:line="240" w:lineRule="auto"/>
              <w:jc w:val="center"/>
              <w:rPr>
                <w:rFonts w:hint="default" w:eastAsia="宋体"/>
                <w:lang w:val="en-US" w:eastAsia="zh-CN"/>
              </w:rPr>
            </w:pPr>
            <w:r>
              <w:rPr>
                <w:rFonts w:hint="eastAsia"/>
                <w:lang w:val="en-US" w:eastAsia="zh-CN"/>
              </w:rPr>
              <w:t>4.05</w:t>
            </w:r>
          </w:p>
        </w:tc>
        <w:tc>
          <w:tcPr>
            <w:tcW w:w="975" w:type="dxa"/>
            <w:vAlign w:val="center"/>
          </w:tcPr>
          <w:p>
            <w:pPr>
              <w:spacing w:line="240" w:lineRule="auto"/>
              <w:jc w:val="center"/>
              <w:rPr>
                <w:rFonts w:hint="default" w:eastAsia="宋体"/>
                <w:lang w:val="en-US" w:eastAsia="zh-CN"/>
              </w:rPr>
            </w:pPr>
            <w:r>
              <w:rPr>
                <w:rFonts w:hint="eastAsia"/>
                <w:lang w:val="en-US" w:eastAsia="zh-CN"/>
              </w:rPr>
              <w:t>2.43</w:t>
            </w:r>
          </w:p>
        </w:tc>
        <w:tc>
          <w:tcPr>
            <w:tcW w:w="825" w:type="dxa"/>
            <w:vAlign w:val="center"/>
          </w:tcPr>
          <w:p>
            <w:pPr>
              <w:spacing w:line="240" w:lineRule="auto"/>
              <w:jc w:val="center"/>
              <w:rPr>
                <w:rFonts w:hint="default" w:eastAsia="宋体"/>
                <w:lang w:val="en-US" w:eastAsia="zh-CN"/>
              </w:rPr>
            </w:pPr>
            <w:r>
              <w:rPr>
                <w:rFonts w:hint="eastAsia"/>
                <w:lang w:val="en-US" w:eastAsia="zh-CN"/>
              </w:rPr>
              <w:t>1.62</w:t>
            </w:r>
          </w:p>
        </w:tc>
        <w:tc>
          <w:tcPr>
            <w:tcW w:w="1080" w:type="dxa"/>
            <w:vAlign w:val="center"/>
          </w:tcPr>
          <w:p>
            <w:pPr>
              <w:spacing w:line="240" w:lineRule="auto"/>
              <w:jc w:val="center"/>
              <w:rPr>
                <w:rFonts w:hint="default" w:eastAsia="宋体"/>
                <w:lang w:val="en-US" w:eastAsia="zh-CN"/>
              </w:rPr>
            </w:pPr>
            <w:r>
              <w:rPr>
                <w:rFonts w:hint="eastAsia"/>
                <w:lang w:val="en-US" w:eastAsia="zh-CN"/>
              </w:rPr>
              <w:t>0.21</w:t>
            </w:r>
          </w:p>
        </w:tc>
        <w:tc>
          <w:tcPr>
            <w:tcW w:w="1110" w:type="dxa"/>
            <w:vAlign w:val="center"/>
          </w:tcPr>
          <w:p>
            <w:pPr>
              <w:spacing w:line="240" w:lineRule="auto"/>
              <w:jc w:val="center"/>
              <w:rPr>
                <w:rFonts w:hint="eastAsia" w:eastAsia="宋体"/>
                <w:lang w:val="en-US" w:eastAsia="zh-CN"/>
              </w:rPr>
            </w:pPr>
            <w:r>
              <w:rPr>
                <w:rFonts w:hint="eastAsia"/>
                <w:lang w:val="en-US" w:eastAsia="zh-CN"/>
              </w:rPr>
              <w:t>-</w:t>
            </w:r>
          </w:p>
        </w:tc>
        <w:tc>
          <w:tcPr>
            <w:tcW w:w="840" w:type="dxa"/>
            <w:vAlign w:val="center"/>
          </w:tcPr>
          <w:p>
            <w:pPr>
              <w:spacing w:line="240" w:lineRule="auto"/>
              <w:jc w:val="center"/>
              <w:rPr>
                <w:rFonts w:hint="default" w:eastAsia="宋体"/>
                <w:lang w:val="en-US" w:eastAsia="zh-CN"/>
              </w:rPr>
            </w:pPr>
            <w:r>
              <w:rPr>
                <w:rFonts w:hint="eastAsia"/>
                <w:lang w:val="en-US" w:eastAsia="zh-CN"/>
              </w:rPr>
              <w:t>0.032</w:t>
            </w:r>
          </w:p>
        </w:tc>
        <w:tc>
          <w:tcPr>
            <w:tcW w:w="750" w:type="dxa"/>
            <w:vAlign w:val="center"/>
          </w:tcPr>
          <w:p>
            <w:pPr>
              <w:spacing w:line="240" w:lineRule="auto"/>
              <w:jc w:val="center"/>
              <w:rPr>
                <w:rFonts w:hint="default" w:eastAsia="宋体"/>
                <w:lang w:val="en-US" w:eastAsia="zh-CN"/>
              </w:rPr>
            </w:pPr>
            <w:r>
              <w:rPr>
                <w:rFonts w:hint="eastAsia"/>
                <w:lang w:val="en-US" w:eastAsia="zh-CN"/>
              </w:rPr>
              <w:t>0.243</w:t>
            </w:r>
          </w:p>
        </w:tc>
        <w:tc>
          <w:tcPr>
            <w:tcW w:w="740" w:type="dxa"/>
            <w:vAlign w:val="center"/>
          </w:tcPr>
          <w:p>
            <w:pPr>
              <w:spacing w:line="240" w:lineRule="auto"/>
              <w:jc w:val="center"/>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22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生活污水</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lang w:eastAsia="zh-CN"/>
              </w:rPr>
            </w:pPr>
            <w:r>
              <w:rPr>
                <w:rFonts w:hint="eastAsia"/>
                <w:lang w:eastAsia="zh-CN"/>
              </w:rPr>
              <w:t>（</w:t>
            </w:r>
            <w:r>
              <w:rPr>
                <w:rFonts w:hint="eastAsia"/>
                <w:lang w:val="en-US" w:eastAsia="zh-CN"/>
              </w:rPr>
              <w:t>5760t/a</w:t>
            </w:r>
            <w:r>
              <w:rPr>
                <w:rFonts w:hint="eastAsia"/>
                <w:lang w:eastAsia="zh-CN"/>
              </w:rPr>
              <w:t>）</w:t>
            </w:r>
          </w:p>
        </w:tc>
        <w:tc>
          <w:tcPr>
            <w:tcW w:w="1425" w:type="dxa"/>
            <w:vAlign w:val="center"/>
          </w:tcPr>
          <w:p>
            <w:pPr>
              <w:spacing w:line="240" w:lineRule="auto"/>
              <w:jc w:val="center"/>
              <w:rPr>
                <w:rFonts w:hint="eastAsia"/>
                <w:lang w:eastAsia="zh-CN"/>
              </w:rPr>
            </w:pPr>
            <w:r>
              <w:rPr>
                <w:rFonts w:hint="eastAsia"/>
                <w:lang w:eastAsia="zh-CN"/>
              </w:rPr>
              <w:t>浓度</w:t>
            </w:r>
            <w:r>
              <w:rPr>
                <w:rFonts w:hint="eastAsia"/>
              </w:rPr>
              <w:t>（</w:t>
            </w:r>
            <w:r>
              <w:t>mg/L</w:t>
            </w:r>
            <w:r>
              <w:rPr>
                <w:rFonts w:hint="eastAsia"/>
              </w:rPr>
              <w:t>）</w:t>
            </w:r>
          </w:p>
        </w:tc>
        <w:tc>
          <w:tcPr>
            <w:tcW w:w="930" w:type="dxa"/>
            <w:vAlign w:val="center"/>
          </w:tcPr>
          <w:p>
            <w:pPr>
              <w:spacing w:line="240" w:lineRule="auto"/>
              <w:jc w:val="center"/>
              <w:rPr>
                <w:rFonts w:hint="default" w:eastAsia="宋体"/>
                <w:lang w:val="en-US" w:eastAsia="zh-CN"/>
              </w:rPr>
            </w:pPr>
            <w:r>
              <w:rPr>
                <w:rFonts w:hint="eastAsia"/>
                <w:lang w:val="en-US" w:eastAsia="zh-CN"/>
              </w:rPr>
              <w:t>300</w:t>
            </w:r>
          </w:p>
        </w:tc>
        <w:tc>
          <w:tcPr>
            <w:tcW w:w="975" w:type="dxa"/>
            <w:vAlign w:val="center"/>
          </w:tcPr>
          <w:p>
            <w:pPr>
              <w:spacing w:line="240" w:lineRule="auto"/>
              <w:jc w:val="center"/>
              <w:rPr>
                <w:rFonts w:hint="default" w:eastAsia="宋体"/>
                <w:lang w:val="en-US" w:eastAsia="zh-CN"/>
              </w:rPr>
            </w:pPr>
            <w:r>
              <w:rPr>
                <w:rFonts w:hint="eastAsia"/>
                <w:lang w:val="en-US" w:eastAsia="zh-CN"/>
              </w:rPr>
              <w:t>180</w:t>
            </w:r>
          </w:p>
        </w:tc>
        <w:tc>
          <w:tcPr>
            <w:tcW w:w="825" w:type="dxa"/>
            <w:vAlign w:val="center"/>
          </w:tcPr>
          <w:p>
            <w:pPr>
              <w:spacing w:line="240" w:lineRule="auto"/>
              <w:jc w:val="center"/>
              <w:rPr>
                <w:rFonts w:hint="default" w:eastAsia="宋体"/>
                <w:lang w:val="en-US" w:eastAsia="zh-CN"/>
              </w:rPr>
            </w:pPr>
            <w:r>
              <w:rPr>
                <w:rFonts w:hint="eastAsia"/>
                <w:lang w:val="en-US" w:eastAsia="zh-CN"/>
              </w:rPr>
              <w:t>200</w:t>
            </w:r>
          </w:p>
        </w:tc>
        <w:tc>
          <w:tcPr>
            <w:tcW w:w="1080" w:type="dxa"/>
            <w:vAlign w:val="center"/>
          </w:tcPr>
          <w:p>
            <w:pPr>
              <w:spacing w:line="240" w:lineRule="auto"/>
              <w:jc w:val="center"/>
              <w:rPr>
                <w:rFonts w:hint="default" w:eastAsia="宋体"/>
                <w:lang w:val="en-US" w:eastAsia="zh-CN"/>
              </w:rPr>
            </w:pPr>
            <w:r>
              <w:rPr>
                <w:rFonts w:hint="eastAsia"/>
                <w:lang w:val="en-US" w:eastAsia="zh-CN"/>
              </w:rPr>
              <w:t>35</w:t>
            </w:r>
          </w:p>
        </w:tc>
        <w:tc>
          <w:tcPr>
            <w:tcW w:w="1110" w:type="dxa"/>
            <w:vAlign w:val="center"/>
          </w:tcPr>
          <w:p>
            <w:pPr>
              <w:spacing w:line="240" w:lineRule="auto"/>
              <w:jc w:val="center"/>
              <w:rPr>
                <w:rFonts w:hint="default" w:eastAsia="宋体"/>
                <w:lang w:val="en-US" w:eastAsia="zh-CN"/>
              </w:rPr>
            </w:pPr>
            <w:r>
              <w:rPr>
                <w:rFonts w:hint="eastAsia"/>
                <w:lang w:val="en-US" w:eastAsia="zh-CN"/>
              </w:rPr>
              <w:t>30</w:t>
            </w:r>
          </w:p>
        </w:tc>
        <w:tc>
          <w:tcPr>
            <w:tcW w:w="840" w:type="dxa"/>
            <w:vAlign w:val="center"/>
          </w:tcPr>
          <w:p>
            <w:pPr>
              <w:spacing w:line="240" w:lineRule="auto"/>
              <w:jc w:val="center"/>
              <w:rPr>
                <w:rFonts w:hint="eastAsia" w:eastAsia="宋体"/>
                <w:lang w:val="en-US" w:eastAsia="zh-CN"/>
              </w:rPr>
            </w:pPr>
            <w:r>
              <w:rPr>
                <w:rFonts w:hint="eastAsia"/>
                <w:lang w:val="en-US" w:eastAsia="zh-CN"/>
              </w:rPr>
              <w:t>-</w:t>
            </w:r>
          </w:p>
        </w:tc>
        <w:tc>
          <w:tcPr>
            <w:tcW w:w="750" w:type="dxa"/>
            <w:vAlign w:val="center"/>
          </w:tcPr>
          <w:p>
            <w:pPr>
              <w:spacing w:line="240" w:lineRule="auto"/>
              <w:jc w:val="center"/>
              <w:rPr>
                <w:rFonts w:hint="eastAsia" w:eastAsia="宋体"/>
                <w:lang w:val="en-US" w:eastAsia="zh-CN"/>
              </w:rPr>
            </w:pPr>
            <w:r>
              <w:rPr>
                <w:rFonts w:hint="eastAsia"/>
                <w:lang w:val="en-US" w:eastAsia="zh-CN"/>
              </w:rPr>
              <w:t>-</w:t>
            </w:r>
          </w:p>
        </w:tc>
        <w:tc>
          <w:tcPr>
            <w:tcW w:w="740" w:type="dxa"/>
            <w:vAlign w:val="center"/>
          </w:tcPr>
          <w:p>
            <w:pPr>
              <w:spacing w:line="240" w:lineRule="auto"/>
              <w:jc w:val="center"/>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221" w:type="dxa"/>
            <w:vMerge w:val="continue"/>
            <w:vAlign w:val="center"/>
          </w:tcPr>
          <w:p>
            <w:pPr>
              <w:spacing w:line="240" w:lineRule="auto"/>
              <w:jc w:val="center"/>
            </w:pPr>
          </w:p>
        </w:tc>
        <w:tc>
          <w:tcPr>
            <w:tcW w:w="1425" w:type="dxa"/>
            <w:vAlign w:val="center"/>
          </w:tcPr>
          <w:p>
            <w:pPr>
              <w:spacing w:line="240" w:lineRule="auto"/>
              <w:jc w:val="center"/>
              <w:rPr>
                <w:rFonts w:hint="eastAsia"/>
                <w:lang w:eastAsia="zh-CN"/>
              </w:rPr>
            </w:pPr>
            <w:r>
              <w:rPr>
                <w:rFonts w:hint="eastAsia"/>
                <w:lang w:eastAsia="zh-CN"/>
              </w:rPr>
              <w:t>产生量</w:t>
            </w:r>
          </w:p>
        </w:tc>
        <w:tc>
          <w:tcPr>
            <w:tcW w:w="930" w:type="dxa"/>
            <w:vAlign w:val="center"/>
          </w:tcPr>
          <w:p>
            <w:pPr>
              <w:spacing w:line="240" w:lineRule="auto"/>
              <w:jc w:val="center"/>
              <w:rPr>
                <w:rFonts w:hint="default" w:eastAsia="宋体"/>
                <w:lang w:val="en-US" w:eastAsia="zh-CN"/>
              </w:rPr>
            </w:pPr>
            <w:r>
              <w:rPr>
                <w:rFonts w:hint="eastAsia"/>
                <w:lang w:val="en-US" w:eastAsia="zh-CN"/>
              </w:rPr>
              <w:t>1.73</w:t>
            </w:r>
          </w:p>
        </w:tc>
        <w:tc>
          <w:tcPr>
            <w:tcW w:w="975" w:type="dxa"/>
            <w:vAlign w:val="center"/>
          </w:tcPr>
          <w:p>
            <w:pPr>
              <w:spacing w:line="240" w:lineRule="auto"/>
              <w:jc w:val="center"/>
              <w:rPr>
                <w:rFonts w:hint="default" w:eastAsia="宋体"/>
                <w:lang w:val="en-US" w:eastAsia="zh-CN"/>
              </w:rPr>
            </w:pPr>
            <w:r>
              <w:rPr>
                <w:rFonts w:hint="eastAsia"/>
                <w:lang w:val="en-US" w:eastAsia="zh-CN"/>
              </w:rPr>
              <w:t>1.037</w:t>
            </w:r>
          </w:p>
        </w:tc>
        <w:tc>
          <w:tcPr>
            <w:tcW w:w="825" w:type="dxa"/>
            <w:vAlign w:val="center"/>
          </w:tcPr>
          <w:p>
            <w:pPr>
              <w:spacing w:line="240" w:lineRule="auto"/>
              <w:jc w:val="center"/>
              <w:rPr>
                <w:rFonts w:hint="default" w:eastAsia="宋体"/>
                <w:lang w:val="en-US" w:eastAsia="zh-CN"/>
              </w:rPr>
            </w:pPr>
            <w:r>
              <w:rPr>
                <w:rFonts w:hint="eastAsia"/>
                <w:lang w:val="en-US" w:eastAsia="zh-CN"/>
              </w:rPr>
              <w:t>1.152</w:t>
            </w:r>
          </w:p>
        </w:tc>
        <w:tc>
          <w:tcPr>
            <w:tcW w:w="1080" w:type="dxa"/>
            <w:vAlign w:val="center"/>
          </w:tcPr>
          <w:p>
            <w:pPr>
              <w:spacing w:line="240" w:lineRule="auto"/>
              <w:jc w:val="center"/>
              <w:rPr>
                <w:rFonts w:hint="default" w:eastAsia="宋体"/>
                <w:lang w:val="en-US" w:eastAsia="zh-CN"/>
              </w:rPr>
            </w:pPr>
            <w:r>
              <w:rPr>
                <w:rFonts w:hint="eastAsia"/>
                <w:lang w:val="en-US" w:eastAsia="zh-CN"/>
              </w:rPr>
              <w:t>0.21</w:t>
            </w:r>
          </w:p>
        </w:tc>
        <w:tc>
          <w:tcPr>
            <w:tcW w:w="1110" w:type="dxa"/>
            <w:vAlign w:val="center"/>
          </w:tcPr>
          <w:p>
            <w:pPr>
              <w:spacing w:line="240" w:lineRule="auto"/>
              <w:jc w:val="center"/>
              <w:rPr>
                <w:rFonts w:hint="default" w:eastAsia="宋体"/>
                <w:lang w:val="en-US" w:eastAsia="zh-CN"/>
              </w:rPr>
            </w:pPr>
            <w:r>
              <w:rPr>
                <w:rFonts w:hint="eastAsia"/>
                <w:lang w:val="en-US" w:eastAsia="zh-CN"/>
              </w:rPr>
              <w:t>0.173</w:t>
            </w:r>
          </w:p>
        </w:tc>
        <w:tc>
          <w:tcPr>
            <w:tcW w:w="840" w:type="dxa"/>
            <w:vAlign w:val="center"/>
          </w:tcPr>
          <w:p>
            <w:pPr>
              <w:spacing w:line="240" w:lineRule="auto"/>
              <w:jc w:val="center"/>
              <w:rPr>
                <w:rFonts w:hint="eastAsia" w:eastAsia="宋体"/>
                <w:lang w:val="en-US" w:eastAsia="zh-CN"/>
              </w:rPr>
            </w:pPr>
            <w:r>
              <w:rPr>
                <w:rFonts w:hint="eastAsia"/>
                <w:lang w:val="en-US" w:eastAsia="zh-CN"/>
              </w:rPr>
              <w:t>-</w:t>
            </w:r>
          </w:p>
        </w:tc>
        <w:tc>
          <w:tcPr>
            <w:tcW w:w="750" w:type="dxa"/>
            <w:vAlign w:val="center"/>
          </w:tcPr>
          <w:p>
            <w:pPr>
              <w:spacing w:line="240" w:lineRule="auto"/>
              <w:jc w:val="center"/>
              <w:rPr>
                <w:rFonts w:hint="eastAsia" w:eastAsia="宋体"/>
                <w:lang w:val="en-US" w:eastAsia="zh-CN"/>
              </w:rPr>
            </w:pPr>
            <w:r>
              <w:rPr>
                <w:rFonts w:hint="eastAsia"/>
                <w:lang w:val="en-US" w:eastAsia="zh-CN"/>
              </w:rPr>
              <w:t>-</w:t>
            </w:r>
          </w:p>
        </w:tc>
        <w:tc>
          <w:tcPr>
            <w:tcW w:w="740" w:type="dxa"/>
            <w:vAlign w:val="center"/>
          </w:tcPr>
          <w:p>
            <w:pPr>
              <w:spacing w:line="240" w:lineRule="auto"/>
              <w:jc w:val="center"/>
              <w:rPr>
                <w:rFonts w:hint="default"/>
                <w:lang w:val="en-US" w:eastAsia="zh-CN"/>
              </w:rPr>
            </w:pPr>
            <w:r>
              <w:rPr>
                <w:rFonts w:hint="eastAsia"/>
                <w:lang w:val="en-US" w:eastAsia="zh-CN"/>
              </w:rPr>
              <w:t>-</w:t>
            </w:r>
          </w:p>
        </w:tc>
      </w:tr>
    </w:tbl>
    <w:p>
      <w:pPr>
        <w:widowControl/>
        <w:ind w:firstLine="480" w:firstLineChars="200"/>
        <w:rPr>
          <w:b/>
          <w:sz w:val="24"/>
          <w:szCs w:val="24"/>
        </w:rPr>
      </w:pPr>
      <w:r>
        <w:rPr>
          <w:rFonts w:hint="eastAsia"/>
          <w:color w:val="auto"/>
          <w:sz w:val="24"/>
          <w:szCs w:val="24"/>
          <w:highlight w:val="none"/>
          <w:lang w:val="zh-CN"/>
        </w:rPr>
        <w:t>生产废水</w:t>
      </w:r>
      <w:r>
        <w:rPr>
          <w:color w:val="auto"/>
          <w:sz w:val="24"/>
          <w:szCs w:val="24"/>
          <w:highlight w:val="none"/>
          <w:lang w:val="zh-CN"/>
        </w:rPr>
        <w:t>经自建污水站处理达标后</w:t>
      </w:r>
      <w:r>
        <w:rPr>
          <w:rFonts w:hint="eastAsia"/>
          <w:color w:val="auto"/>
          <w:sz w:val="24"/>
          <w:szCs w:val="24"/>
          <w:highlight w:val="none"/>
          <w:lang w:val="zh-CN"/>
        </w:rPr>
        <w:t>汇同经隔油池和化粪池预处理后的生活污水经市政污水管网排入城北污水处理厂</w:t>
      </w:r>
      <w:r>
        <w:rPr>
          <w:rFonts w:hint="eastAsia"/>
          <w:sz w:val="24"/>
          <w:szCs w:val="24"/>
        </w:rPr>
        <w:t>。</w:t>
      </w:r>
    </w:p>
    <w:p>
      <w:pPr>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eastAsia="宋体" w:cs="Times New Roman"/>
          <w:b/>
          <w:bCs w:val="0"/>
          <w:sz w:val="24"/>
          <w:szCs w:val="24"/>
        </w:rPr>
      </w:pPr>
      <w:r>
        <w:rPr>
          <w:b/>
          <w:bCs w:val="0"/>
          <w:sz w:val="24"/>
          <w:szCs w:val="24"/>
        </w:rPr>
        <w:t>2.3.</w:t>
      </w:r>
      <w:r>
        <w:rPr>
          <w:rFonts w:hint="default" w:ascii="Times New Roman" w:hAnsi="Times New Roman" w:eastAsia="宋体" w:cs="Times New Roman"/>
          <w:b/>
          <w:bCs w:val="0"/>
          <w:sz w:val="24"/>
          <w:szCs w:val="24"/>
        </w:rPr>
        <w:t>3 固废污染源强核算</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w:t>
      </w:r>
      <w:r>
        <w:rPr>
          <w:rFonts w:hint="default" w:ascii="Times New Roman" w:hAnsi="Times New Roman" w:eastAsia="宋体" w:cs="Times New Roman"/>
          <w:sz w:val="24"/>
          <w:szCs w:val="24"/>
        </w:rPr>
        <w:t>项目产生的固体废物包括一般</w:t>
      </w:r>
      <w:r>
        <w:rPr>
          <w:rFonts w:hint="eastAsia" w:ascii="Times New Roman" w:hAnsi="Times New Roman" w:eastAsia="宋体" w:cs="Times New Roman"/>
          <w:sz w:val="24"/>
          <w:szCs w:val="24"/>
          <w:lang w:eastAsia="zh-CN"/>
        </w:rPr>
        <w:t>工业</w:t>
      </w:r>
      <w:r>
        <w:rPr>
          <w:rFonts w:hint="default" w:ascii="Times New Roman" w:hAnsi="Times New Roman" w:eastAsia="宋体" w:cs="Times New Roman"/>
          <w:sz w:val="24"/>
          <w:szCs w:val="24"/>
        </w:rPr>
        <w:t>固废</w:t>
      </w:r>
      <w:r>
        <w:rPr>
          <w:rFonts w:hint="eastAsia" w:ascii="Times New Roman" w:hAnsi="Times New Roman" w:eastAsia="宋体" w:cs="Times New Roman"/>
          <w:sz w:val="24"/>
          <w:szCs w:val="24"/>
          <w:lang w:eastAsia="zh-CN"/>
        </w:rPr>
        <w:t>、生活垃圾以及水洗添加剂空桶。</w:t>
      </w:r>
    </w:p>
    <w:p>
      <w:pPr>
        <w:keepNext w:val="0"/>
        <w:keepLines w:val="0"/>
        <w:pageBreakBefore w:val="0"/>
        <w:widowControl w:val="0"/>
        <w:numPr>
          <w:ilvl w:val="0"/>
          <w:numId w:val="5"/>
        </w:numPr>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一般</w:t>
      </w:r>
      <w:r>
        <w:rPr>
          <w:rFonts w:hint="eastAsia" w:ascii="Times New Roman" w:hAnsi="Times New Roman" w:eastAsia="宋体" w:cs="Times New Roman"/>
          <w:sz w:val="24"/>
          <w:szCs w:val="24"/>
          <w:lang w:eastAsia="zh-CN"/>
        </w:rPr>
        <w:t>工业</w:t>
      </w:r>
      <w:r>
        <w:rPr>
          <w:rFonts w:hint="default" w:ascii="Times New Roman" w:hAnsi="Times New Roman" w:eastAsia="宋体" w:cs="Times New Roman"/>
          <w:sz w:val="24"/>
          <w:szCs w:val="24"/>
        </w:rPr>
        <w:t>固废</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①生产过程中边角料</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生产过程中主要产生的边角料</w:t>
      </w:r>
      <w:r>
        <w:rPr>
          <w:rFonts w:hint="default" w:ascii="Times New Roman" w:hAnsi="Times New Roman" w:eastAsia="宋体" w:cs="Times New Roman"/>
          <w:sz w:val="24"/>
          <w:szCs w:val="24"/>
        </w:rPr>
        <w:t>包括倒纱、织片、套口</w:t>
      </w:r>
      <w:r>
        <w:rPr>
          <w:rFonts w:hint="eastAsia" w:cs="Times New Roman"/>
          <w:sz w:val="24"/>
          <w:szCs w:val="24"/>
          <w:lang w:eastAsia="zh-CN"/>
        </w:rPr>
        <w:t>、锁眼钉扣等</w:t>
      </w:r>
      <w:r>
        <w:rPr>
          <w:rFonts w:hint="default" w:ascii="Times New Roman" w:hAnsi="Times New Roman" w:eastAsia="宋体" w:cs="Times New Roman"/>
          <w:sz w:val="24"/>
          <w:szCs w:val="24"/>
        </w:rPr>
        <w:t>工序产生的边角废料；检验工序产生的不合格品；包装工序产生的废包装材料</w:t>
      </w:r>
      <w:r>
        <w:rPr>
          <w:rFonts w:hint="eastAsia" w:cs="Times New Roman"/>
          <w:sz w:val="24"/>
          <w:szCs w:val="24"/>
          <w:lang w:eastAsia="zh-CN"/>
        </w:rPr>
        <w:t>。根据建设单位生产经验以及提供的资料，</w:t>
      </w:r>
      <w:r>
        <w:rPr>
          <w:rFonts w:hint="default" w:ascii="Times New Roman" w:hAnsi="Times New Roman" w:eastAsia="宋体" w:cs="Times New Roman"/>
          <w:sz w:val="24"/>
          <w:szCs w:val="24"/>
        </w:rPr>
        <w:t>边角废料</w:t>
      </w:r>
      <w:r>
        <w:rPr>
          <w:rFonts w:hint="eastAsia" w:ascii="Times New Roman" w:hAnsi="Times New Roman" w:cs="Times New Roman"/>
          <w:sz w:val="24"/>
          <w:szCs w:val="24"/>
          <w:lang w:eastAsia="zh-CN"/>
        </w:rPr>
        <w:t>产生量为</w:t>
      </w:r>
      <w:r>
        <w:rPr>
          <w:rFonts w:hint="eastAsia" w:cs="Times New Roman"/>
          <w:sz w:val="24"/>
          <w:szCs w:val="24"/>
          <w:lang w:val="en-US" w:eastAsia="zh-CN"/>
        </w:rPr>
        <w:t>15</w:t>
      </w:r>
      <w:r>
        <w:rPr>
          <w:rFonts w:hint="eastAsia" w:ascii="Times New Roman" w:hAnsi="Times New Roman" w:cs="Times New Roman"/>
          <w:sz w:val="24"/>
          <w:szCs w:val="24"/>
          <w:lang w:val="en-US" w:eastAsia="zh-CN"/>
        </w:rPr>
        <w:t>t/a；不合格品产生量为</w:t>
      </w:r>
      <w:r>
        <w:rPr>
          <w:rFonts w:hint="eastAsia" w:cs="Times New Roman"/>
          <w:sz w:val="24"/>
          <w:szCs w:val="24"/>
          <w:lang w:val="en-US" w:eastAsia="zh-CN"/>
        </w:rPr>
        <w:t>25</w:t>
      </w:r>
      <w:r>
        <w:rPr>
          <w:rFonts w:hint="eastAsia" w:ascii="Times New Roman" w:hAnsi="Times New Roman" w:cs="Times New Roman"/>
          <w:sz w:val="24"/>
          <w:szCs w:val="24"/>
          <w:lang w:val="en-US" w:eastAsia="zh-CN"/>
        </w:rPr>
        <w:t>t/a；废包装材料产生量为1t/a。</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②污水处理站产生的污泥</w:t>
      </w:r>
      <w:r>
        <w:rPr>
          <w:rFonts w:hint="eastAsia" w:cs="Times New Roman"/>
          <w:sz w:val="24"/>
          <w:szCs w:val="24"/>
          <w:lang w:eastAsia="zh-CN"/>
        </w:rPr>
        <w:t>栅渣</w:t>
      </w:r>
    </w:p>
    <w:p>
      <w:pPr>
        <w:ind w:firstLine="480" w:firstLineChars="200"/>
        <w:rPr>
          <w:color w:val="0000FF"/>
          <w:sz w:val="24"/>
          <w:szCs w:val="24"/>
          <w:highlight w:val="yellow"/>
        </w:rPr>
      </w:pPr>
      <w:r>
        <w:rPr>
          <w:sz w:val="24"/>
          <w:szCs w:val="24"/>
        </w:rPr>
        <w:t>本项目废水处理站运行时将产生一定量的污泥</w:t>
      </w:r>
      <w:r>
        <w:rPr>
          <w:rFonts w:hint="eastAsia"/>
          <w:sz w:val="24"/>
          <w:szCs w:val="24"/>
        </w:rPr>
        <w:t>和栅渣</w:t>
      </w:r>
      <w:r>
        <w:rPr>
          <w:sz w:val="24"/>
          <w:szCs w:val="24"/>
        </w:rPr>
        <w:t>，根据本项目废水处理站处理工艺</w:t>
      </w:r>
      <w:r>
        <w:rPr>
          <w:rFonts w:hint="eastAsia"/>
          <w:sz w:val="24"/>
          <w:szCs w:val="24"/>
        </w:rPr>
        <w:t>和去除效率</w:t>
      </w:r>
      <w:r>
        <w:rPr>
          <w:sz w:val="24"/>
          <w:szCs w:val="24"/>
        </w:rPr>
        <w:t>特点，</w:t>
      </w:r>
      <w:r>
        <w:rPr>
          <w:rFonts w:hint="eastAsia"/>
          <w:sz w:val="24"/>
          <w:szCs w:val="24"/>
        </w:rPr>
        <w:t>并</w:t>
      </w:r>
      <w:r>
        <w:rPr>
          <w:sz w:val="24"/>
          <w:szCs w:val="24"/>
        </w:rPr>
        <w:t>参考城市污水厂污泥（含水率95%）产生系数6t/万t污水，本项目废水</w:t>
      </w:r>
      <w:r>
        <w:rPr>
          <w:rFonts w:hint="eastAsia"/>
          <w:sz w:val="24"/>
          <w:szCs w:val="24"/>
        </w:rPr>
        <w:t>每天</w:t>
      </w:r>
      <w:r>
        <w:rPr>
          <w:sz w:val="24"/>
          <w:szCs w:val="24"/>
        </w:rPr>
        <w:t>处理规模约</w:t>
      </w:r>
      <w:r>
        <w:rPr>
          <w:rFonts w:hint="eastAsia"/>
          <w:sz w:val="24"/>
          <w:szCs w:val="24"/>
          <w:lang w:val="en-US" w:eastAsia="zh-CN"/>
        </w:rPr>
        <w:t>13.5</w:t>
      </w:r>
      <w:r>
        <w:rPr>
          <w:sz w:val="24"/>
          <w:szCs w:val="24"/>
        </w:rPr>
        <w:t>t/d，预计项目污泥产生量为</w:t>
      </w:r>
      <w:r>
        <w:rPr>
          <w:rFonts w:hint="eastAsia"/>
          <w:sz w:val="24"/>
          <w:szCs w:val="24"/>
          <w:lang w:val="en-US" w:eastAsia="zh-CN"/>
        </w:rPr>
        <w:t>2.43</w:t>
      </w:r>
      <w:r>
        <w:rPr>
          <w:sz w:val="24"/>
          <w:szCs w:val="24"/>
        </w:rPr>
        <w:t>t/a</w:t>
      </w:r>
      <w:r>
        <w:rPr>
          <w:rFonts w:hint="eastAsia"/>
          <w:sz w:val="24"/>
          <w:szCs w:val="24"/>
        </w:rPr>
        <w:t>；栅渣根据处理工艺和去除效率可知，年产生量</w:t>
      </w:r>
      <w:r>
        <w:rPr>
          <w:rFonts w:hint="eastAsia"/>
          <w:sz w:val="24"/>
          <w:szCs w:val="24"/>
          <w:highlight w:val="none"/>
        </w:rPr>
        <w:t>约</w:t>
      </w:r>
      <w:r>
        <w:rPr>
          <w:rFonts w:hint="eastAsia"/>
          <w:sz w:val="24"/>
          <w:szCs w:val="24"/>
          <w:highlight w:val="none"/>
          <w:lang w:val="en-US" w:eastAsia="zh-CN"/>
        </w:rPr>
        <w:t>0.5</w:t>
      </w:r>
      <w:r>
        <w:rPr>
          <w:sz w:val="24"/>
          <w:szCs w:val="24"/>
          <w:highlight w:val="none"/>
        </w:rPr>
        <w:t>t/a</w:t>
      </w:r>
      <w:r>
        <w:rPr>
          <w:rFonts w:hint="eastAsia"/>
          <w:sz w:val="24"/>
          <w:szCs w:val="24"/>
          <w:highlight w:val="none"/>
        </w:rPr>
        <w:t>；其</w:t>
      </w:r>
      <w:r>
        <w:rPr>
          <w:rFonts w:hint="eastAsia"/>
          <w:sz w:val="24"/>
          <w:szCs w:val="24"/>
        </w:rPr>
        <w:t>中污泥经板框压滤及机械脱水后和栅渣外运处置。</w:t>
      </w:r>
    </w:p>
    <w:p>
      <w:pPr>
        <w:pStyle w:val="12"/>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（2）生活垃圾：生活垃圾产生量按 1.0kg/人·d计，项目共有 300 名职工，则生活垃圾产生量为90t/a</w:t>
      </w:r>
      <w:r>
        <w:rPr>
          <w:rFonts w:hint="default" w:ascii="Times New Roman" w:hAnsi="Times New Roman" w:eastAsia="宋体" w:cs="Times New Roman"/>
          <w:sz w:val="24"/>
          <w:szCs w:val="24"/>
          <w:lang w:eastAsia="zh-CN"/>
        </w:rPr>
        <w:t>，经环卫部门统一清运。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）水洗添加剂空桶</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根据2017年10月1日起实施的《固体废物鉴别标准通则》（GB34330-2017）中的第6.1节以下物质不作为固体废物处理：a）任何不需要修复和加工即可用于其原始用途的物质，或者在产生点经过修复和加工后满足国家、地方制定或行业通行的产品质量标准并且用于其原始用途的物质。则本项目</w:t>
      </w:r>
      <w:r>
        <w:rPr>
          <w:rFonts w:hint="eastAsia" w:ascii="Times New Roman" w:hAnsi="Times New Roman" w:eastAsia="宋体" w:cs="Times New Roman"/>
          <w:sz w:val="24"/>
          <w:szCs w:val="24"/>
          <w:lang w:eastAsia="zh-CN"/>
        </w:rPr>
        <w:t>水洗添加剂空桶</w:t>
      </w:r>
      <w:r>
        <w:rPr>
          <w:rFonts w:hint="default" w:ascii="Times New Roman" w:hAnsi="Times New Roman" w:eastAsia="宋体" w:cs="Times New Roman"/>
          <w:sz w:val="24"/>
          <w:szCs w:val="24"/>
          <w:lang w:eastAsia="zh-CN"/>
        </w:rPr>
        <w:t>由厂家回收用作原始用途时时既不属于固体废物，也不属于危险废物。项目区每次由商家送货上门并把空桶带回回收利用，厂区最大储</w:t>
      </w:r>
      <w:r>
        <w:rPr>
          <w:rFonts w:hint="eastAsia" w:ascii="Times New Roman" w:hAnsi="Times New Roman" w:eastAsia="宋体" w:cs="Times New Roman"/>
          <w:sz w:val="24"/>
          <w:szCs w:val="24"/>
          <w:lang w:eastAsia="zh-CN"/>
        </w:rPr>
        <w:t>空</w:t>
      </w:r>
      <w:r>
        <w:rPr>
          <w:rFonts w:hint="default" w:ascii="Times New Roman" w:hAnsi="Times New Roman" w:eastAsia="宋体" w:cs="Times New Roman"/>
          <w:sz w:val="24"/>
          <w:szCs w:val="24"/>
          <w:lang w:eastAsia="zh-CN"/>
        </w:rPr>
        <w:t>桶</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lang w:eastAsia="zh-CN"/>
        </w:rPr>
        <w:t>个，则空胶桶产生量为</w:t>
      </w:r>
      <w:r>
        <w:rPr>
          <w:rFonts w:hint="eastAsia" w:ascii="Times New Roman" w:hAnsi="Times New Roman" w:eastAsia="宋体" w:cs="Times New Roman"/>
          <w:sz w:val="24"/>
          <w:szCs w:val="24"/>
          <w:lang w:val="en-US" w:eastAsia="zh-CN"/>
        </w:rPr>
        <w:t>0.2t</w:t>
      </w:r>
      <w:r>
        <w:rPr>
          <w:rFonts w:hint="default" w:ascii="Times New Roman" w:hAnsi="Times New Roman" w:eastAsia="宋体" w:cs="Times New Roman"/>
          <w:sz w:val="24"/>
          <w:szCs w:val="24"/>
          <w:lang w:eastAsia="zh-CN"/>
        </w:rPr>
        <w:t>/a，由供应商回收。</w:t>
      </w:r>
    </w:p>
    <w:p>
      <w:pPr>
        <w:ind w:firstLine="480" w:firstLineChars="200"/>
      </w:pPr>
      <w:r>
        <w:rPr>
          <w:rFonts w:hint="eastAsia"/>
          <w:sz w:val="24"/>
          <w:szCs w:val="24"/>
        </w:rPr>
        <w:t>项目</w:t>
      </w:r>
      <w:r>
        <w:rPr>
          <w:sz w:val="24"/>
          <w:szCs w:val="24"/>
        </w:rPr>
        <w:t>主要固体废物排放情况详见表2</w:t>
      </w:r>
      <w:r>
        <w:rPr>
          <w:rFonts w:hint="eastAsia"/>
          <w:sz w:val="24"/>
          <w:szCs w:val="24"/>
          <w:lang w:val="en-US" w:eastAsia="zh-CN"/>
        </w:rPr>
        <w:t>.</w:t>
      </w:r>
      <w:r>
        <w:rPr>
          <w:rFonts w:hint="eastAsia"/>
          <w:sz w:val="24"/>
          <w:szCs w:val="24"/>
        </w:rPr>
        <w:t>3</w:t>
      </w:r>
      <w:r>
        <w:rPr>
          <w:sz w:val="24"/>
          <w:szCs w:val="24"/>
        </w:rPr>
        <w:t>-</w:t>
      </w:r>
      <w:r>
        <w:rPr>
          <w:rFonts w:hint="eastAsia"/>
          <w:sz w:val="24"/>
          <w:szCs w:val="24"/>
          <w:lang w:val="en-US" w:eastAsia="zh-CN"/>
        </w:rPr>
        <w:t>7</w:t>
      </w:r>
      <w:r>
        <w:rPr>
          <w:sz w:val="24"/>
          <w:szCs w:val="24"/>
        </w:rPr>
        <w:t>。</w:t>
      </w:r>
    </w:p>
    <w:p>
      <w:pPr>
        <w:spacing w:line="240" w:lineRule="auto"/>
        <w:ind w:firstLine="482" w:firstLineChars="200"/>
        <w:jc w:val="center"/>
        <w:rPr>
          <w:b/>
          <w:bCs/>
          <w:sz w:val="24"/>
          <w:szCs w:val="24"/>
        </w:rPr>
      </w:pPr>
      <w:r>
        <w:rPr>
          <w:b/>
          <w:bCs/>
          <w:sz w:val="24"/>
          <w:szCs w:val="24"/>
        </w:rPr>
        <w:t>表2</w:t>
      </w:r>
      <w:r>
        <w:rPr>
          <w:rFonts w:hint="eastAsia"/>
          <w:b/>
          <w:bCs/>
          <w:sz w:val="24"/>
          <w:szCs w:val="24"/>
          <w:lang w:val="en-US" w:eastAsia="zh-CN"/>
        </w:rPr>
        <w:t>.</w:t>
      </w:r>
      <w:r>
        <w:rPr>
          <w:rFonts w:hint="eastAsia"/>
          <w:b/>
          <w:bCs/>
          <w:sz w:val="24"/>
          <w:szCs w:val="24"/>
        </w:rPr>
        <w:t>3</w:t>
      </w:r>
      <w:r>
        <w:rPr>
          <w:b/>
          <w:bCs/>
          <w:sz w:val="24"/>
          <w:szCs w:val="24"/>
        </w:rPr>
        <w:t>-</w:t>
      </w:r>
      <w:r>
        <w:rPr>
          <w:rFonts w:hint="eastAsia"/>
          <w:b/>
          <w:bCs/>
          <w:sz w:val="24"/>
          <w:szCs w:val="24"/>
          <w:lang w:val="en-US" w:eastAsia="zh-CN"/>
        </w:rPr>
        <w:t>7</w:t>
      </w:r>
      <w:r>
        <w:rPr>
          <w:b/>
          <w:bCs/>
          <w:sz w:val="24"/>
          <w:szCs w:val="24"/>
        </w:rPr>
        <w:t xml:space="preserve">  </w:t>
      </w:r>
      <w:r>
        <w:rPr>
          <w:rFonts w:hint="eastAsia"/>
          <w:b/>
          <w:bCs/>
          <w:sz w:val="24"/>
          <w:szCs w:val="24"/>
        </w:rPr>
        <w:t>项目</w:t>
      </w:r>
      <w:r>
        <w:rPr>
          <w:b/>
          <w:bCs/>
          <w:sz w:val="24"/>
          <w:szCs w:val="24"/>
        </w:rPr>
        <w:t>固体废弃物产生、排放情况</w:t>
      </w:r>
    </w:p>
    <w:tbl>
      <w:tblPr>
        <w:tblStyle w:val="22"/>
        <w:tblW w:w="894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34"/>
        <w:gridCol w:w="1985"/>
        <w:gridCol w:w="1275"/>
        <w:gridCol w:w="37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817" w:type="dxa"/>
            <w:vAlign w:val="center"/>
          </w:tcPr>
          <w:p>
            <w:pPr>
              <w:spacing w:line="240" w:lineRule="exact"/>
              <w:jc w:val="center"/>
            </w:pPr>
            <w:r>
              <w:t>序号</w:t>
            </w:r>
          </w:p>
        </w:tc>
        <w:tc>
          <w:tcPr>
            <w:tcW w:w="1134" w:type="dxa"/>
            <w:vAlign w:val="center"/>
          </w:tcPr>
          <w:p>
            <w:pPr>
              <w:spacing w:line="240" w:lineRule="exact"/>
              <w:jc w:val="center"/>
            </w:pPr>
            <w:r>
              <w:t>产生源</w:t>
            </w:r>
          </w:p>
        </w:tc>
        <w:tc>
          <w:tcPr>
            <w:tcW w:w="1985" w:type="dxa"/>
            <w:vAlign w:val="center"/>
          </w:tcPr>
          <w:p>
            <w:pPr>
              <w:spacing w:line="240" w:lineRule="exact"/>
              <w:jc w:val="center"/>
            </w:pPr>
            <w:r>
              <w:t>固废名称</w:t>
            </w:r>
          </w:p>
        </w:tc>
        <w:tc>
          <w:tcPr>
            <w:tcW w:w="1275" w:type="dxa"/>
            <w:vAlign w:val="center"/>
          </w:tcPr>
          <w:p>
            <w:pPr>
              <w:spacing w:line="240" w:lineRule="exact"/>
              <w:jc w:val="center"/>
            </w:pPr>
            <w:r>
              <w:t>产生量</w:t>
            </w:r>
          </w:p>
          <w:p>
            <w:pPr>
              <w:spacing w:line="240" w:lineRule="exact"/>
              <w:jc w:val="center"/>
            </w:pPr>
            <w:r>
              <w:t>（t/a）</w:t>
            </w:r>
          </w:p>
        </w:tc>
        <w:tc>
          <w:tcPr>
            <w:tcW w:w="3735" w:type="dxa"/>
            <w:vAlign w:val="center"/>
          </w:tcPr>
          <w:p>
            <w:pPr>
              <w:spacing w:line="240" w:lineRule="exact"/>
              <w:jc w:val="center"/>
            </w:pPr>
            <w: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17" w:type="dxa"/>
            <w:vMerge w:val="restart"/>
            <w:vAlign w:val="center"/>
          </w:tcPr>
          <w:p>
            <w:pPr>
              <w:spacing w:line="240" w:lineRule="exact"/>
              <w:jc w:val="center"/>
              <w:rPr>
                <w:rFonts w:hint="eastAsia" w:eastAsia="宋体"/>
                <w:lang w:val="en-US" w:eastAsia="zh-CN"/>
              </w:rPr>
            </w:pPr>
            <w:r>
              <w:rPr>
                <w:rFonts w:hint="eastAsia"/>
                <w:lang w:val="en-US" w:eastAsia="zh-CN"/>
              </w:rPr>
              <w:t>1</w:t>
            </w:r>
          </w:p>
        </w:tc>
        <w:tc>
          <w:tcPr>
            <w:tcW w:w="1134" w:type="dxa"/>
            <w:vMerge w:val="restart"/>
            <w:vAlign w:val="center"/>
          </w:tcPr>
          <w:p>
            <w:pPr>
              <w:spacing w:line="240" w:lineRule="exact"/>
              <w:jc w:val="center"/>
            </w:pPr>
            <w:r>
              <w:rPr>
                <w:rFonts w:hint="eastAsia"/>
                <w:lang w:eastAsia="zh-CN"/>
              </w:rPr>
              <w:t>生产车间</w:t>
            </w:r>
          </w:p>
        </w:tc>
        <w:tc>
          <w:tcPr>
            <w:tcW w:w="1985" w:type="dxa"/>
            <w:vAlign w:val="center"/>
          </w:tcPr>
          <w:p>
            <w:pPr>
              <w:spacing w:line="240" w:lineRule="exact"/>
              <w:jc w:val="center"/>
              <w:rPr>
                <w:rFonts w:hint="eastAsia" w:eastAsia="宋体"/>
                <w:lang w:eastAsia="zh-CN"/>
              </w:rPr>
            </w:pPr>
            <w:r>
              <w:rPr>
                <w:rFonts w:hint="eastAsia"/>
                <w:lang w:eastAsia="zh-CN"/>
              </w:rPr>
              <w:t>边角料</w:t>
            </w:r>
          </w:p>
        </w:tc>
        <w:tc>
          <w:tcPr>
            <w:tcW w:w="1275" w:type="dxa"/>
            <w:vAlign w:val="center"/>
          </w:tcPr>
          <w:p>
            <w:pPr>
              <w:spacing w:line="240" w:lineRule="exact"/>
              <w:jc w:val="center"/>
              <w:rPr>
                <w:rFonts w:hint="default" w:eastAsia="宋体"/>
                <w:lang w:val="en-US" w:eastAsia="zh-CN"/>
              </w:rPr>
            </w:pPr>
            <w:r>
              <w:rPr>
                <w:rFonts w:hint="eastAsia"/>
                <w:lang w:val="en-US" w:eastAsia="zh-CN"/>
              </w:rPr>
              <w:t>15</w:t>
            </w:r>
          </w:p>
        </w:tc>
        <w:tc>
          <w:tcPr>
            <w:tcW w:w="3735" w:type="dxa"/>
            <w:vMerge w:val="restart"/>
            <w:vAlign w:val="center"/>
          </w:tcPr>
          <w:p>
            <w:pPr>
              <w:spacing w:line="240" w:lineRule="exact"/>
              <w:jc w:val="center"/>
              <w:rPr>
                <w:rFonts w:hint="eastAsia" w:eastAsia="宋体"/>
                <w:lang w:eastAsia="zh-CN"/>
              </w:rPr>
            </w:pPr>
            <w:r>
              <w:rPr>
                <w:rFonts w:hint="eastAsia"/>
                <w:lang w:eastAsia="zh-CN"/>
              </w:rPr>
              <w:t>于厂区规范化一般固废暂存场所收集后资源外售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17" w:type="dxa"/>
            <w:vMerge w:val="continue"/>
            <w:vAlign w:val="center"/>
          </w:tcPr>
          <w:p>
            <w:pPr>
              <w:spacing w:line="240" w:lineRule="exact"/>
              <w:jc w:val="center"/>
            </w:pPr>
          </w:p>
        </w:tc>
        <w:tc>
          <w:tcPr>
            <w:tcW w:w="1134" w:type="dxa"/>
            <w:vMerge w:val="continue"/>
            <w:vAlign w:val="center"/>
          </w:tcPr>
          <w:p>
            <w:pPr>
              <w:spacing w:line="240" w:lineRule="exact"/>
              <w:jc w:val="center"/>
            </w:pPr>
          </w:p>
        </w:tc>
        <w:tc>
          <w:tcPr>
            <w:tcW w:w="1985" w:type="dxa"/>
            <w:vAlign w:val="center"/>
          </w:tcPr>
          <w:p>
            <w:pPr>
              <w:spacing w:line="240" w:lineRule="exact"/>
              <w:jc w:val="center"/>
              <w:rPr>
                <w:rFonts w:hint="eastAsia" w:eastAsia="宋体"/>
                <w:lang w:eastAsia="zh-CN"/>
              </w:rPr>
            </w:pPr>
            <w:r>
              <w:rPr>
                <w:rFonts w:hint="eastAsia"/>
                <w:lang w:eastAsia="zh-CN"/>
              </w:rPr>
              <w:t>不合格品</w:t>
            </w:r>
          </w:p>
        </w:tc>
        <w:tc>
          <w:tcPr>
            <w:tcW w:w="1275" w:type="dxa"/>
            <w:vAlign w:val="center"/>
          </w:tcPr>
          <w:p>
            <w:pPr>
              <w:spacing w:line="240" w:lineRule="exact"/>
              <w:jc w:val="center"/>
              <w:rPr>
                <w:rFonts w:hint="default" w:eastAsia="宋体"/>
                <w:lang w:val="en-US" w:eastAsia="zh-CN"/>
              </w:rPr>
            </w:pPr>
            <w:r>
              <w:rPr>
                <w:rFonts w:hint="eastAsia"/>
                <w:lang w:val="en-US" w:eastAsia="zh-CN"/>
              </w:rPr>
              <w:t>25</w:t>
            </w:r>
          </w:p>
        </w:tc>
        <w:tc>
          <w:tcPr>
            <w:tcW w:w="3735" w:type="dxa"/>
            <w:vMerge w:val="continue"/>
            <w:vAlign w:val="center"/>
          </w:tcPr>
          <w:p>
            <w:pPr>
              <w:spacing w:line="240" w:lineRule="exact"/>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2" w:hRule="exact"/>
          <w:jc w:val="center"/>
        </w:trPr>
        <w:tc>
          <w:tcPr>
            <w:tcW w:w="817" w:type="dxa"/>
            <w:vMerge w:val="continue"/>
            <w:vAlign w:val="center"/>
          </w:tcPr>
          <w:p>
            <w:pPr>
              <w:spacing w:line="240" w:lineRule="exact"/>
              <w:jc w:val="center"/>
            </w:pPr>
          </w:p>
        </w:tc>
        <w:tc>
          <w:tcPr>
            <w:tcW w:w="1134" w:type="dxa"/>
            <w:vMerge w:val="continue"/>
            <w:vAlign w:val="center"/>
          </w:tcPr>
          <w:p>
            <w:pPr>
              <w:spacing w:line="240" w:lineRule="exact"/>
              <w:jc w:val="center"/>
            </w:pPr>
          </w:p>
        </w:tc>
        <w:tc>
          <w:tcPr>
            <w:tcW w:w="1985" w:type="dxa"/>
            <w:vAlign w:val="center"/>
          </w:tcPr>
          <w:p>
            <w:pPr>
              <w:spacing w:line="240" w:lineRule="exact"/>
              <w:jc w:val="center"/>
              <w:rPr>
                <w:rFonts w:hint="eastAsia" w:eastAsia="宋体"/>
                <w:lang w:eastAsia="zh-CN"/>
              </w:rPr>
            </w:pPr>
            <w:r>
              <w:rPr>
                <w:rFonts w:hint="eastAsia"/>
                <w:lang w:eastAsia="zh-CN"/>
              </w:rPr>
              <w:t>废包装材料</w:t>
            </w:r>
          </w:p>
        </w:tc>
        <w:tc>
          <w:tcPr>
            <w:tcW w:w="1275" w:type="dxa"/>
            <w:vMerge w:val="restart"/>
            <w:vAlign w:val="center"/>
          </w:tcPr>
          <w:p>
            <w:pPr>
              <w:spacing w:line="240" w:lineRule="exact"/>
              <w:jc w:val="center"/>
              <w:rPr>
                <w:rFonts w:hint="eastAsia" w:eastAsia="宋体"/>
                <w:lang w:val="en-US" w:eastAsia="zh-CN"/>
              </w:rPr>
            </w:pPr>
            <w:r>
              <w:rPr>
                <w:rFonts w:hint="eastAsia"/>
                <w:lang w:val="en-US" w:eastAsia="zh-CN"/>
              </w:rPr>
              <w:t>1</w:t>
            </w:r>
          </w:p>
        </w:tc>
        <w:tc>
          <w:tcPr>
            <w:tcW w:w="3735" w:type="dxa"/>
            <w:vMerge w:val="continue"/>
            <w:vAlign w:val="center"/>
          </w:tcPr>
          <w:p>
            <w:pPr>
              <w:spacing w:line="240" w:lineRule="exact"/>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17" w:type="dxa"/>
            <w:vMerge w:val="restart"/>
            <w:vAlign w:val="center"/>
          </w:tcPr>
          <w:p>
            <w:pPr>
              <w:spacing w:line="240" w:lineRule="exact"/>
              <w:jc w:val="center"/>
              <w:rPr>
                <w:rFonts w:hint="eastAsia" w:eastAsia="宋体"/>
                <w:lang w:val="en-US" w:eastAsia="zh-CN"/>
              </w:rPr>
            </w:pPr>
            <w:r>
              <w:rPr>
                <w:rFonts w:hint="eastAsia"/>
                <w:lang w:val="en-US" w:eastAsia="zh-CN"/>
              </w:rPr>
              <w:t>2</w:t>
            </w:r>
          </w:p>
        </w:tc>
        <w:tc>
          <w:tcPr>
            <w:tcW w:w="1134" w:type="dxa"/>
            <w:vMerge w:val="restart"/>
            <w:vAlign w:val="center"/>
          </w:tcPr>
          <w:p>
            <w:pPr>
              <w:spacing w:line="240" w:lineRule="exact"/>
              <w:jc w:val="center"/>
            </w:pPr>
            <w:r>
              <w:t>污水</w:t>
            </w:r>
            <w:r>
              <w:rPr>
                <w:rFonts w:hint="eastAsia"/>
              </w:rPr>
              <w:t>处理</w:t>
            </w:r>
            <w:r>
              <w:t>站</w:t>
            </w:r>
          </w:p>
        </w:tc>
        <w:tc>
          <w:tcPr>
            <w:tcW w:w="1985" w:type="dxa"/>
            <w:vAlign w:val="center"/>
          </w:tcPr>
          <w:p>
            <w:pPr>
              <w:spacing w:line="240" w:lineRule="exact"/>
              <w:jc w:val="center"/>
            </w:pPr>
            <w:r>
              <w:t>污泥</w:t>
            </w:r>
          </w:p>
        </w:tc>
        <w:tc>
          <w:tcPr>
            <w:tcW w:w="1275" w:type="dxa"/>
            <w:vAlign w:val="center"/>
          </w:tcPr>
          <w:p>
            <w:pPr>
              <w:spacing w:line="240" w:lineRule="exact"/>
              <w:jc w:val="center"/>
              <w:rPr>
                <w:rFonts w:hint="default" w:eastAsia="宋体"/>
                <w:lang w:val="en-US" w:eastAsia="zh-CN"/>
              </w:rPr>
            </w:pPr>
            <w:r>
              <w:rPr>
                <w:rFonts w:hint="eastAsia"/>
                <w:lang w:val="en-US" w:eastAsia="zh-CN"/>
              </w:rPr>
              <w:t>2.43</w:t>
            </w:r>
          </w:p>
        </w:tc>
        <w:tc>
          <w:tcPr>
            <w:tcW w:w="3735" w:type="dxa"/>
            <w:vAlign w:val="center"/>
          </w:tcPr>
          <w:p>
            <w:pPr>
              <w:spacing w:line="240" w:lineRule="exact"/>
              <w:jc w:val="center"/>
            </w:pPr>
            <w:r>
              <w:t>脱水干化</w:t>
            </w:r>
            <w:r>
              <w:rPr>
                <w:rFonts w:hint="eastAsia"/>
              </w:rPr>
              <w:t>后外运处置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17" w:type="dxa"/>
            <w:vMerge w:val="continue"/>
            <w:vAlign w:val="center"/>
          </w:tcPr>
          <w:p>
            <w:pPr>
              <w:spacing w:line="240" w:lineRule="exact"/>
              <w:jc w:val="center"/>
            </w:pPr>
          </w:p>
        </w:tc>
        <w:tc>
          <w:tcPr>
            <w:tcW w:w="1134" w:type="dxa"/>
            <w:vMerge w:val="continue"/>
            <w:vAlign w:val="center"/>
          </w:tcPr>
          <w:p>
            <w:pPr>
              <w:spacing w:line="240" w:lineRule="exact"/>
              <w:jc w:val="center"/>
            </w:pPr>
          </w:p>
        </w:tc>
        <w:tc>
          <w:tcPr>
            <w:tcW w:w="1985" w:type="dxa"/>
            <w:vAlign w:val="center"/>
          </w:tcPr>
          <w:p>
            <w:pPr>
              <w:spacing w:line="240" w:lineRule="exact"/>
              <w:jc w:val="center"/>
            </w:pPr>
            <w:r>
              <w:rPr>
                <w:rFonts w:hint="eastAsia"/>
              </w:rPr>
              <w:t>栅渣</w:t>
            </w:r>
          </w:p>
        </w:tc>
        <w:tc>
          <w:tcPr>
            <w:tcW w:w="1275" w:type="dxa"/>
            <w:vAlign w:val="center"/>
          </w:tcPr>
          <w:p>
            <w:pPr>
              <w:spacing w:line="240" w:lineRule="exact"/>
              <w:jc w:val="center"/>
              <w:rPr>
                <w:rFonts w:hint="default" w:eastAsia="宋体"/>
                <w:lang w:val="en-US" w:eastAsia="zh-CN"/>
              </w:rPr>
            </w:pPr>
            <w:r>
              <w:rPr>
                <w:rFonts w:hint="eastAsia"/>
                <w:lang w:val="en-US" w:eastAsia="zh-CN"/>
              </w:rPr>
              <w:t>0.55</w:t>
            </w:r>
          </w:p>
        </w:tc>
        <w:tc>
          <w:tcPr>
            <w:tcW w:w="3735" w:type="dxa"/>
            <w:vAlign w:val="center"/>
          </w:tcPr>
          <w:p>
            <w:pPr>
              <w:spacing w:line="240" w:lineRule="exact"/>
              <w:jc w:val="center"/>
            </w:pPr>
            <w:r>
              <w:rPr>
                <w:rFonts w:hint="eastAsia"/>
              </w:rPr>
              <w:t>外运处置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7" w:hRule="exact"/>
          <w:jc w:val="center"/>
        </w:trPr>
        <w:tc>
          <w:tcPr>
            <w:tcW w:w="817" w:type="dxa"/>
            <w:vAlign w:val="center"/>
          </w:tcPr>
          <w:p>
            <w:pPr>
              <w:spacing w:line="240" w:lineRule="exact"/>
              <w:jc w:val="center"/>
              <w:rPr>
                <w:rFonts w:hint="eastAsia" w:eastAsia="宋体"/>
                <w:lang w:val="en-US" w:eastAsia="zh-CN"/>
              </w:rPr>
            </w:pPr>
            <w:r>
              <w:rPr>
                <w:rFonts w:hint="eastAsia"/>
                <w:lang w:val="en-US" w:eastAsia="zh-CN"/>
              </w:rPr>
              <w:t>3</w:t>
            </w:r>
          </w:p>
        </w:tc>
        <w:tc>
          <w:tcPr>
            <w:tcW w:w="1134" w:type="dxa"/>
            <w:vAlign w:val="center"/>
          </w:tcPr>
          <w:p>
            <w:pPr>
              <w:spacing w:line="240" w:lineRule="exact"/>
              <w:jc w:val="center"/>
            </w:pPr>
            <w:r>
              <w:t>企业职工</w:t>
            </w:r>
          </w:p>
        </w:tc>
        <w:tc>
          <w:tcPr>
            <w:tcW w:w="1985" w:type="dxa"/>
            <w:vAlign w:val="center"/>
          </w:tcPr>
          <w:p>
            <w:pPr>
              <w:spacing w:line="240" w:lineRule="exact"/>
              <w:jc w:val="center"/>
            </w:pPr>
            <w:r>
              <w:t>生活垃圾</w:t>
            </w:r>
          </w:p>
        </w:tc>
        <w:tc>
          <w:tcPr>
            <w:tcW w:w="1275" w:type="dxa"/>
            <w:vAlign w:val="center"/>
          </w:tcPr>
          <w:p>
            <w:pPr>
              <w:spacing w:line="240" w:lineRule="exact"/>
              <w:jc w:val="center"/>
              <w:rPr>
                <w:rFonts w:hint="default" w:eastAsia="宋体"/>
                <w:lang w:val="en-US" w:eastAsia="zh-CN"/>
              </w:rPr>
            </w:pPr>
            <w:r>
              <w:rPr>
                <w:rFonts w:hint="eastAsia"/>
                <w:lang w:val="en-US" w:eastAsia="zh-CN"/>
              </w:rPr>
              <w:t>90</w:t>
            </w:r>
          </w:p>
        </w:tc>
        <w:tc>
          <w:tcPr>
            <w:tcW w:w="3735" w:type="dxa"/>
            <w:vAlign w:val="center"/>
          </w:tcPr>
          <w:p>
            <w:pPr>
              <w:spacing w:line="240" w:lineRule="exact"/>
              <w:jc w:val="center"/>
            </w:pPr>
            <w:r>
              <w:t>环卫部门集中送至生活垃圾处理场处置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7" w:hRule="exact"/>
          <w:jc w:val="center"/>
        </w:trPr>
        <w:tc>
          <w:tcPr>
            <w:tcW w:w="817" w:type="dxa"/>
            <w:vAlign w:val="center"/>
          </w:tcPr>
          <w:p>
            <w:pPr>
              <w:spacing w:line="240" w:lineRule="exact"/>
              <w:jc w:val="center"/>
              <w:rPr>
                <w:rFonts w:hint="eastAsia" w:eastAsia="宋体"/>
                <w:lang w:val="en-US" w:eastAsia="zh-CN"/>
              </w:rPr>
            </w:pPr>
            <w:r>
              <w:rPr>
                <w:rFonts w:hint="eastAsia"/>
                <w:lang w:val="en-US" w:eastAsia="zh-CN"/>
              </w:rPr>
              <w:t>4</w:t>
            </w:r>
          </w:p>
        </w:tc>
        <w:tc>
          <w:tcPr>
            <w:tcW w:w="1134" w:type="dxa"/>
            <w:vAlign w:val="center"/>
          </w:tcPr>
          <w:p>
            <w:pPr>
              <w:spacing w:line="240" w:lineRule="exact"/>
              <w:jc w:val="center"/>
              <w:rPr>
                <w:rFonts w:hint="eastAsia" w:eastAsia="宋体"/>
                <w:lang w:eastAsia="zh-CN"/>
              </w:rPr>
            </w:pPr>
            <w:r>
              <w:rPr>
                <w:rFonts w:hint="eastAsia"/>
                <w:lang w:eastAsia="zh-CN"/>
              </w:rPr>
              <w:t>水洗</w:t>
            </w:r>
          </w:p>
        </w:tc>
        <w:tc>
          <w:tcPr>
            <w:tcW w:w="1985" w:type="dxa"/>
            <w:vAlign w:val="center"/>
          </w:tcPr>
          <w:p>
            <w:pPr>
              <w:spacing w:line="240" w:lineRule="exact"/>
              <w:jc w:val="center"/>
              <w:rPr>
                <w:rFonts w:hint="eastAsia" w:eastAsia="宋体"/>
                <w:lang w:eastAsia="zh-CN"/>
              </w:rPr>
            </w:pPr>
            <w:r>
              <w:rPr>
                <w:rFonts w:hint="eastAsia"/>
                <w:lang w:eastAsia="zh-CN"/>
              </w:rPr>
              <w:t>水洗添加剂空桶</w:t>
            </w:r>
          </w:p>
        </w:tc>
        <w:tc>
          <w:tcPr>
            <w:tcW w:w="1275" w:type="dxa"/>
            <w:vAlign w:val="center"/>
          </w:tcPr>
          <w:p>
            <w:pPr>
              <w:spacing w:line="240" w:lineRule="exact"/>
              <w:jc w:val="center"/>
              <w:rPr>
                <w:rFonts w:hint="default" w:eastAsia="宋体"/>
                <w:lang w:val="en-US" w:eastAsia="zh-CN"/>
              </w:rPr>
            </w:pPr>
            <w:r>
              <w:rPr>
                <w:rFonts w:hint="eastAsia"/>
                <w:lang w:val="en-US" w:eastAsia="zh-CN"/>
              </w:rPr>
              <w:t>0.2</w:t>
            </w:r>
          </w:p>
        </w:tc>
        <w:tc>
          <w:tcPr>
            <w:tcW w:w="3735" w:type="dxa"/>
            <w:vAlign w:val="center"/>
          </w:tcPr>
          <w:p>
            <w:pPr>
              <w:spacing w:line="240" w:lineRule="exact"/>
              <w:jc w:val="center"/>
              <w:rPr>
                <w:rFonts w:hint="eastAsia" w:eastAsia="宋体"/>
                <w:lang w:eastAsia="zh-CN"/>
              </w:rPr>
            </w:pPr>
            <w:r>
              <w:rPr>
                <w:rFonts w:hint="eastAsia"/>
                <w:lang w:eastAsia="zh-CN"/>
              </w:rPr>
              <w:t>在厂区暂存后由商家回收</w:t>
            </w:r>
          </w:p>
        </w:tc>
      </w:tr>
    </w:tbl>
    <w:p>
      <w:pPr>
        <w:rPr>
          <w:b/>
          <w:sz w:val="24"/>
          <w:szCs w:val="24"/>
        </w:rPr>
      </w:pPr>
      <w:r>
        <w:rPr>
          <w:b/>
          <w:sz w:val="24"/>
          <w:szCs w:val="24"/>
        </w:rPr>
        <w:t>2.3.4 噪声污染源强核算</w:t>
      </w:r>
    </w:p>
    <w:p>
      <w:pPr>
        <w:pStyle w:val="16"/>
        <w:ind w:firstLine="480" w:firstLineChars="200"/>
        <w:rPr>
          <w:sz w:val="24"/>
          <w:szCs w:val="24"/>
        </w:rPr>
      </w:pPr>
      <w:r>
        <w:rPr>
          <w:rFonts w:hint="eastAsia"/>
          <w:sz w:val="24"/>
          <w:szCs w:val="24"/>
        </w:rPr>
        <w:t>项目</w:t>
      </w:r>
      <w:r>
        <w:rPr>
          <w:sz w:val="24"/>
          <w:szCs w:val="24"/>
        </w:rPr>
        <w:t>噪声污染源主要包</w:t>
      </w:r>
      <w:r>
        <w:rPr>
          <w:sz w:val="24"/>
          <w:szCs w:val="24"/>
          <w:highlight w:val="none"/>
        </w:rPr>
        <w:t>括</w:t>
      </w:r>
      <w:r>
        <w:rPr>
          <w:rFonts w:hint="eastAsia"/>
          <w:sz w:val="24"/>
          <w:szCs w:val="24"/>
          <w:highlight w:val="none"/>
          <w:lang w:eastAsia="zh-CN"/>
        </w:rPr>
        <w:t>生产设备噪声、污水处理站水泵</w:t>
      </w:r>
      <w:r>
        <w:rPr>
          <w:sz w:val="24"/>
          <w:szCs w:val="24"/>
          <w:highlight w:val="none"/>
        </w:rPr>
        <w:t>、空压机产</w:t>
      </w:r>
      <w:r>
        <w:rPr>
          <w:sz w:val="24"/>
          <w:szCs w:val="24"/>
        </w:rPr>
        <w:t>生的噪声</w:t>
      </w:r>
      <w:r>
        <w:rPr>
          <w:rFonts w:hint="eastAsia"/>
          <w:sz w:val="24"/>
          <w:szCs w:val="24"/>
          <w:lang w:eastAsia="zh-CN"/>
        </w:rPr>
        <w:t>等</w:t>
      </w:r>
      <w:r>
        <w:rPr>
          <w:sz w:val="24"/>
          <w:szCs w:val="24"/>
        </w:rPr>
        <w:t>，具体分析如下：</w:t>
      </w:r>
    </w:p>
    <w:p>
      <w:pPr>
        <w:ind w:firstLine="480" w:firstLineChars="200"/>
        <w:rPr>
          <w:sz w:val="24"/>
          <w:szCs w:val="24"/>
        </w:rPr>
      </w:pPr>
      <w:r>
        <w:rPr>
          <w:sz w:val="24"/>
          <w:szCs w:val="24"/>
        </w:rPr>
        <w:t>◆ 空压机噪声</w:t>
      </w:r>
    </w:p>
    <w:p>
      <w:pPr>
        <w:ind w:firstLine="480" w:firstLineChars="200"/>
        <w:rPr>
          <w:sz w:val="24"/>
          <w:szCs w:val="24"/>
        </w:rPr>
      </w:pPr>
      <w:r>
        <w:rPr>
          <w:sz w:val="24"/>
          <w:szCs w:val="24"/>
        </w:rPr>
        <w:t>主要是进、排气空气动力性噪声最强，其次为机械性噪声和电磁噪声，其运转噪声较大，呈低频特性，其噪声值约为85－100dB</w:t>
      </w:r>
      <w:r>
        <w:rPr>
          <w:rFonts w:hint="eastAsia"/>
          <w:sz w:val="24"/>
          <w:szCs w:val="24"/>
        </w:rPr>
        <w:t>（</w:t>
      </w:r>
      <w:r>
        <w:rPr>
          <w:sz w:val="24"/>
          <w:szCs w:val="24"/>
        </w:rPr>
        <w:t>A</w:t>
      </w:r>
      <w:r>
        <w:rPr>
          <w:rFonts w:hint="eastAsia"/>
          <w:sz w:val="24"/>
          <w:szCs w:val="24"/>
        </w:rPr>
        <w:t>）</w:t>
      </w:r>
      <w:r>
        <w:rPr>
          <w:sz w:val="24"/>
          <w:szCs w:val="24"/>
        </w:rPr>
        <w:t>，对周围环境的危害较严重。</w:t>
      </w:r>
    </w:p>
    <w:p>
      <w:pPr>
        <w:ind w:firstLine="480" w:firstLineChars="200"/>
        <w:rPr>
          <w:sz w:val="24"/>
          <w:szCs w:val="24"/>
        </w:rPr>
      </w:pPr>
      <w:r>
        <w:rPr>
          <w:sz w:val="24"/>
          <w:szCs w:val="24"/>
        </w:rPr>
        <w:t>◆ 污水站</w:t>
      </w:r>
      <w:r>
        <w:rPr>
          <w:rFonts w:hint="eastAsia"/>
          <w:sz w:val="24"/>
          <w:szCs w:val="24"/>
        </w:rPr>
        <w:t>泵房</w:t>
      </w:r>
      <w:r>
        <w:rPr>
          <w:sz w:val="24"/>
          <w:szCs w:val="24"/>
        </w:rPr>
        <w:t>噪声</w:t>
      </w:r>
    </w:p>
    <w:p>
      <w:pPr>
        <w:ind w:firstLine="480" w:firstLineChars="200"/>
        <w:rPr>
          <w:sz w:val="24"/>
          <w:szCs w:val="24"/>
        </w:rPr>
      </w:pPr>
      <w:r>
        <w:rPr>
          <w:sz w:val="24"/>
          <w:szCs w:val="24"/>
        </w:rPr>
        <w:t>主要为空气动力性噪声、机械噪声和电机噪声，其噪声频谱呈中低频特性，噪声值约在90-100dB</w:t>
      </w:r>
      <w:r>
        <w:rPr>
          <w:rFonts w:hint="eastAsia"/>
          <w:sz w:val="24"/>
          <w:szCs w:val="24"/>
        </w:rPr>
        <w:t>（</w:t>
      </w:r>
      <w:r>
        <w:rPr>
          <w:sz w:val="24"/>
          <w:szCs w:val="24"/>
        </w:rPr>
        <w:t>A</w:t>
      </w:r>
      <w:r>
        <w:rPr>
          <w:rFonts w:hint="eastAsia"/>
          <w:sz w:val="24"/>
          <w:szCs w:val="24"/>
        </w:rPr>
        <w:t>）</w:t>
      </w:r>
      <w:r>
        <w:rPr>
          <w:sz w:val="24"/>
          <w:szCs w:val="24"/>
        </w:rPr>
        <w:t>。</w:t>
      </w:r>
    </w:p>
    <w:p>
      <w:pPr>
        <w:ind w:firstLine="480" w:firstLineChars="200"/>
        <w:rPr>
          <w:sz w:val="24"/>
          <w:szCs w:val="24"/>
          <w:highlight w:val="none"/>
        </w:rPr>
      </w:pPr>
      <w:r>
        <w:rPr>
          <w:sz w:val="24"/>
          <w:szCs w:val="24"/>
          <w:highlight w:val="none"/>
        </w:rPr>
        <w:t xml:space="preserve">◆ </w:t>
      </w:r>
      <w:r>
        <w:rPr>
          <w:rFonts w:hint="eastAsia"/>
          <w:sz w:val="24"/>
          <w:szCs w:val="24"/>
          <w:highlight w:val="none"/>
          <w:lang w:eastAsia="zh-CN"/>
        </w:rPr>
        <w:t>机械生产设备</w:t>
      </w:r>
      <w:r>
        <w:rPr>
          <w:sz w:val="24"/>
          <w:szCs w:val="24"/>
          <w:highlight w:val="none"/>
        </w:rPr>
        <w:t>噪声</w:t>
      </w:r>
    </w:p>
    <w:p>
      <w:pPr>
        <w:ind w:firstLine="480" w:firstLineChars="200"/>
        <w:rPr>
          <w:sz w:val="24"/>
          <w:szCs w:val="24"/>
          <w:highlight w:val="none"/>
        </w:rPr>
      </w:pPr>
      <w:r>
        <w:rPr>
          <w:rFonts w:hint="eastAsia"/>
          <w:sz w:val="24"/>
          <w:szCs w:val="24"/>
          <w:highlight w:val="none"/>
          <w:lang w:eastAsia="zh-CN"/>
        </w:rPr>
        <w:t>主要为各机械生产设备运行噪声，噪声值约</w:t>
      </w:r>
      <w:r>
        <w:rPr>
          <w:rFonts w:hint="eastAsia"/>
          <w:sz w:val="24"/>
          <w:szCs w:val="24"/>
          <w:highlight w:val="none"/>
          <w:lang w:val="en-US" w:eastAsia="zh-CN"/>
        </w:rPr>
        <w:t>70</w:t>
      </w:r>
      <w:r>
        <w:rPr>
          <w:sz w:val="24"/>
          <w:szCs w:val="24"/>
          <w:highlight w:val="none"/>
        </w:rPr>
        <w:t>－</w:t>
      </w:r>
      <w:r>
        <w:rPr>
          <w:rFonts w:hint="eastAsia"/>
          <w:sz w:val="24"/>
          <w:szCs w:val="24"/>
          <w:highlight w:val="none"/>
          <w:lang w:val="en-US" w:eastAsia="zh-CN"/>
        </w:rPr>
        <w:t>85</w:t>
      </w:r>
      <w:r>
        <w:rPr>
          <w:sz w:val="24"/>
          <w:szCs w:val="24"/>
          <w:highlight w:val="none"/>
        </w:rPr>
        <w:t>dB</w:t>
      </w:r>
      <w:r>
        <w:rPr>
          <w:rFonts w:hint="eastAsia"/>
          <w:sz w:val="24"/>
          <w:szCs w:val="24"/>
          <w:highlight w:val="none"/>
        </w:rPr>
        <w:t>（</w:t>
      </w:r>
      <w:r>
        <w:rPr>
          <w:sz w:val="24"/>
          <w:szCs w:val="24"/>
          <w:highlight w:val="none"/>
        </w:rPr>
        <w:t>A</w:t>
      </w:r>
      <w:r>
        <w:rPr>
          <w:rFonts w:hint="eastAsia"/>
          <w:sz w:val="24"/>
          <w:szCs w:val="24"/>
          <w:highlight w:val="none"/>
        </w:rPr>
        <w:t>）</w:t>
      </w:r>
      <w:r>
        <w:rPr>
          <w:sz w:val="24"/>
          <w:szCs w:val="24"/>
          <w:highlight w:val="none"/>
        </w:rPr>
        <w:t>。</w:t>
      </w:r>
    </w:p>
    <w:p>
      <w:pPr>
        <w:ind w:firstLine="470" w:firstLineChars="196"/>
        <w:rPr>
          <w:sz w:val="24"/>
          <w:szCs w:val="24"/>
        </w:rPr>
      </w:pPr>
      <w:r>
        <w:rPr>
          <w:sz w:val="24"/>
          <w:szCs w:val="24"/>
        </w:rPr>
        <w:t>综合上述分析，</w:t>
      </w:r>
      <w:r>
        <w:rPr>
          <w:rFonts w:hint="eastAsia"/>
          <w:sz w:val="24"/>
          <w:szCs w:val="24"/>
        </w:rPr>
        <w:t>项目</w:t>
      </w:r>
      <w:r>
        <w:rPr>
          <w:sz w:val="24"/>
          <w:szCs w:val="24"/>
        </w:rPr>
        <w:t>主要噪声源及其源强情况见表2</w:t>
      </w:r>
      <w:r>
        <w:rPr>
          <w:rFonts w:hint="eastAsia"/>
          <w:sz w:val="24"/>
          <w:szCs w:val="24"/>
          <w:lang w:val="en-US" w:eastAsia="zh-CN"/>
        </w:rPr>
        <w:t>.</w:t>
      </w:r>
      <w:r>
        <w:rPr>
          <w:rFonts w:hint="eastAsia"/>
          <w:sz w:val="24"/>
          <w:szCs w:val="24"/>
        </w:rPr>
        <w:t>3</w:t>
      </w:r>
      <w:r>
        <w:rPr>
          <w:sz w:val="24"/>
          <w:szCs w:val="24"/>
        </w:rPr>
        <w:t>-</w:t>
      </w:r>
      <w:r>
        <w:rPr>
          <w:rFonts w:hint="eastAsia"/>
          <w:sz w:val="24"/>
          <w:szCs w:val="24"/>
          <w:lang w:val="en-US" w:eastAsia="zh-CN"/>
        </w:rPr>
        <w:t>8</w:t>
      </w:r>
      <w:r>
        <w:rPr>
          <w:sz w:val="24"/>
          <w:szCs w:val="24"/>
        </w:rPr>
        <w:t>。</w:t>
      </w:r>
    </w:p>
    <w:p>
      <w:pPr>
        <w:pStyle w:val="54"/>
        <w:spacing w:before="0" w:after="0" w:line="240" w:lineRule="auto"/>
        <w:rPr>
          <w:rFonts w:ascii="Times New Roman" w:hAnsi="Times New Roman" w:eastAsia="宋体"/>
          <w:b/>
          <w:bCs/>
          <w:sz w:val="24"/>
          <w:szCs w:val="24"/>
        </w:rPr>
      </w:pPr>
      <w:r>
        <w:rPr>
          <w:rFonts w:ascii="Times New Roman" w:hAnsi="Times New Roman" w:eastAsia="宋体"/>
          <w:b/>
          <w:bCs/>
          <w:sz w:val="24"/>
          <w:szCs w:val="24"/>
        </w:rPr>
        <w:t>表2</w:t>
      </w:r>
      <w:r>
        <w:rPr>
          <w:rFonts w:hint="eastAsia" w:ascii="Times New Roman" w:hAnsi="Times New Roman" w:eastAsia="宋体"/>
          <w:b/>
          <w:bCs/>
          <w:sz w:val="24"/>
          <w:szCs w:val="24"/>
          <w:lang w:val="en-US" w:eastAsia="zh-CN"/>
        </w:rPr>
        <w:t>.</w:t>
      </w:r>
      <w:r>
        <w:rPr>
          <w:rFonts w:hint="eastAsia" w:ascii="Times New Roman" w:hAnsi="Times New Roman" w:eastAsia="宋体"/>
          <w:b/>
          <w:bCs/>
          <w:sz w:val="24"/>
          <w:szCs w:val="24"/>
        </w:rPr>
        <w:t>3</w:t>
      </w:r>
      <w:r>
        <w:rPr>
          <w:rFonts w:ascii="Times New Roman" w:hAnsi="Times New Roman" w:eastAsia="宋体"/>
          <w:b/>
          <w:bCs/>
          <w:sz w:val="24"/>
          <w:szCs w:val="24"/>
        </w:rPr>
        <w:t>-</w:t>
      </w:r>
      <w:r>
        <w:rPr>
          <w:rFonts w:hint="eastAsia" w:ascii="Times New Roman" w:hAnsi="Times New Roman" w:eastAsia="宋体"/>
          <w:b/>
          <w:bCs/>
          <w:sz w:val="24"/>
          <w:szCs w:val="24"/>
          <w:lang w:val="en-US" w:eastAsia="zh-CN"/>
        </w:rPr>
        <w:t>8</w:t>
      </w:r>
      <w:r>
        <w:rPr>
          <w:rFonts w:ascii="Times New Roman" w:hAnsi="Times New Roman" w:eastAsia="宋体"/>
          <w:b/>
          <w:bCs/>
          <w:sz w:val="24"/>
          <w:szCs w:val="24"/>
        </w:rPr>
        <w:t xml:space="preserve">   </w:t>
      </w:r>
      <w:r>
        <w:rPr>
          <w:rFonts w:hint="eastAsia" w:ascii="Times New Roman" w:hAnsi="Times New Roman" w:eastAsia="宋体"/>
          <w:b/>
          <w:bCs/>
          <w:sz w:val="24"/>
          <w:szCs w:val="24"/>
        </w:rPr>
        <w:t>项目</w:t>
      </w:r>
      <w:r>
        <w:rPr>
          <w:rFonts w:ascii="Times New Roman" w:hAnsi="Times New Roman" w:eastAsia="宋体"/>
          <w:b/>
          <w:bCs/>
          <w:sz w:val="24"/>
          <w:szCs w:val="24"/>
        </w:rPr>
        <w:t>噪声源及源强一览表   单位：dB</w:t>
      </w:r>
      <w:r>
        <w:rPr>
          <w:rFonts w:hint="eastAsia" w:ascii="Times New Roman" w:hAnsi="Times New Roman" w:eastAsia="宋体"/>
          <w:b/>
          <w:bCs/>
          <w:sz w:val="24"/>
          <w:szCs w:val="24"/>
        </w:rPr>
        <w:t>（</w:t>
      </w:r>
      <w:r>
        <w:rPr>
          <w:rFonts w:ascii="Times New Roman" w:hAnsi="Times New Roman" w:eastAsia="宋体"/>
          <w:b/>
          <w:bCs/>
          <w:sz w:val="24"/>
          <w:szCs w:val="24"/>
        </w:rPr>
        <w:t>A</w:t>
      </w:r>
      <w:r>
        <w:rPr>
          <w:rFonts w:hint="eastAsia" w:ascii="Times New Roman" w:hAnsi="Times New Roman" w:eastAsia="宋体"/>
          <w:b/>
          <w:bCs/>
          <w:sz w:val="24"/>
          <w:szCs w:val="24"/>
        </w:rPr>
        <w:t>）</w:t>
      </w:r>
    </w:p>
    <w:tbl>
      <w:tblPr>
        <w:tblStyle w:val="22"/>
        <w:tblW w:w="894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4615"/>
        <w:gridCol w:w="30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18" w:type="dxa"/>
            <w:vAlign w:val="center"/>
          </w:tcPr>
          <w:p>
            <w:pPr>
              <w:pStyle w:val="71"/>
              <w:spacing w:line="240" w:lineRule="auto"/>
              <w:rPr>
                <w:rFonts w:ascii="Times New Roman" w:eastAsia="宋体"/>
                <w:szCs w:val="21"/>
              </w:rPr>
            </w:pPr>
            <w:r>
              <w:rPr>
                <w:rFonts w:ascii="Times New Roman" w:eastAsia="宋体"/>
                <w:szCs w:val="21"/>
              </w:rPr>
              <w:t>序号</w:t>
            </w:r>
          </w:p>
        </w:tc>
        <w:tc>
          <w:tcPr>
            <w:tcW w:w="4615" w:type="dxa"/>
            <w:vAlign w:val="center"/>
          </w:tcPr>
          <w:p>
            <w:pPr>
              <w:pStyle w:val="71"/>
              <w:spacing w:line="240" w:lineRule="auto"/>
              <w:rPr>
                <w:rFonts w:ascii="Times New Roman" w:eastAsia="宋体"/>
                <w:szCs w:val="21"/>
              </w:rPr>
            </w:pPr>
            <w:r>
              <w:rPr>
                <w:rFonts w:ascii="Times New Roman" w:eastAsia="宋体"/>
                <w:szCs w:val="21"/>
              </w:rPr>
              <w:t>噪声源</w:t>
            </w:r>
          </w:p>
        </w:tc>
        <w:tc>
          <w:tcPr>
            <w:tcW w:w="3013" w:type="dxa"/>
            <w:vAlign w:val="center"/>
          </w:tcPr>
          <w:p>
            <w:pPr>
              <w:pStyle w:val="71"/>
              <w:spacing w:line="240" w:lineRule="auto"/>
              <w:rPr>
                <w:rFonts w:ascii="Times New Roman" w:eastAsia="宋体"/>
                <w:szCs w:val="21"/>
              </w:rPr>
            </w:pPr>
            <w:r>
              <w:rPr>
                <w:rFonts w:ascii="Times New Roman" w:eastAsia="宋体"/>
                <w:szCs w:val="21"/>
              </w:rPr>
              <w:t>源强值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18" w:type="dxa"/>
            <w:vAlign w:val="center"/>
          </w:tcPr>
          <w:p>
            <w:pPr>
              <w:pStyle w:val="71"/>
              <w:spacing w:line="240" w:lineRule="auto"/>
              <w:rPr>
                <w:rFonts w:hint="eastAsia" w:ascii="Times New Roman" w:eastAsia="宋体"/>
                <w:szCs w:val="21"/>
                <w:lang w:val="en-US" w:eastAsia="zh-CN"/>
              </w:rPr>
            </w:pPr>
            <w:r>
              <w:rPr>
                <w:rFonts w:hint="eastAsia" w:ascii="Times New Roman" w:eastAsia="宋体"/>
                <w:szCs w:val="21"/>
                <w:lang w:val="en-US" w:eastAsia="zh-CN"/>
              </w:rPr>
              <w:t>1</w:t>
            </w:r>
          </w:p>
        </w:tc>
        <w:tc>
          <w:tcPr>
            <w:tcW w:w="4615" w:type="dxa"/>
            <w:vAlign w:val="center"/>
          </w:tcPr>
          <w:p>
            <w:pPr>
              <w:pStyle w:val="71"/>
              <w:spacing w:line="240" w:lineRule="auto"/>
              <w:rPr>
                <w:rFonts w:ascii="Times New Roman" w:eastAsia="宋体"/>
                <w:szCs w:val="21"/>
              </w:rPr>
            </w:pPr>
            <w:r>
              <w:rPr>
                <w:rFonts w:ascii="Times New Roman" w:eastAsia="宋体"/>
                <w:szCs w:val="21"/>
              </w:rPr>
              <w:t>空压机</w:t>
            </w:r>
          </w:p>
        </w:tc>
        <w:tc>
          <w:tcPr>
            <w:tcW w:w="3013" w:type="dxa"/>
            <w:vAlign w:val="center"/>
          </w:tcPr>
          <w:p>
            <w:pPr>
              <w:pStyle w:val="71"/>
              <w:spacing w:line="240" w:lineRule="auto"/>
              <w:rPr>
                <w:rFonts w:ascii="Times New Roman" w:eastAsia="宋体"/>
                <w:szCs w:val="21"/>
              </w:rPr>
            </w:pPr>
            <w:r>
              <w:rPr>
                <w:rFonts w:ascii="Times New Roman" w:eastAsia="宋体"/>
                <w:szCs w:val="21"/>
              </w:rPr>
              <w:t>85－100dB</w:t>
            </w:r>
            <w:r>
              <w:rPr>
                <w:rFonts w:hint="eastAsia" w:ascii="Times New Roman" w:eastAsia="宋体"/>
                <w:szCs w:val="21"/>
              </w:rPr>
              <w:t>（</w:t>
            </w:r>
            <w:r>
              <w:rPr>
                <w:rFonts w:ascii="Times New Roman" w:eastAsia="宋体"/>
                <w:szCs w:val="21"/>
              </w:rPr>
              <w:t>A</w:t>
            </w:r>
            <w:r>
              <w:rPr>
                <w:rFonts w:hint="eastAsia" w:ascii="Times New Roman" w:eastAsia="宋体"/>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18" w:type="dxa"/>
            <w:vAlign w:val="center"/>
          </w:tcPr>
          <w:p>
            <w:pPr>
              <w:pStyle w:val="71"/>
              <w:spacing w:line="240" w:lineRule="auto"/>
              <w:rPr>
                <w:rFonts w:hint="eastAsia" w:ascii="Times New Roman" w:eastAsia="宋体"/>
                <w:szCs w:val="21"/>
                <w:lang w:val="en-US" w:eastAsia="zh-CN"/>
              </w:rPr>
            </w:pPr>
            <w:r>
              <w:rPr>
                <w:rFonts w:hint="eastAsia" w:ascii="Times New Roman" w:eastAsia="宋体"/>
                <w:szCs w:val="21"/>
                <w:lang w:val="en-US" w:eastAsia="zh-CN"/>
              </w:rPr>
              <w:t>2</w:t>
            </w:r>
          </w:p>
        </w:tc>
        <w:tc>
          <w:tcPr>
            <w:tcW w:w="4615" w:type="dxa"/>
            <w:vAlign w:val="center"/>
          </w:tcPr>
          <w:p>
            <w:pPr>
              <w:pStyle w:val="71"/>
              <w:spacing w:line="240" w:lineRule="auto"/>
              <w:rPr>
                <w:rFonts w:ascii="Times New Roman" w:eastAsia="宋体"/>
                <w:szCs w:val="21"/>
              </w:rPr>
            </w:pPr>
            <w:r>
              <w:rPr>
                <w:rFonts w:ascii="Times New Roman" w:eastAsia="宋体"/>
                <w:szCs w:val="21"/>
              </w:rPr>
              <w:t>泵房</w:t>
            </w:r>
          </w:p>
        </w:tc>
        <w:tc>
          <w:tcPr>
            <w:tcW w:w="3013" w:type="dxa"/>
            <w:vAlign w:val="center"/>
          </w:tcPr>
          <w:p>
            <w:pPr>
              <w:pStyle w:val="71"/>
              <w:spacing w:line="240" w:lineRule="auto"/>
              <w:rPr>
                <w:rFonts w:ascii="Times New Roman" w:eastAsia="宋体"/>
                <w:szCs w:val="21"/>
              </w:rPr>
            </w:pPr>
            <w:r>
              <w:rPr>
                <w:rFonts w:ascii="Times New Roman" w:eastAsia="宋体"/>
                <w:szCs w:val="21"/>
              </w:rPr>
              <w:t>70-75dB</w:t>
            </w:r>
            <w:r>
              <w:rPr>
                <w:rFonts w:hint="eastAsia" w:ascii="Times New Roman" w:eastAsia="宋体"/>
                <w:szCs w:val="21"/>
              </w:rPr>
              <w:t>（</w:t>
            </w:r>
            <w:r>
              <w:rPr>
                <w:rFonts w:ascii="Times New Roman" w:eastAsia="宋体"/>
                <w:szCs w:val="21"/>
              </w:rPr>
              <w:t>A</w:t>
            </w:r>
            <w:r>
              <w:rPr>
                <w:rFonts w:hint="eastAsia" w:ascii="Times New Roman" w:eastAsia="宋体"/>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18" w:type="dxa"/>
            <w:vAlign w:val="center"/>
          </w:tcPr>
          <w:p>
            <w:pPr>
              <w:pStyle w:val="71"/>
              <w:spacing w:line="240" w:lineRule="auto"/>
              <w:rPr>
                <w:rFonts w:hint="eastAsia" w:ascii="Times New Roman" w:eastAsia="宋体"/>
                <w:szCs w:val="21"/>
                <w:lang w:val="en-US" w:eastAsia="zh-CN"/>
              </w:rPr>
            </w:pPr>
            <w:r>
              <w:rPr>
                <w:rFonts w:hint="eastAsia" w:ascii="Times New Roman" w:eastAsia="宋体"/>
                <w:szCs w:val="21"/>
                <w:lang w:val="en-US" w:eastAsia="zh-CN"/>
              </w:rPr>
              <w:t>3</w:t>
            </w:r>
          </w:p>
        </w:tc>
        <w:tc>
          <w:tcPr>
            <w:tcW w:w="4615" w:type="dxa"/>
            <w:vAlign w:val="center"/>
          </w:tcPr>
          <w:p>
            <w:pPr>
              <w:pStyle w:val="71"/>
              <w:spacing w:line="240" w:lineRule="auto"/>
              <w:rPr>
                <w:rFonts w:hint="eastAsia" w:ascii="Times New Roman" w:eastAsia="宋体"/>
                <w:szCs w:val="21"/>
                <w:lang w:eastAsia="zh-CN"/>
              </w:rPr>
            </w:pPr>
            <w:r>
              <w:rPr>
                <w:rFonts w:hint="eastAsia" w:ascii="Times New Roman" w:eastAsia="宋体"/>
                <w:szCs w:val="21"/>
                <w:lang w:eastAsia="zh-CN"/>
              </w:rPr>
              <w:t>设备运行噪声</w:t>
            </w:r>
          </w:p>
        </w:tc>
        <w:tc>
          <w:tcPr>
            <w:tcW w:w="3013" w:type="dxa"/>
            <w:vAlign w:val="center"/>
          </w:tcPr>
          <w:p>
            <w:pPr>
              <w:pStyle w:val="71"/>
              <w:spacing w:line="240" w:lineRule="auto"/>
              <w:rPr>
                <w:rFonts w:ascii="Times New Roman" w:eastAsia="宋体"/>
                <w:szCs w:val="21"/>
              </w:rPr>
            </w:pPr>
            <w:r>
              <w:rPr>
                <w:rFonts w:hint="eastAsia" w:ascii="Times New Roman" w:eastAsia="宋体"/>
                <w:szCs w:val="21"/>
                <w:lang w:val="en-US" w:eastAsia="zh-CN"/>
              </w:rPr>
              <w:t>70-85</w:t>
            </w:r>
            <w:r>
              <w:rPr>
                <w:rFonts w:ascii="Times New Roman" w:eastAsia="宋体"/>
                <w:szCs w:val="21"/>
              </w:rPr>
              <w:t>dB</w:t>
            </w:r>
            <w:r>
              <w:rPr>
                <w:rFonts w:hint="eastAsia" w:ascii="Times New Roman" w:eastAsia="宋体"/>
                <w:szCs w:val="21"/>
              </w:rPr>
              <w:t>（</w:t>
            </w:r>
            <w:r>
              <w:rPr>
                <w:rFonts w:ascii="Times New Roman" w:eastAsia="宋体"/>
                <w:szCs w:val="21"/>
              </w:rPr>
              <w:t>A</w:t>
            </w:r>
            <w:r>
              <w:rPr>
                <w:rFonts w:hint="eastAsia" w:ascii="Times New Roman" w:eastAsia="宋体"/>
                <w:szCs w:val="21"/>
              </w:rPr>
              <w:t>）</w:t>
            </w:r>
          </w:p>
        </w:tc>
      </w:tr>
    </w:tbl>
    <w:p>
      <w:pPr>
        <w:rPr>
          <w:rFonts w:eastAsia="黑体"/>
          <w:sz w:val="36"/>
          <w:szCs w:val="36"/>
        </w:rPr>
      </w:pPr>
      <w:bookmarkStart w:id="167" w:name="_Toc532395315"/>
      <w:r>
        <w:rPr>
          <w:rFonts w:eastAsia="黑体"/>
          <w:sz w:val="36"/>
          <w:szCs w:val="36"/>
        </w:rPr>
        <w:br w:type="page"/>
      </w:r>
    </w:p>
    <w:p>
      <w:pPr>
        <w:pStyle w:val="5"/>
        <w:jc w:val="center"/>
        <w:rPr>
          <w:rFonts w:eastAsia="黑体"/>
          <w:sz w:val="36"/>
          <w:szCs w:val="36"/>
        </w:rPr>
      </w:pPr>
      <w:bookmarkStart w:id="168" w:name="_Toc12335_WPSOffice_Level1"/>
      <w:r>
        <w:rPr>
          <w:rFonts w:eastAsia="黑体"/>
          <w:sz w:val="36"/>
          <w:szCs w:val="36"/>
        </w:rPr>
        <w:t>第三章  环境现状调查与评价</w:t>
      </w:r>
      <w:bookmarkEnd w:id="167"/>
      <w:bookmarkEnd w:id="168"/>
    </w:p>
    <w:p>
      <w:pPr>
        <w:pStyle w:val="5"/>
        <w:pageBreakBefore w:val="0"/>
        <w:widowControl w:val="0"/>
        <w:kinsoku/>
        <w:wordWrap/>
        <w:overflowPunct/>
        <w:topLinePunct w:val="0"/>
        <w:autoSpaceDE/>
        <w:autoSpaceDN/>
        <w:bidi w:val="0"/>
        <w:spacing w:line="360" w:lineRule="auto"/>
        <w:ind w:left="0" w:right="0" w:firstLine="0" w:firstLineChars="0"/>
        <w:textAlignment w:val="auto"/>
        <w:rPr>
          <w:rFonts w:hint="default" w:ascii="Times New Roman" w:hAnsi="Times New Roman" w:eastAsia="宋体" w:cs="Times New Roman"/>
          <w:sz w:val="24"/>
          <w:szCs w:val="24"/>
        </w:rPr>
      </w:pPr>
      <w:bookmarkStart w:id="169" w:name="_Toc1914_WPSOffice_Level2"/>
      <w:bookmarkStart w:id="170" w:name="_Toc3960_WPSOffice_Level2"/>
      <w:bookmarkStart w:id="171" w:name="_Toc532395316"/>
      <w:bookmarkStart w:id="172" w:name="_Toc532395317"/>
      <w:r>
        <w:rPr>
          <w:rFonts w:hint="default" w:ascii="Times New Roman" w:hAnsi="Times New Roman" w:eastAsia="宋体" w:cs="Times New Roman"/>
          <w:sz w:val="24"/>
          <w:szCs w:val="24"/>
        </w:rPr>
        <w:t>3.1 自然环境现状调查与评价</w:t>
      </w:r>
      <w:bookmarkEnd w:id="169"/>
      <w:bookmarkEnd w:id="170"/>
      <w:bookmarkEnd w:id="171"/>
    </w:p>
    <w:p>
      <w:pPr>
        <w:pStyle w:val="40"/>
        <w:keepNext w:val="0"/>
        <w:keepLines w:val="0"/>
        <w:pageBreakBefore w:val="0"/>
        <w:widowControl w:val="0"/>
        <w:numPr>
          <w:ilvl w:val="0"/>
          <w:numId w:val="0"/>
        </w:numPr>
        <w:tabs>
          <w:tab w:val="left" w:pos="958"/>
          <w:tab w:val="left" w:pos="959"/>
        </w:tabs>
        <w:kinsoku/>
        <w:wordWrap/>
        <w:overflowPunct/>
        <w:topLinePunct w:val="0"/>
        <w:autoSpaceDE/>
        <w:autoSpaceDN/>
        <w:bidi w:val="0"/>
        <w:adjustRightInd/>
        <w:snapToGrid/>
        <w:spacing w:before="0" w:after="0" w:line="360" w:lineRule="auto"/>
        <w:ind w:left="0" w:leftChars="0" w:right="0" w:rightChars="0" w:firstLine="0" w:firstLineChars="0"/>
        <w:jc w:val="left"/>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val="en-US" w:eastAsia="zh-CN"/>
        </w:rPr>
        <w:t>3.1.1</w:t>
      </w:r>
      <w:r>
        <w:rPr>
          <w:rFonts w:hint="default" w:ascii="Times New Roman" w:hAnsi="Times New Roman" w:eastAsia="宋体" w:cs="Times New Roman"/>
          <w:b/>
          <w:sz w:val="24"/>
          <w:szCs w:val="24"/>
        </w:rPr>
        <w:t>地理位置</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六安市位于安徽省西部，大别</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pacing w:val="-5"/>
          <w:sz w:val="24"/>
          <w:szCs w:val="24"/>
        </w:rPr>
        <w:t>北麓。东邻省城合肥市和巢湖市；南接安庆市和湖北省英</w:t>
      </w:r>
      <w:r>
        <w:rPr>
          <w:rFonts w:hint="default" w:ascii="Times New Roman" w:hAnsi="Times New Roman" w:eastAsia="宋体" w:cs="Times New Roman"/>
          <w:spacing w:val="-5"/>
          <w:sz w:val="24"/>
          <w:szCs w:val="24"/>
          <w:lang w:eastAsia="zh-CN"/>
        </w:rPr>
        <w:t>山</w:t>
      </w:r>
      <w:r>
        <w:rPr>
          <w:rFonts w:hint="default" w:ascii="Times New Roman" w:hAnsi="Times New Roman" w:eastAsia="宋体" w:cs="Times New Roman"/>
          <w:spacing w:val="-15"/>
          <w:sz w:val="24"/>
          <w:szCs w:val="24"/>
        </w:rPr>
        <w:t>、罗田两县；西与河南省商城、固始毗连；北接淮南市并与阜阳市隔淮河相望。</w:t>
      </w:r>
      <w:r>
        <w:rPr>
          <w:rFonts w:hint="default" w:ascii="Times New Roman" w:hAnsi="Times New Roman" w:eastAsia="宋体" w:cs="Times New Roman"/>
          <w:spacing w:val="-5"/>
          <w:sz w:val="24"/>
          <w:szCs w:val="24"/>
        </w:rPr>
        <w:t xml:space="preserve">地理位置为东经 </w:t>
      </w:r>
      <w:r>
        <w:rPr>
          <w:rFonts w:hint="default" w:ascii="Times New Roman" w:hAnsi="Times New Roman" w:eastAsia="宋体" w:cs="Times New Roman"/>
          <w:sz w:val="24"/>
          <w:szCs w:val="24"/>
        </w:rPr>
        <w:t>115°20´~117°14´，</w:t>
      </w:r>
      <w:r>
        <w:rPr>
          <w:rFonts w:hint="default" w:ascii="Times New Roman" w:hAnsi="Times New Roman" w:eastAsia="宋体" w:cs="Times New Roman"/>
          <w:spacing w:val="-11"/>
          <w:sz w:val="24"/>
          <w:szCs w:val="24"/>
        </w:rPr>
        <w:t xml:space="preserve">北纬 </w:t>
      </w:r>
      <w:r>
        <w:rPr>
          <w:rFonts w:hint="default" w:ascii="Times New Roman" w:hAnsi="Times New Roman" w:eastAsia="宋体" w:cs="Times New Roman"/>
          <w:sz w:val="24"/>
          <w:szCs w:val="24"/>
        </w:rPr>
        <w:t>31°01´~32°40´。市区位于六安市中心地</w:t>
      </w:r>
      <w:r>
        <w:rPr>
          <w:rFonts w:hint="default" w:ascii="Times New Roman" w:hAnsi="Times New Roman" w:eastAsia="宋体" w:cs="Times New Roman"/>
          <w:spacing w:val="-3"/>
          <w:sz w:val="24"/>
          <w:szCs w:val="24"/>
        </w:rPr>
        <w:t xml:space="preserve">带，地理坐标为东经 </w:t>
      </w:r>
      <w:r>
        <w:rPr>
          <w:rFonts w:hint="default" w:ascii="Times New Roman" w:hAnsi="Times New Roman" w:eastAsia="宋体" w:cs="Times New Roman"/>
          <w:sz w:val="24"/>
          <w:szCs w:val="24"/>
        </w:rPr>
        <w:t>116°～16°59´，</w:t>
      </w:r>
      <w:r>
        <w:rPr>
          <w:rFonts w:hint="default" w:ascii="Times New Roman" w:hAnsi="Times New Roman" w:eastAsia="宋体" w:cs="Times New Roman"/>
          <w:spacing w:val="-8"/>
          <w:sz w:val="24"/>
          <w:szCs w:val="24"/>
        </w:rPr>
        <w:t xml:space="preserve">北纬 </w:t>
      </w:r>
      <w:r>
        <w:rPr>
          <w:rFonts w:hint="default" w:ascii="Times New Roman" w:hAnsi="Times New Roman" w:eastAsia="宋体" w:cs="Times New Roman"/>
          <w:sz w:val="24"/>
          <w:szCs w:val="24"/>
        </w:rPr>
        <w:t>31°16´～32°05´之间，是六安市政府所在地，也是皖西政治﹑经济﹑文化﹑交通中心。</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0" w:firstLineChars="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拟建项目地处六安市经济技术开发区，六安经济开发区位于六安市区东部，规划控</w:t>
      </w:r>
      <w:r>
        <w:rPr>
          <w:rFonts w:hint="default" w:ascii="Times New Roman" w:hAnsi="Times New Roman" w:eastAsia="宋体" w:cs="Times New Roman"/>
          <w:spacing w:val="-15"/>
          <w:sz w:val="24"/>
          <w:szCs w:val="24"/>
        </w:rPr>
        <w:t xml:space="preserve">制面积 </w:t>
      </w:r>
      <w:r>
        <w:rPr>
          <w:rFonts w:hint="default" w:ascii="Times New Roman" w:hAnsi="Times New Roman" w:eastAsia="宋体" w:cs="Times New Roman"/>
          <w:sz w:val="24"/>
          <w:szCs w:val="24"/>
        </w:rPr>
        <w:t>24.8</w:t>
      </w:r>
      <w:r>
        <w:rPr>
          <w:rFonts w:hint="default" w:ascii="Times New Roman" w:hAnsi="Times New Roman" w:eastAsia="宋体" w:cs="Times New Roman"/>
          <w:spacing w:val="-12"/>
          <w:sz w:val="24"/>
          <w:szCs w:val="24"/>
        </w:rPr>
        <w:t>平方公里，始建于</w:t>
      </w:r>
      <w:r>
        <w:rPr>
          <w:rFonts w:hint="default" w:ascii="Times New Roman" w:hAnsi="Times New Roman" w:eastAsia="宋体" w:cs="Times New Roman"/>
          <w:sz w:val="24"/>
          <w:szCs w:val="24"/>
        </w:rPr>
        <w:t>1992</w:t>
      </w:r>
      <w:r>
        <w:rPr>
          <w:rFonts w:hint="default" w:ascii="Times New Roman" w:hAnsi="Times New Roman" w:eastAsia="宋体" w:cs="Times New Roman"/>
          <w:spacing w:val="-30"/>
          <w:sz w:val="24"/>
          <w:szCs w:val="24"/>
        </w:rPr>
        <w:t xml:space="preserve">年 </w:t>
      </w:r>
      <w:r>
        <w:rPr>
          <w:rFonts w:hint="default" w:ascii="Times New Roman" w:hAnsi="Times New Roman" w:eastAsia="宋体" w:cs="Times New Roman"/>
          <w:sz w:val="24"/>
          <w:szCs w:val="24"/>
        </w:rPr>
        <w:t>7</w:t>
      </w:r>
      <w:r>
        <w:rPr>
          <w:rFonts w:hint="default" w:ascii="Times New Roman" w:hAnsi="Times New Roman" w:eastAsia="宋体" w:cs="Times New Roman"/>
          <w:spacing w:val="-3"/>
          <w:sz w:val="24"/>
          <w:szCs w:val="24"/>
        </w:rPr>
        <w:t>月，</w:t>
      </w:r>
      <w:r>
        <w:rPr>
          <w:rFonts w:hint="default" w:ascii="Times New Roman" w:hAnsi="Times New Roman" w:eastAsia="宋体" w:cs="Times New Roman"/>
          <w:spacing w:val="-5"/>
          <w:sz w:val="24"/>
          <w:szCs w:val="24"/>
        </w:rPr>
        <w:t>1993</w:t>
      </w:r>
      <w:r>
        <w:rPr>
          <w:rFonts w:hint="default" w:ascii="Times New Roman" w:hAnsi="Times New Roman" w:eastAsia="宋体" w:cs="Times New Roman"/>
          <w:spacing w:val="-30"/>
          <w:sz w:val="24"/>
          <w:szCs w:val="24"/>
        </w:rPr>
        <w:t xml:space="preserve">年 </w:t>
      </w:r>
      <w:r>
        <w:rPr>
          <w:rFonts w:hint="default" w:ascii="Times New Roman" w:hAnsi="Times New Roman" w:eastAsia="宋体" w:cs="Times New Roman"/>
          <w:sz w:val="24"/>
          <w:szCs w:val="24"/>
        </w:rPr>
        <w:t>5</w:t>
      </w:r>
      <w:r>
        <w:rPr>
          <w:rFonts w:hint="default" w:ascii="Times New Roman" w:hAnsi="Times New Roman" w:eastAsia="宋体" w:cs="Times New Roman"/>
          <w:spacing w:val="-2"/>
          <w:sz w:val="24"/>
          <w:szCs w:val="24"/>
        </w:rPr>
        <w:t>月被安徽省人民政府批准为省级</w:t>
      </w:r>
      <w:r>
        <w:rPr>
          <w:rFonts w:hint="default" w:ascii="Times New Roman" w:hAnsi="Times New Roman" w:eastAsia="宋体" w:cs="Times New Roman"/>
          <w:sz w:val="24"/>
          <w:szCs w:val="24"/>
        </w:rPr>
        <w:t>经济技术开发区。</w:t>
      </w:r>
    </w:p>
    <w:p>
      <w:pPr>
        <w:pStyle w:val="40"/>
        <w:keepNext w:val="0"/>
        <w:keepLines w:val="0"/>
        <w:pageBreakBefore w:val="0"/>
        <w:widowControl w:val="0"/>
        <w:numPr>
          <w:ilvl w:val="0"/>
          <w:numId w:val="0"/>
        </w:numPr>
        <w:tabs>
          <w:tab w:val="left" w:pos="779"/>
        </w:tabs>
        <w:kinsoku/>
        <w:wordWrap/>
        <w:overflowPunct/>
        <w:topLinePunct w:val="0"/>
        <w:autoSpaceDE/>
        <w:autoSpaceDN/>
        <w:bidi w:val="0"/>
        <w:adjustRightInd/>
        <w:snapToGrid/>
        <w:spacing w:before="0" w:after="0" w:line="360" w:lineRule="auto"/>
        <w:ind w:left="0" w:leftChars="0" w:right="0" w:rightChars="0" w:firstLine="0" w:firstLineChars="0"/>
        <w:jc w:val="left"/>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val="en-US" w:eastAsia="zh-CN"/>
        </w:rPr>
        <w:t>3.1.2</w:t>
      </w:r>
      <w:r>
        <w:rPr>
          <w:rFonts w:hint="default" w:ascii="Times New Roman" w:hAnsi="Times New Roman" w:eastAsia="宋体" w:cs="Times New Roman"/>
          <w:b/>
          <w:sz w:val="24"/>
          <w:szCs w:val="24"/>
        </w:rPr>
        <w:t>地形、地质、地貌</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六安市地处大别</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pacing w:val="-6"/>
          <w:sz w:val="24"/>
          <w:szCs w:val="24"/>
        </w:rPr>
        <w:t>北麓，由于支脉蔓延的结果，形成东南高西北低的地势，城东和</w:t>
      </w:r>
      <w:r>
        <w:rPr>
          <w:rFonts w:hint="default" w:ascii="Times New Roman" w:hAnsi="Times New Roman" w:eastAsia="宋体" w:cs="Times New Roman"/>
          <w:spacing w:val="-15"/>
          <w:sz w:val="24"/>
          <w:szCs w:val="24"/>
        </w:rPr>
        <w:t xml:space="preserve">城南均为复杂的风蚀丘陵区，最高海拔 </w:t>
      </w:r>
      <w:r>
        <w:rPr>
          <w:rFonts w:hint="default" w:ascii="Times New Roman" w:hAnsi="Times New Roman" w:eastAsia="宋体" w:cs="Times New Roman"/>
          <w:spacing w:val="-12"/>
          <w:sz w:val="24"/>
          <w:szCs w:val="24"/>
        </w:rPr>
        <w:t>104.3m（</w:t>
      </w:r>
      <w:r>
        <w:rPr>
          <w:rFonts w:hint="default" w:ascii="Times New Roman" w:hAnsi="Times New Roman" w:eastAsia="宋体" w:cs="Times New Roman"/>
          <w:spacing w:val="-10"/>
          <w:sz w:val="24"/>
          <w:szCs w:val="24"/>
        </w:rPr>
        <w:t>黄海高程系，以下同</w:t>
      </w:r>
      <w:r>
        <w:rPr>
          <w:rFonts w:hint="default" w:ascii="Times New Roman" w:hAnsi="Times New Roman" w:eastAsia="宋体" w:cs="Times New Roman"/>
          <w:spacing w:val="-86"/>
          <w:sz w:val="24"/>
          <w:szCs w:val="24"/>
        </w:rPr>
        <w:t>）</w:t>
      </w:r>
      <w:r>
        <w:rPr>
          <w:rFonts w:hint="default" w:ascii="Times New Roman" w:hAnsi="Times New Roman" w:eastAsia="宋体" w:cs="Times New Roman"/>
          <w:spacing w:val="-25"/>
          <w:sz w:val="24"/>
          <w:szCs w:val="24"/>
        </w:rPr>
        <w:t xml:space="preserve">，最低海拔 </w:t>
      </w:r>
      <w:r>
        <w:rPr>
          <w:rFonts w:hint="default" w:ascii="Times New Roman" w:hAnsi="Times New Roman" w:eastAsia="宋体" w:cs="Times New Roman"/>
          <w:sz w:val="24"/>
          <w:szCs w:val="24"/>
        </w:rPr>
        <w:t>35.0m</w:t>
      </w:r>
      <w:r>
        <w:rPr>
          <w:rFonts w:hint="default" w:ascii="Times New Roman" w:hAnsi="Times New Roman" w:eastAsia="宋体" w:cs="Times New Roman"/>
          <w:spacing w:val="-15"/>
          <w:sz w:val="24"/>
          <w:szCs w:val="24"/>
        </w:rPr>
        <w:t>。</w:t>
      </w:r>
      <w:r>
        <w:rPr>
          <w:rFonts w:hint="default" w:ascii="Times New Roman" w:hAnsi="Times New Roman" w:eastAsia="宋体" w:cs="Times New Roman"/>
          <w:sz w:val="24"/>
          <w:szCs w:val="24"/>
        </w:rPr>
        <w:t>城西﹑城北在淠河水蚀作用下形成广阔的冲积平原，地势平坦，城区一般海拔在40～60m。</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0" w:firstLineChars="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六安市属淮阳地质的边缘，位于淮阳</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pacing w:val="-3"/>
          <w:sz w:val="24"/>
          <w:szCs w:val="24"/>
        </w:rPr>
        <w:t>字型构造脊柱部位之东侧。市区为北东向的</w:t>
      </w:r>
      <w:r>
        <w:rPr>
          <w:rFonts w:hint="default" w:ascii="Times New Roman" w:hAnsi="Times New Roman" w:eastAsia="宋体" w:cs="Times New Roman"/>
          <w:spacing w:val="-12"/>
          <w:sz w:val="24"/>
          <w:szCs w:val="24"/>
        </w:rPr>
        <w:t xml:space="preserve">单斜构造，倾向北面，斜角 </w:t>
      </w:r>
      <w:r>
        <w:rPr>
          <w:rFonts w:hint="default" w:ascii="Times New Roman" w:hAnsi="Times New Roman" w:eastAsia="宋体" w:cs="Times New Roman"/>
          <w:spacing w:val="-4"/>
          <w:sz w:val="24"/>
          <w:szCs w:val="24"/>
        </w:rPr>
        <w:t>10°～15</w:t>
      </w:r>
      <w:r>
        <w:rPr>
          <w:rFonts w:hint="default" w:ascii="Times New Roman" w:hAnsi="Times New Roman" w:eastAsia="宋体" w:cs="Times New Roman"/>
          <w:spacing w:val="-7"/>
          <w:sz w:val="24"/>
          <w:szCs w:val="24"/>
        </w:rPr>
        <w:t>°，由东向西逐渐平缓。市内西北为河弯冲击挟砂</w:t>
      </w:r>
      <w:r>
        <w:rPr>
          <w:rFonts w:hint="default" w:ascii="Times New Roman" w:hAnsi="Times New Roman" w:eastAsia="宋体" w:cs="Times New Roman"/>
          <w:spacing w:val="-4"/>
          <w:sz w:val="24"/>
          <w:szCs w:val="24"/>
        </w:rPr>
        <w:t>土，中部为粉砂质粘土</w:t>
      </w:r>
      <w:r>
        <w:rPr>
          <w:rFonts w:hint="default" w:ascii="Times New Roman" w:hAnsi="Times New Roman" w:eastAsia="宋体" w:cs="Times New Roman"/>
          <w:sz w:val="24"/>
          <w:szCs w:val="24"/>
        </w:rPr>
        <w:t>﹑</w:t>
      </w:r>
      <w:r>
        <w:rPr>
          <w:rFonts w:hint="default" w:ascii="Times New Roman" w:hAnsi="Times New Roman" w:eastAsia="宋体" w:cs="Times New Roman"/>
          <w:spacing w:val="-4"/>
          <w:sz w:val="24"/>
          <w:szCs w:val="24"/>
        </w:rPr>
        <w:t>粘土砂砾，东南为红壤</w:t>
      </w:r>
      <w:r>
        <w:rPr>
          <w:rFonts w:hint="default" w:ascii="Times New Roman" w:hAnsi="Times New Roman" w:eastAsia="宋体" w:cs="Times New Roman"/>
          <w:sz w:val="24"/>
          <w:szCs w:val="24"/>
        </w:rPr>
        <w:t>﹑砂石﹑</w:t>
      </w:r>
      <w:r>
        <w:rPr>
          <w:rFonts w:hint="default" w:ascii="Times New Roman" w:hAnsi="Times New Roman" w:eastAsia="宋体" w:cs="Times New Roman"/>
          <w:spacing w:val="-5"/>
          <w:sz w:val="24"/>
          <w:szCs w:val="24"/>
        </w:rPr>
        <w:t>石灰石。表面土承载力一般为</w:t>
      </w:r>
      <w:r>
        <w:rPr>
          <w:rFonts w:hint="default" w:ascii="Times New Roman" w:hAnsi="Times New Roman" w:eastAsia="宋体" w:cs="Times New Roman"/>
          <w:sz w:val="24"/>
          <w:szCs w:val="24"/>
        </w:rPr>
        <w:t>1.5～2.0kg/cm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vertAlign w:val="baseline"/>
        </w:rPr>
        <w:t>。</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0" w:firstLineChars="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市境地貌较复杂。东南岗丘地势起伏不平，范围广，耕地少，林地比重大，仅小华</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z w:val="24"/>
          <w:szCs w:val="24"/>
        </w:rPr>
        <w:t>一带有成块草</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pacing w:val="-7"/>
          <w:sz w:val="24"/>
          <w:szCs w:val="24"/>
        </w:rPr>
        <w:t>。本项目建设场地属第四纪地貌型态江淮丘陵地貌单元。场地地形起</w:t>
      </w:r>
      <w:r>
        <w:rPr>
          <w:rFonts w:hint="default" w:ascii="Times New Roman" w:hAnsi="Times New Roman" w:eastAsia="宋体" w:cs="Times New Roman"/>
          <w:spacing w:val="-3"/>
          <w:sz w:val="24"/>
          <w:szCs w:val="24"/>
        </w:rPr>
        <w:t>伏不大，整体地势平坦，西南略低、西北略高，最大高差</w:t>
      </w:r>
      <w:r>
        <w:rPr>
          <w:rFonts w:hint="default" w:ascii="Times New Roman" w:hAnsi="Times New Roman" w:eastAsia="宋体" w:cs="Times New Roman"/>
          <w:sz w:val="24"/>
          <w:szCs w:val="24"/>
        </w:rPr>
        <w:t>3.5米。</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地质：市境属于扬子地层区、大别</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z w:val="24"/>
          <w:szCs w:val="24"/>
        </w:rPr>
        <w:t>地层区、六安地层小区，岩性单一。除在淠河</w:t>
      </w:r>
      <w:r>
        <w:rPr>
          <w:rFonts w:hint="default" w:ascii="Times New Roman" w:hAnsi="Times New Roman" w:eastAsia="宋体" w:cs="Times New Roman"/>
          <w:spacing w:val="-4"/>
          <w:sz w:val="24"/>
          <w:szCs w:val="24"/>
        </w:rPr>
        <w:t>沿岸沉积有全新统</w:t>
      </w:r>
      <w:r>
        <w:rPr>
          <w:rFonts w:hint="default" w:ascii="Times New Roman" w:hAnsi="Times New Roman" w:eastAsia="宋体" w:cs="Times New Roman"/>
          <w:spacing w:val="-7"/>
          <w:sz w:val="24"/>
          <w:szCs w:val="24"/>
        </w:rPr>
        <w:t>（Q4）黄色砂土、砂砾等河漫滩相地层外，大部分均被第四系土更新</w:t>
      </w:r>
      <w:r>
        <w:rPr>
          <w:rFonts w:hint="default" w:ascii="Times New Roman" w:hAnsi="Times New Roman" w:eastAsia="宋体" w:cs="Times New Roman"/>
          <w:spacing w:val="-34"/>
          <w:sz w:val="24"/>
          <w:szCs w:val="24"/>
        </w:rPr>
        <w:t>统</w:t>
      </w:r>
      <w:r>
        <w:rPr>
          <w:rFonts w:hint="default" w:ascii="Times New Roman" w:hAnsi="Times New Roman" w:eastAsia="宋体" w:cs="Times New Roman"/>
          <w:spacing w:val="-9"/>
          <w:sz w:val="24"/>
          <w:szCs w:val="24"/>
        </w:rPr>
        <w:t>（Q3）</w:t>
      </w:r>
      <w:r>
        <w:rPr>
          <w:rFonts w:hint="default" w:ascii="Times New Roman" w:hAnsi="Times New Roman" w:eastAsia="宋体" w:cs="Times New Roman"/>
          <w:spacing w:val="-5"/>
          <w:sz w:val="24"/>
          <w:szCs w:val="24"/>
        </w:rPr>
        <w:t>松散沉积物覆盖，主要岩性是土黄色含铁锰质结核粉质粘土与浅红色粉质粘土层。</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构造：市境处于合肥—六安凹陷构造单元的南西边缘地带。距市中心南方十多公里</w:t>
      </w:r>
      <w:r>
        <w:rPr>
          <w:rFonts w:hint="default" w:ascii="Times New Roman" w:hAnsi="Times New Roman" w:eastAsia="宋体" w:cs="Times New Roman"/>
          <w:spacing w:val="-2"/>
          <w:sz w:val="24"/>
          <w:szCs w:val="24"/>
        </w:rPr>
        <w:t>处有一条纵贯东西的肥西</w:t>
      </w:r>
      <w:r>
        <w:rPr>
          <w:rFonts w:hint="default" w:ascii="Times New Roman" w:hAnsi="Times New Roman" w:eastAsia="宋体" w:cs="Times New Roman"/>
          <w:sz w:val="24"/>
          <w:szCs w:val="24"/>
        </w:rPr>
        <w:t>（防虎</w:t>
      </w:r>
      <w:r>
        <w:rPr>
          <w:rFonts w:hint="default" w:ascii="Times New Roman" w:hAnsi="Times New Roman" w:eastAsia="宋体" w:cs="Times New Roman"/>
          <w:spacing w:val="-5"/>
          <w:sz w:val="24"/>
          <w:szCs w:val="24"/>
          <w:lang w:eastAsia="zh-CN"/>
        </w:rPr>
        <w:t>山</w:t>
      </w:r>
      <w:r>
        <w:rPr>
          <w:rFonts w:hint="default" w:ascii="Times New Roman" w:hAnsi="Times New Roman" w:eastAsia="宋体" w:cs="Times New Roman"/>
          <w:spacing w:val="-5"/>
          <w:sz w:val="24"/>
          <w:szCs w:val="24"/>
        </w:rPr>
        <w:t>）</w:t>
      </w:r>
      <w:r>
        <w:rPr>
          <w:rFonts w:hint="default" w:ascii="Times New Roman" w:hAnsi="Times New Roman" w:eastAsia="宋体" w:cs="Times New Roman"/>
          <w:spacing w:val="-7"/>
          <w:sz w:val="24"/>
          <w:szCs w:val="24"/>
        </w:rPr>
        <w:t>—原六安县韩摆渡深断裂带，断面倾角大于</w:t>
      </w:r>
      <w:r>
        <w:rPr>
          <w:rFonts w:hint="default" w:ascii="Times New Roman" w:hAnsi="Times New Roman" w:eastAsia="宋体" w:cs="Times New Roman"/>
          <w:sz w:val="24"/>
          <w:szCs w:val="24"/>
        </w:rPr>
        <w:t>80</w:t>
      </w:r>
      <w:r>
        <w:rPr>
          <w:rFonts w:hint="default" w:ascii="Times New Roman" w:hAnsi="Times New Roman" w:eastAsia="宋体" w:cs="Times New Roman"/>
          <w:spacing w:val="-9"/>
          <w:sz w:val="24"/>
          <w:szCs w:val="24"/>
        </w:rPr>
        <w:t>度，</w:t>
      </w:r>
      <w:r>
        <w:rPr>
          <w:rFonts w:hint="default" w:ascii="Times New Roman" w:hAnsi="Times New Roman" w:eastAsia="宋体" w:cs="Times New Roman"/>
          <w:sz w:val="24"/>
          <w:szCs w:val="24"/>
        </w:rPr>
        <w:t>落差3至4公里。在市区十里铺、望城岗和五里塘附近有一条呈北东向的正断层。肥西（防虎</w:t>
      </w:r>
      <w:r>
        <w:rPr>
          <w:rFonts w:hint="default" w:ascii="Times New Roman" w:hAnsi="Times New Roman" w:eastAsia="宋体" w:cs="Times New Roman"/>
          <w:spacing w:val="-5"/>
          <w:sz w:val="24"/>
          <w:szCs w:val="24"/>
          <w:lang w:eastAsia="zh-CN"/>
        </w:rPr>
        <w:t>山</w:t>
      </w:r>
      <w:r>
        <w:rPr>
          <w:rFonts w:hint="default" w:ascii="Times New Roman" w:hAnsi="Times New Roman" w:eastAsia="宋体" w:cs="Times New Roman"/>
          <w:spacing w:val="-5"/>
          <w:sz w:val="24"/>
          <w:szCs w:val="24"/>
        </w:rPr>
        <w:t>）</w:t>
      </w:r>
      <w:r>
        <w:rPr>
          <w:rFonts w:hint="default" w:ascii="Times New Roman" w:hAnsi="Times New Roman" w:eastAsia="宋体" w:cs="Times New Roman"/>
          <w:spacing w:val="-6"/>
          <w:sz w:val="24"/>
          <w:szCs w:val="24"/>
        </w:rPr>
        <w:t>—韩摆渡灿裂形成扬子期，具有多次活动的特征。位于该断裂上的原六安县</w:t>
      </w:r>
      <w:r>
        <w:rPr>
          <w:rFonts w:hint="default" w:ascii="Times New Roman" w:hAnsi="Times New Roman" w:eastAsia="宋体" w:cs="Times New Roman"/>
          <w:spacing w:val="-4"/>
          <w:sz w:val="24"/>
          <w:szCs w:val="24"/>
        </w:rPr>
        <w:t>杨公庙地带，距市中心仅有</w:t>
      </w:r>
      <w:r>
        <w:rPr>
          <w:rFonts w:hint="default" w:ascii="Times New Roman" w:hAnsi="Times New Roman" w:eastAsia="宋体" w:cs="Times New Roman"/>
          <w:sz w:val="24"/>
          <w:szCs w:val="24"/>
        </w:rPr>
        <w:t>15</w:t>
      </w:r>
      <w:r>
        <w:rPr>
          <w:rFonts w:hint="default" w:ascii="Times New Roman" w:hAnsi="Times New Roman" w:eastAsia="宋体" w:cs="Times New Roman"/>
          <w:spacing w:val="-11"/>
          <w:sz w:val="24"/>
          <w:szCs w:val="24"/>
        </w:rPr>
        <w:t xml:space="preserve">公里，在 </w:t>
      </w:r>
      <w:r>
        <w:rPr>
          <w:rFonts w:hint="default" w:ascii="Times New Roman" w:hAnsi="Times New Roman" w:eastAsia="宋体" w:cs="Times New Roman"/>
          <w:sz w:val="24"/>
          <w:szCs w:val="24"/>
        </w:rPr>
        <w:t>1976</w:t>
      </w:r>
      <w:r>
        <w:rPr>
          <w:rFonts w:hint="default" w:ascii="Times New Roman" w:hAnsi="Times New Roman" w:eastAsia="宋体" w:cs="Times New Roman"/>
          <w:spacing w:val="-17"/>
          <w:sz w:val="24"/>
          <w:szCs w:val="24"/>
        </w:rPr>
        <w:t xml:space="preserve">年至 </w:t>
      </w:r>
      <w:r>
        <w:rPr>
          <w:rFonts w:hint="default" w:ascii="Times New Roman" w:hAnsi="Times New Roman" w:eastAsia="宋体" w:cs="Times New Roman"/>
          <w:sz w:val="24"/>
          <w:szCs w:val="24"/>
        </w:rPr>
        <w:t>1985</w:t>
      </w:r>
      <w:r>
        <w:rPr>
          <w:rFonts w:hint="default" w:ascii="Times New Roman" w:hAnsi="Times New Roman" w:eastAsia="宋体" w:cs="Times New Roman"/>
          <w:spacing w:val="-6"/>
          <w:sz w:val="24"/>
          <w:szCs w:val="24"/>
        </w:rPr>
        <w:t>年近十年中已发生地震</w:t>
      </w:r>
      <w:r>
        <w:rPr>
          <w:rFonts w:hint="default" w:ascii="Times New Roman" w:hAnsi="Times New Roman" w:eastAsia="宋体" w:cs="Times New Roman"/>
          <w:sz w:val="24"/>
          <w:szCs w:val="24"/>
        </w:rPr>
        <w:t>4</w:t>
      </w:r>
      <w:r>
        <w:rPr>
          <w:rFonts w:hint="default" w:ascii="Times New Roman" w:hAnsi="Times New Roman" w:eastAsia="宋体" w:cs="Times New Roman"/>
          <w:spacing w:val="-6"/>
          <w:sz w:val="24"/>
          <w:szCs w:val="24"/>
        </w:rPr>
        <w:t>次。</w:t>
      </w:r>
      <w:r>
        <w:rPr>
          <w:rFonts w:hint="default" w:ascii="Times New Roman" w:hAnsi="Times New Roman" w:eastAsia="宋体" w:cs="Times New Roman"/>
          <w:sz w:val="24"/>
          <w:szCs w:val="24"/>
        </w:rPr>
        <w:t>因此，本市具有受邻近地区地震波及的背景。市区地震设防烈度为七级。</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工程地质：市境范围内的工程地质条件简单，按照沉积物岩性大致可以分为四区。</w:t>
      </w:r>
      <w:r>
        <w:rPr>
          <w:rFonts w:hint="default" w:ascii="Times New Roman" w:hAnsi="Times New Roman" w:eastAsia="宋体" w:cs="Times New Roman"/>
          <w:spacing w:val="-3"/>
          <w:sz w:val="24"/>
          <w:szCs w:val="24"/>
        </w:rPr>
        <w:t>本项目区属粉质粘土区，黄色粉质粘土厚度一般在</w:t>
      </w:r>
      <w:r>
        <w:rPr>
          <w:rFonts w:hint="default" w:ascii="Times New Roman" w:hAnsi="Times New Roman" w:eastAsia="宋体" w:cs="Times New Roman"/>
          <w:sz w:val="24"/>
          <w:szCs w:val="24"/>
        </w:rPr>
        <w:t>10</w:t>
      </w:r>
      <w:r>
        <w:rPr>
          <w:rFonts w:hint="default" w:ascii="Times New Roman" w:hAnsi="Times New Roman" w:eastAsia="宋体" w:cs="Times New Roman"/>
          <w:spacing w:val="-6"/>
          <w:sz w:val="24"/>
          <w:szCs w:val="24"/>
        </w:rPr>
        <w:t>米左右，其容许承载力为</w:t>
      </w:r>
      <w:r>
        <w:rPr>
          <w:rFonts w:hint="default" w:ascii="Times New Roman" w:hAnsi="Times New Roman" w:eastAsia="宋体" w:cs="Times New Roman"/>
          <w:spacing w:val="-3"/>
          <w:sz w:val="24"/>
          <w:szCs w:val="24"/>
        </w:rPr>
        <w:t>20－25</w:t>
      </w:r>
      <w:r>
        <w:rPr>
          <w:rFonts w:hint="default" w:ascii="Times New Roman" w:hAnsi="Times New Roman" w:eastAsia="宋体" w:cs="Times New Roman"/>
          <w:sz w:val="24"/>
          <w:szCs w:val="24"/>
        </w:rPr>
        <w:t>吨/</w:t>
      </w:r>
      <w:r>
        <w:rPr>
          <w:rFonts w:hint="default" w:ascii="Times New Roman" w:hAnsi="Times New Roman" w:eastAsia="宋体" w:cs="Times New Roman"/>
          <w:spacing w:val="-11"/>
          <w:sz w:val="24"/>
          <w:szCs w:val="24"/>
        </w:rPr>
        <w:t>平方米，是城镇建设的良好地带；但须注意本层粘土具微弱膨缩性。本项目建设场地</w:t>
      </w:r>
      <w:r>
        <w:rPr>
          <w:rFonts w:hint="default" w:ascii="Times New Roman" w:hAnsi="Times New Roman" w:eastAsia="宋体" w:cs="Times New Roman"/>
          <w:spacing w:val="3"/>
          <w:sz w:val="24"/>
          <w:szCs w:val="24"/>
        </w:rPr>
        <w:t>依据综合分析钻探报告，建设场地的地层层序自上而下可分为：第一层杂填土，厚度0.3～5.7</w:t>
      </w:r>
      <w:r>
        <w:rPr>
          <w:rFonts w:hint="default" w:ascii="Times New Roman" w:hAnsi="Times New Roman" w:eastAsia="宋体" w:cs="Times New Roman"/>
          <w:spacing w:val="-14"/>
          <w:sz w:val="24"/>
          <w:szCs w:val="24"/>
        </w:rPr>
        <w:t xml:space="preserve">米；第二层粉质粘土，局部分布，厚度 </w:t>
      </w:r>
      <w:r>
        <w:rPr>
          <w:rFonts w:hint="default" w:ascii="Times New Roman" w:hAnsi="Times New Roman" w:eastAsia="宋体" w:cs="Times New Roman"/>
          <w:sz w:val="24"/>
          <w:szCs w:val="24"/>
        </w:rPr>
        <w:t>0.4～8.6</w:t>
      </w:r>
      <w:r>
        <w:rPr>
          <w:rFonts w:hint="default" w:ascii="Times New Roman" w:hAnsi="Times New Roman" w:eastAsia="宋体" w:cs="Times New Roman"/>
          <w:spacing w:val="-14"/>
          <w:sz w:val="24"/>
          <w:szCs w:val="24"/>
        </w:rPr>
        <w:t xml:space="preserve">米；第三层粘土，厚度 </w:t>
      </w:r>
      <w:r>
        <w:rPr>
          <w:rFonts w:hint="default" w:ascii="Times New Roman" w:hAnsi="Times New Roman" w:eastAsia="宋体" w:cs="Times New Roman"/>
          <w:sz w:val="24"/>
          <w:szCs w:val="24"/>
        </w:rPr>
        <w:t>0.4～9.1</w:t>
      </w:r>
      <w:r>
        <w:rPr>
          <w:rFonts w:hint="default" w:ascii="Times New Roman" w:hAnsi="Times New Roman" w:eastAsia="宋体" w:cs="Times New Roman"/>
          <w:spacing w:val="-7"/>
          <w:sz w:val="24"/>
          <w:szCs w:val="24"/>
        </w:rPr>
        <w:t xml:space="preserve">米；第四层粉质粘土混碎石，局部分布第三层粘土下部，厚度 </w:t>
      </w:r>
      <w:r>
        <w:rPr>
          <w:rFonts w:hint="default" w:ascii="Times New Roman" w:hAnsi="Times New Roman" w:eastAsia="宋体" w:cs="Times New Roman"/>
          <w:sz w:val="24"/>
          <w:szCs w:val="24"/>
        </w:rPr>
        <w:t>0.6～2.4</w:t>
      </w:r>
      <w:r>
        <w:rPr>
          <w:rFonts w:hint="default" w:ascii="Times New Roman" w:hAnsi="Times New Roman" w:eastAsia="宋体" w:cs="Times New Roman"/>
          <w:spacing w:val="-5"/>
          <w:sz w:val="24"/>
          <w:szCs w:val="24"/>
        </w:rPr>
        <w:t>米；第五层强风</w:t>
      </w:r>
      <w:r>
        <w:rPr>
          <w:rFonts w:hint="default" w:ascii="Times New Roman" w:hAnsi="Times New Roman" w:eastAsia="宋体" w:cs="Times New Roman"/>
          <w:spacing w:val="-9"/>
          <w:sz w:val="24"/>
          <w:szCs w:val="24"/>
        </w:rPr>
        <w:t xml:space="preserve">化砂岩，厚度 </w:t>
      </w:r>
      <w:r>
        <w:rPr>
          <w:rFonts w:hint="default" w:ascii="Times New Roman" w:hAnsi="Times New Roman" w:eastAsia="宋体" w:cs="Times New Roman"/>
          <w:sz w:val="24"/>
          <w:szCs w:val="24"/>
        </w:rPr>
        <w:t>0.3～3.7米；第六层中风化泥质砂岩。</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水文地质：主要是粉砂质粘壤和砂砾堆积层的孔隙渗透水和粘土裂隙水。市境西北部埋藏深度一般在3至10米，东南部一般在28至35米，依赖降水和地表水补充。</w:t>
      </w:r>
    </w:p>
    <w:p>
      <w:pPr>
        <w:pStyle w:val="40"/>
        <w:keepNext w:val="0"/>
        <w:keepLines w:val="0"/>
        <w:pageBreakBefore w:val="0"/>
        <w:widowControl w:val="0"/>
        <w:numPr>
          <w:ilvl w:val="0"/>
          <w:numId w:val="0"/>
        </w:numPr>
        <w:tabs>
          <w:tab w:val="left" w:pos="779"/>
        </w:tabs>
        <w:kinsoku/>
        <w:wordWrap/>
        <w:overflowPunct/>
        <w:topLinePunct w:val="0"/>
        <w:autoSpaceDE/>
        <w:autoSpaceDN/>
        <w:bidi w:val="0"/>
        <w:adjustRightInd/>
        <w:snapToGrid/>
        <w:spacing w:before="0" w:after="0" w:line="360" w:lineRule="auto"/>
        <w:ind w:left="0" w:leftChars="0" w:right="0" w:rightChars="0" w:firstLine="0" w:firstLineChars="0"/>
        <w:jc w:val="left"/>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val="en-US" w:eastAsia="zh-CN"/>
        </w:rPr>
        <w:t>3.1.3</w:t>
      </w:r>
      <w:r>
        <w:rPr>
          <w:rFonts w:hint="default" w:ascii="Times New Roman" w:hAnsi="Times New Roman" w:eastAsia="宋体" w:cs="Times New Roman"/>
          <w:b/>
          <w:sz w:val="24"/>
          <w:szCs w:val="24"/>
        </w:rPr>
        <w:t>气候、气象</w:t>
      </w:r>
    </w:p>
    <w:p>
      <w:pPr>
        <w:pStyle w:val="40"/>
        <w:keepNext w:val="0"/>
        <w:keepLines w:val="0"/>
        <w:pageBreakBefore w:val="0"/>
        <w:widowControl w:val="0"/>
        <w:numPr>
          <w:ilvl w:val="0"/>
          <w:numId w:val="0"/>
        </w:numPr>
        <w:tabs>
          <w:tab w:val="left" w:pos="1320"/>
        </w:tabs>
        <w:kinsoku/>
        <w:wordWrap/>
        <w:overflowPunct/>
        <w:topLinePunct w:val="0"/>
        <w:autoSpaceDE/>
        <w:autoSpaceDN/>
        <w:bidi w:val="0"/>
        <w:adjustRightInd/>
        <w:snapToGrid/>
        <w:spacing w:before="0" w:after="0" w:line="360" w:lineRule="auto"/>
        <w:ind w:left="0" w:leftChars="0" w:right="0" w:rightChars="0" w:firstLine="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气温</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6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六安市大部分地区多年平均气温为</w:t>
      </w:r>
      <w:r>
        <w:rPr>
          <w:rFonts w:hint="default" w:ascii="Times New Roman" w:hAnsi="Times New Roman" w:eastAsia="宋体" w:cs="Times New Roman"/>
          <w:sz w:val="24"/>
          <w:szCs w:val="24"/>
        </w:rPr>
        <w:t>14.6～15.6</w:t>
      </w:r>
      <w:r>
        <w:rPr>
          <w:rFonts w:hint="default" w:ascii="Times New Roman" w:hAnsi="Times New Roman" w:eastAsia="宋体" w:cs="Times New Roman"/>
          <w:spacing w:val="-12"/>
          <w:sz w:val="24"/>
          <w:szCs w:val="24"/>
        </w:rPr>
        <w:t>℃，自东北向西南随地势抬高而递减。</w:t>
      </w:r>
      <w:r>
        <w:rPr>
          <w:rFonts w:hint="default" w:ascii="Times New Roman" w:hAnsi="Times New Roman" w:eastAsia="宋体" w:cs="Times New Roman"/>
          <w:sz w:val="24"/>
          <w:szCs w:val="24"/>
        </w:rPr>
        <w:t>一年中，7</w:t>
      </w:r>
      <w:r>
        <w:rPr>
          <w:rFonts w:hint="default" w:ascii="Times New Roman" w:hAnsi="Times New Roman" w:eastAsia="宋体" w:cs="Times New Roman"/>
          <w:spacing w:val="-4"/>
          <w:sz w:val="24"/>
          <w:szCs w:val="24"/>
        </w:rPr>
        <w:t>月份最热，月平均气温</w:t>
      </w:r>
      <w:r>
        <w:rPr>
          <w:rFonts w:hint="default" w:ascii="Times New Roman" w:hAnsi="Times New Roman" w:eastAsia="宋体" w:cs="Times New Roman"/>
          <w:sz w:val="24"/>
          <w:szCs w:val="24"/>
        </w:rPr>
        <w:t>27.2～28.4</w:t>
      </w:r>
      <w:r>
        <w:rPr>
          <w:rFonts w:hint="default" w:ascii="Times New Roman" w:hAnsi="Times New Roman" w:eastAsia="宋体" w:cs="Times New Roman"/>
          <w:spacing w:val="-4"/>
          <w:sz w:val="24"/>
          <w:szCs w:val="24"/>
        </w:rPr>
        <w:t>℃，历年最高气温平均为</w:t>
      </w:r>
      <w:r>
        <w:rPr>
          <w:rFonts w:hint="default" w:ascii="Times New Roman" w:hAnsi="Times New Roman" w:eastAsia="宋体" w:cs="Times New Roman"/>
          <w:sz w:val="24"/>
          <w:szCs w:val="24"/>
        </w:rPr>
        <w:t>38℃；1月份最</w:t>
      </w:r>
      <w:r>
        <w:rPr>
          <w:rFonts w:hint="default" w:ascii="Times New Roman" w:hAnsi="Times New Roman" w:eastAsia="宋体" w:cs="Times New Roman"/>
          <w:spacing w:val="-8"/>
          <w:sz w:val="24"/>
          <w:szCs w:val="24"/>
        </w:rPr>
        <w:t xml:space="preserve">冷，月平均气温 </w:t>
      </w:r>
      <w:r>
        <w:rPr>
          <w:rFonts w:hint="default" w:ascii="Times New Roman" w:hAnsi="Times New Roman" w:eastAsia="宋体" w:cs="Times New Roman"/>
          <w:sz w:val="24"/>
          <w:szCs w:val="24"/>
        </w:rPr>
        <w:t>1.4</w:t>
      </w:r>
      <w:r>
        <w:rPr>
          <w:rFonts w:hint="default" w:ascii="Times New Roman" w:hAnsi="Times New Roman" w:eastAsia="宋体" w:cs="Times New Roman"/>
          <w:spacing w:val="-5"/>
          <w:sz w:val="24"/>
          <w:szCs w:val="24"/>
        </w:rPr>
        <w:t>℃，历年最低平均气温为</w:t>
      </w:r>
      <w:r>
        <w:rPr>
          <w:rFonts w:hint="default" w:ascii="Times New Roman" w:hAnsi="Times New Roman" w:eastAsia="宋体" w:cs="Times New Roman"/>
          <w:sz w:val="24"/>
          <w:szCs w:val="24"/>
        </w:rPr>
        <w:t>10.3℃。</w:t>
      </w:r>
    </w:p>
    <w:p>
      <w:pPr>
        <w:pStyle w:val="40"/>
        <w:keepNext w:val="0"/>
        <w:keepLines w:val="0"/>
        <w:pageBreakBefore w:val="0"/>
        <w:widowControl w:val="0"/>
        <w:numPr>
          <w:ilvl w:val="0"/>
          <w:numId w:val="0"/>
        </w:numPr>
        <w:tabs>
          <w:tab w:val="left" w:pos="1320"/>
        </w:tabs>
        <w:kinsoku/>
        <w:wordWrap/>
        <w:overflowPunct/>
        <w:topLinePunct w:val="0"/>
        <w:autoSpaceDE/>
        <w:autoSpaceDN/>
        <w:bidi w:val="0"/>
        <w:adjustRightInd/>
        <w:snapToGrid/>
        <w:spacing w:before="0" w:after="0" w:line="360" w:lineRule="auto"/>
        <w:ind w:left="0" w:leftChars="0" w:right="0" w:rightChars="0" w:firstLine="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风向、风速</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六安市冬季以偏北风为主，夏季以偏南风为主，春、秋两季是风向转换季节，全年最多为东南偏东风，年平均风速为 3.2～3.4米/秒。</w:t>
      </w:r>
    </w:p>
    <w:p>
      <w:pPr>
        <w:pStyle w:val="40"/>
        <w:keepNext w:val="0"/>
        <w:keepLines w:val="0"/>
        <w:pageBreakBefore w:val="0"/>
        <w:widowControl w:val="0"/>
        <w:numPr>
          <w:ilvl w:val="0"/>
          <w:numId w:val="0"/>
        </w:numPr>
        <w:tabs>
          <w:tab w:val="left" w:pos="1320"/>
        </w:tabs>
        <w:kinsoku/>
        <w:wordWrap/>
        <w:overflowPunct/>
        <w:topLinePunct w:val="0"/>
        <w:autoSpaceDE/>
        <w:autoSpaceDN/>
        <w:bidi w:val="0"/>
        <w:adjustRightInd/>
        <w:snapToGrid/>
        <w:spacing w:before="0" w:after="0" w:line="360" w:lineRule="auto"/>
        <w:ind w:left="0" w:leftChars="0" w:right="0" w:rightChars="0" w:firstLine="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降水</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6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六安市多年平均降水量为</w:t>
      </w:r>
      <w:r>
        <w:rPr>
          <w:rFonts w:hint="default" w:ascii="Times New Roman" w:hAnsi="Times New Roman" w:eastAsia="宋体" w:cs="Times New Roman"/>
          <w:sz w:val="24"/>
          <w:szCs w:val="24"/>
        </w:rPr>
        <w:t xml:space="preserve">900～1600 </w:t>
      </w:r>
      <w:r>
        <w:rPr>
          <w:rFonts w:hint="default" w:ascii="Times New Roman" w:hAnsi="Times New Roman" w:eastAsia="宋体" w:cs="Times New Roman"/>
          <w:spacing w:val="-5"/>
          <w:sz w:val="24"/>
          <w:szCs w:val="24"/>
        </w:rPr>
        <w:t>毫米，具有南多北少，</w:t>
      </w:r>
      <w:r>
        <w:rPr>
          <w:rFonts w:hint="default" w:ascii="Times New Roman" w:hAnsi="Times New Roman" w:eastAsia="宋体" w:cs="Times New Roman"/>
          <w:spacing w:val="-6"/>
          <w:sz w:val="24"/>
          <w:szCs w:val="24"/>
          <w:lang w:eastAsia="zh-CN"/>
        </w:rPr>
        <w:t>山</w:t>
      </w:r>
      <w:r>
        <w:rPr>
          <w:rFonts w:hint="default" w:ascii="Times New Roman" w:hAnsi="Times New Roman" w:eastAsia="宋体" w:cs="Times New Roman"/>
          <w:spacing w:val="-4"/>
          <w:sz w:val="24"/>
          <w:szCs w:val="24"/>
        </w:rPr>
        <w:t>区多平原少，夏春季</w:t>
      </w:r>
      <w:r>
        <w:rPr>
          <w:rFonts w:hint="default" w:ascii="Times New Roman" w:hAnsi="Times New Roman" w:eastAsia="宋体" w:cs="Times New Roman"/>
          <w:spacing w:val="-3"/>
          <w:sz w:val="24"/>
          <w:szCs w:val="24"/>
        </w:rPr>
        <w:t>节多、冬秋季节少的特点，全市平均降水日为</w:t>
      </w:r>
      <w:r>
        <w:rPr>
          <w:rFonts w:hint="default" w:ascii="Times New Roman" w:hAnsi="Times New Roman" w:eastAsia="宋体" w:cs="Times New Roman"/>
          <w:sz w:val="24"/>
          <w:szCs w:val="24"/>
        </w:rPr>
        <w:t>112～125</w:t>
      </w:r>
      <w:r>
        <w:rPr>
          <w:rFonts w:hint="default" w:ascii="Times New Roman" w:hAnsi="Times New Roman" w:eastAsia="宋体" w:cs="Times New Roman"/>
          <w:spacing w:val="-10"/>
          <w:sz w:val="24"/>
          <w:szCs w:val="24"/>
        </w:rPr>
        <w:t>天，最多为</w:t>
      </w:r>
      <w:r>
        <w:rPr>
          <w:rFonts w:hint="default" w:ascii="Times New Roman" w:hAnsi="Times New Roman" w:eastAsia="宋体" w:cs="Times New Roman"/>
          <w:sz w:val="24"/>
          <w:szCs w:val="24"/>
        </w:rPr>
        <w:t>147</w:t>
      </w:r>
      <w:r>
        <w:rPr>
          <w:rFonts w:hint="default" w:ascii="Times New Roman" w:hAnsi="Times New Roman" w:eastAsia="宋体" w:cs="Times New Roman"/>
          <w:spacing w:val="-10"/>
          <w:sz w:val="24"/>
          <w:szCs w:val="24"/>
        </w:rPr>
        <w:t xml:space="preserve">天，最少为 </w:t>
      </w:r>
      <w:r>
        <w:rPr>
          <w:rFonts w:hint="default" w:ascii="Times New Roman" w:hAnsi="Times New Roman" w:eastAsia="宋体" w:cs="Times New Roman"/>
          <w:spacing w:val="-7"/>
          <w:sz w:val="24"/>
          <w:szCs w:val="24"/>
        </w:rPr>
        <w:t xml:space="preserve">80 </w:t>
      </w:r>
      <w:r>
        <w:rPr>
          <w:rFonts w:hint="default" w:ascii="Times New Roman" w:hAnsi="Times New Roman" w:eastAsia="宋体" w:cs="Times New Roman"/>
          <w:spacing w:val="-10"/>
          <w:sz w:val="24"/>
          <w:szCs w:val="24"/>
        </w:rPr>
        <w:t>天。梅雨季节出现在</w:t>
      </w:r>
      <w:r>
        <w:rPr>
          <w:rFonts w:hint="default" w:ascii="Times New Roman" w:hAnsi="Times New Roman" w:eastAsia="宋体" w:cs="Times New Roman"/>
          <w:sz w:val="24"/>
          <w:szCs w:val="24"/>
        </w:rPr>
        <w:t>6</w:t>
      </w:r>
      <w:r>
        <w:rPr>
          <w:rFonts w:hint="default" w:ascii="Times New Roman" w:hAnsi="Times New Roman" w:eastAsia="宋体" w:cs="Times New Roman"/>
          <w:spacing w:val="-12"/>
          <w:sz w:val="24"/>
          <w:szCs w:val="24"/>
        </w:rPr>
        <w:t>月下旬至</w:t>
      </w:r>
      <w:r>
        <w:rPr>
          <w:rFonts w:hint="default" w:ascii="Times New Roman" w:hAnsi="Times New Roman" w:eastAsia="宋体" w:cs="Times New Roman"/>
          <w:sz w:val="24"/>
          <w:szCs w:val="24"/>
        </w:rPr>
        <w:t>7</w:t>
      </w:r>
      <w:r>
        <w:rPr>
          <w:rFonts w:hint="default" w:ascii="Times New Roman" w:hAnsi="Times New Roman" w:eastAsia="宋体" w:cs="Times New Roman"/>
          <w:spacing w:val="-6"/>
          <w:sz w:val="24"/>
          <w:szCs w:val="24"/>
        </w:rPr>
        <w:t>月上旬，是本地区降雨量集中时段，多年平均降雨量</w:t>
      </w:r>
      <w:r>
        <w:rPr>
          <w:rFonts w:hint="default" w:ascii="Times New Roman" w:hAnsi="Times New Roman" w:eastAsia="宋体" w:cs="Times New Roman"/>
          <w:spacing w:val="-30"/>
          <w:sz w:val="24"/>
          <w:szCs w:val="24"/>
        </w:rPr>
        <w:t xml:space="preserve">在 </w:t>
      </w:r>
      <w:r>
        <w:rPr>
          <w:rFonts w:hint="default" w:ascii="Times New Roman" w:hAnsi="Times New Roman" w:eastAsia="宋体" w:cs="Times New Roman"/>
          <w:sz w:val="24"/>
          <w:szCs w:val="24"/>
        </w:rPr>
        <w:t>200毫米以上。</w:t>
      </w:r>
    </w:p>
    <w:p>
      <w:pPr>
        <w:pStyle w:val="40"/>
        <w:keepNext w:val="0"/>
        <w:keepLines w:val="0"/>
        <w:pageBreakBefore w:val="0"/>
        <w:widowControl w:val="0"/>
        <w:numPr>
          <w:ilvl w:val="0"/>
          <w:numId w:val="0"/>
        </w:numPr>
        <w:tabs>
          <w:tab w:val="left" w:pos="1320"/>
        </w:tabs>
        <w:kinsoku/>
        <w:wordWrap/>
        <w:overflowPunct/>
        <w:topLinePunct w:val="0"/>
        <w:autoSpaceDE/>
        <w:autoSpaceDN/>
        <w:bidi w:val="0"/>
        <w:adjustRightInd/>
        <w:snapToGrid/>
        <w:spacing w:before="0" w:after="0" w:line="360" w:lineRule="auto"/>
        <w:ind w:leftChars="0" w:right="0" w:rightChars="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湿度、蒸发量</w:t>
      </w:r>
    </w:p>
    <w:p>
      <w:pPr>
        <w:pStyle w:val="40"/>
        <w:keepNext w:val="0"/>
        <w:keepLines w:val="0"/>
        <w:pageBreakBefore w:val="0"/>
        <w:widowControl w:val="0"/>
        <w:numPr>
          <w:ilvl w:val="0"/>
          <w:numId w:val="0"/>
        </w:numPr>
        <w:tabs>
          <w:tab w:val="left" w:pos="1320"/>
        </w:tabs>
        <w:kinsoku/>
        <w:wordWrap/>
        <w:overflowPunct/>
        <w:topLinePunct w:val="0"/>
        <w:autoSpaceDE/>
        <w:autoSpaceDN/>
        <w:bidi w:val="0"/>
        <w:adjustRightInd/>
        <w:snapToGrid/>
        <w:spacing w:before="0" w:after="0" w:line="360" w:lineRule="auto"/>
        <w:ind w:left="0" w:right="0" w:rightChars="0" w:firstLine="46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六安市年平均相对湿度为77.6%</w:t>
      </w:r>
      <w:r>
        <w:rPr>
          <w:rFonts w:hint="default" w:ascii="Times New Roman" w:hAnsi="Times New Roman" w:eastAsia="宋体" w:cs="Times New Roman"/>
          <w:spacing w:val="-14"/>
          <w:sz w:val="24"/>
          <w:szCs w:val="24"/>
        </w:rPr>
        <w:t>，一年中</w:t>
      </w:r>
      <w:r>
        <w:rPr>
          <w:rFonts w:hint="default" w:ascii="Times New Roman" w:hAnsi="Times New Roman" w:eastAsia="宋体" w:cs="Times New Roman"/>
          <w:sz w:val="24"/>
          <w:szCs w:val="24"/>
        </w:rPr>
        <w:t>9</w:t>
      </w:r>
      <w:r>
        <w:rPr>
          <w:rFonts w:hint="default" w:ascii="Times New Roman" w:hAnsi="Times New Roman" w:eastAsia="宋体" w:cs="Times New Roman"/>
          <w:spacing w:val="-12"/>
          <w:sz w:val="24"/>
          <w:szCs w:val="24"/>
        </w:rPr>
        <w:t>月份湿度最大，为</w:t>
      </w:r>
      <w:r>
        <w:rPr>
          <w:rFonts w:hint="default" w:ascii="Times New Roman" w:hAnsi="Times New Roman" w:eastAsia="宋体" w:cs="Times New Roman"/>
          <w:spacing w:val="-5"/>
          <w:sz w:val="24"/>
          <w:szCs w:val="24"/>
        </w:rPr>
        <w:t>82%，12</w:t>
      </w:r>
      <w:r>
        <w:rPr>
          <w:rFonts w:hint="default" w:ascii="Times New Roman" w:hAnsi="Times New Roman" w:eastAsia="宋体" w:cs="Times New Roman"/>
          <w:spacing w:val="-4"/>
          <w:sz w:val="24"/>
          <w:szCs w:val="24"/>
        </w:rPr>
        <w:t>月份湿度最</w:t>
      </w:r>
      <w:r>
        <w:rPr>
          <w:rFonts w:hint="default" w:ascii="Times New Roman" w:hAnsi="Times New Roman" w:eastAsia="宋体" w:cs="Times New Roman"/>
          <w:spacing w:val="-15"/>
          <w:sz w:val="24"/>
          <w:szCs w:val="24"/>
        </w:rPr>
        <w:t>小，为</w:t>
      </w:r>
      <w:r>
        <w:rPr>
          <w:rFonts w:hint="default" w:ascii="Times New Roman" w:hAnsi="Times New Roman" w:eastAsia="宋体" w:cs="Times New Roman"/>
          <w:sz w:val="24"/>
          <w:szCs w:val="24"/>
        </w:rPr>
        <w:t>75%</w:t>
      </w:r>
      <w:r>
        <w:rPr>
          <w:rFonts w:hint="default" w:ascii="Times New Roman" w:hAnsi="Times New Roman" w:eastAsia="宋体" w:cs="Times New Roman"/>
          <w:spacing w:val="-8"/>
          <w:sz w:val="24"/>
          <w:szCs w:val="24"/>
        </w:rPr>
        <w:t xml:space="preserve">。最小湿度除了 </w:t>
      </w:r>
      <w:r>
        <w:rPr>
          <w:rFonts w:hint="default" w:ascii="Times New Roman" w:hAnsi="Times New Roman" w:eastAsia="宋体" w:cs="Times New Roman"/>
          <w:sz w:val="24"/>
          <w:szCs w:val="24"/>
        </w:rPr>
        <w:t xml:space="preserve">7、8 </w:t>
      </w:r>
      <w:r>
        <w:rPr>
          <w:rFonts w:hint="default" w:ascii="Times New Roman" w:hAnsi="Times New Roman" w:eastAsia="宋体" w:cs="Times New Roman"/>
          <w:spacing w:val="-12"/>
          <w:sz w:val="24"/>
          <w:szCs w:val="24"/>
        </w:rPr>
        <w:t>月份超过</w:t>
      </w:r>
      <w:r>
        <w:rPr>
          <w:rFonts w:hint="default" w:ascii="Times New Roman" w:hAnsi="Times New Roman" w:eastAsia="宋体" w:cs="Times New Roman"/>
          <w:sz w:val="24"/>
          <w:szCs w:val="24"/>
        </w:rPr>
        <w:t>20%</w:t>
      </w:r>
      <w:r>
        <w:rPr>
          <w:rFonts w:hint="default" w:ascii="Times New Roman" w:hAnsi="Times New Roman" w:eastAsia="宋体" w:cs="Times New Roman"/>
          <w:spacing w:val="-8"/>
          <w:sz w:val="24"/>
          <w:szCs w:val="24"/>
        </w:rPr>
        <w:t>，其余月份都在</w:t>
      </w:r>
      <w:r>
        <w:rPr>
          <w:rFonts w:hint="default" w:ascii="Times New Roman" w:hAnsi="Times New Roman" w:eastAsia="宋体" w:cs="Times New Roman"/>
          <w:sz w:val="24"/>
          <w:szCs w:val="24"/>
        </w:rPr>
        <w:t>15%</w:t>
      </w:r>
      <w:r>
        <w:rPr>
          <w:rFonts w:hint="default" w:ascii="Times New Roman" w:hAnsi="Times New Roman" w:eastAsia="宋体" w:cs="Times New Roman"/>
          <w:spacing w:val="-2"/>
          <w:sz w:val="24"/>
          <w:szCs w:val="24"/>
        </w:rPr>
        <w:t>以下。全市年平均</w:t>
      </w:r>
      <w:r>
        <w:rPr>
          <w:rFonts w:hint="default" w:ascii="Times New Roman" w:hAnsi="Times New Roman" w:eastAsia="宋体" w:cs="Times New Roman"/>
          <w:spacing w:val="-12"/>
          <w:sz w:val="24"/>
          <w:szCs w:val="24"/>
        </w:rPr>
        <w:t xml:space="preserve">蒸发量为 </w:t>
      </w:r>
      <w:r>
        <w:rPr>
          <w:rFonts w:hint="default" w:ascii="Times New Roman" w:hAnsi="Times New Roman" w:eastAsia="宋体" w:cs="Times New Roman"/>
          <w:sz w:val="24"/>
          <w:szCs w:val="24"/>
        </w:rPr>
        <w:t xml:space="preserve">1300～1500 </w:t>
      </w:r>
      <w:r>
        <w:rPr>
          <w:rFonts w:hint="default" w:ascii="Times New Roman" w:hAnsi="Times New Roman" w:eastAsia="宋体" w:cs="Times New Roman"/>
          <w:spacing w:val="-6"/>
          <w:sz w:val="24"/>
          <w:szCs w:val="24"/>
        </w:rPr>
        <w:t>毫米，从西南向东北递减。西南</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pacing w:val="-5"/>
          <w:sz w:val="24"/>
          <w:szCs w:val="24"/>
        </w:rPr>
        <w:t xml:space="preserve">区，蒸发量与降水量基本相等， </w:t>
      </w:r>
      <w:r>
        <w:rPr>
          <w:rFonts w:hint="default" w:ascii="Times New Roman" w:hAnsi="Times New Roman" w:eastAsia="宋体" w:cs="Times New Roman"/>
          <w:sz w:val="24"/>
          <w:szCs w:val="24"/>
        </w:rPr>
        <w:t>或降雨略多于蒸发量。东北部蒸发量大于降雨量。</w:t>
      </w:r>
    </w:p>
    <w:p>
      <w:pPr>
        <w:pStyle w:val="40"/>
        <w:keepNext w:val="0"/>
        <w:keepLines w:val="0"/>
        <w:pageBreakBefore w:val="0"/>
        <w:widowControl w:val="0"/>
        <w:numPr>
          <w:ilvl w:val="0"/>
          <w:numId w:val="0"/>
        </w:numPr>
        <w:tabs>
          <w:tab w:val="left" w:pos="1320"/>
        </w:tabs>
        <w:kinsoku/>
        <w:wordWrap/>
        <w:overflowPunct/>
        <w:topLinePunct w:val="0"/>
        <w:autoSpaceDE/>
        <w:autoSpaceDN/>
        <w:bidi w:val="0"/>
        <w:adjustRightInd/>
        <w:snapToGrid/>
        <w:spacing w:before="0" w:after="0" w:line="360" w:lineRule="auto"/>
        <w:ind w:left="0" w:leftChars="0" w:right="0" w:rightChars="0" w:firstLine="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日照及霜期</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六安市平均日照时数</w:t>
      </w:r>
      <w:r>
        <w:rPr>
          <w:rFonts w:hint="default" w:ascii="Times New Roman" w:hAnsi="Times New Roman" w:eastAsia="宋体" w:cs="Times New Roman"/>
          <w:sz w:val="24"/>
          <w:szCs w:val="24"/>
        </w:rPr>
        <w:t>1960～2330</w:t>
      </w:r>
      <w:r>
        <w:rPr>
          <w:rFonts w:hint="default" w:ascii="Times New Roman" w:hAnsi="Times New Roman" w:eastAsia="宋体" w:cs="Times New Roman"/>
          <w:spacing w:val="-3"/>
          <w:sz w:val="24"/>
          <w:szCs w:val="24"/>
        </w:rPr>
        <w:t>小时，日照百分率在</w:t>
      </w:r>
      <w:r>
        <w:rPr>
          <w:rFonts w:hint="default" w:ascii="Times New Roman" w:hAnsi="Times New Roman" w:eastAsia="宋体" w:cs="Times New Roman"/>
          <w:sz w:val="24"/>
          <w:szCs w:val="24"/>
        </w:rPr>
        <w:t>46%～52%</w:t>
      </w:r>
      <w:r>
        <w:rPr>
          <w:rFonts w:hint="default" w:ascii="Times New Roman" w:hAnsi="Times New Roman" w:eastAsia="宋体" w:cs="Times New Roman"/>
          <w:spacing w:val="-3"/>
          <w:sz w:val="24"/>
          <w:szCs w:val="24"/>
        </w:rPr>
        <w:t xml:space="preserve">，夏秋季节高， </w:t>
      </w:r>
      <w:r>
        <w:rPr>
          <w:rFonts w:hint="default" w:ascii="Times New Roman" w:hAnsi="Times New Roman" w:eastAsia="宋体" w:cs="Times New Roman"/>
          <w:spacing w:val="-4"/>
          <w:sz w:val="24"/>
          <w:szCs w:val="24"/>
        </w:rPr>
        <w:t>冬春季节低。全市无霜期平均为</w:t>
      </w:r>
      <w:r>
        <w:rPr>
          <w:rFonts w:hint="default" w:ascii="Times New Roman" w:hAnsi="Times New Roman" w:eastAsia="宋体" w:cs="Times New Roman"/>
          <w:sz w:val="24"/>
          <w:szCs w:val="24"/>
        </w:rPr>
        <w:t>211～228</w:t>
      </w:r>
      <w:r>
        <w:rPr>
          <w:rFonts w:hint="default" w:ascii="Times New Roman" w:hAnsi="Times New Roman" w:eastAsia="宋体" w:cs="Times New Roman"/>
          <w:spacing w:val="-7"/>
          <w:sz w:val="24"/>
          <w:szCs w:val="24"/>
        </w:rPr>
        <w:t xml:space="preserve">天，初霜出现在 </w:t>
      </w:r>
      <w:r>
        <w:rPr>
          <w:rFonts w:hint="default" w:ascii="Times New Roman" w:hAnsi="Times New Roman" w:eastAsia="宋体" w:cs="Times New Roman"/>
          <w:spacing w:val="-5"/>
          <w:sz w:val="24"/>
          <w:szCs w:val="24"/>
        </w:rPr>
        <w:t xml:space="preserve">11 </w:t>
      </w:r>
      <w:r>
        <w:rPr>
          <w:rFonts w:hint="default" w:ascii="Times New Roman" w:hAnsi="Times New Roman" w:eastAsia="宋体" w:cs="Times New Roman"/>
          <w:spacing w:val="-25"/>
          <w:sz w:val="24"/>
          <w:szCs w:val="24"/>
        </w:rPr>
        <w:t xml:space="preserve">月 </w:t>
      </w:r>
      <w:r>
        <w:rPr>
          <w:rFonts w:hint="default" w:ascii="Times New Roman" w:hAnsi="Times New Roman" w:eastAsia="宋体" w:cs="Times New Roman"/>
          <w:sz w:val="24"/>
          <w:szCs w:val="24"/>
        </w:rPr>
        <w:t>2</w:t>
      </w:r>
      <w:r>
        <w:rPr>
          <w:rFonts w:hint="default" w:ascii="Times New Roman" w:hAnsi="Times New Roman" w:eastAsia="宋体" w:cs="Times New Roman"/>
          <w:spacing w:val="-17"/>
          <w:sz w:val="24"/>
          <w:szCs w:val="24"/>
        </w:rPr>
        <w:t xml:space="preserve">日至 </w:t>
      </w:r>
      <w:r>
        <w:rPr>
          <w:rFonts w:hint="default" w:ascii="Times New Roman" w:hAnsi="Times New Roman" w:eastAsia="宋体" w:cs="Times New Roman"/>
          <w:spacing w:val="-5"/>
          <w:sz w:val="24"/>
          <w:szCs w:val="24"/>
        </w:rPr>
        <w:t xml:space="preserve">11 </w:t>
      </w:r>
      <w:r>
        <w:rPr>
          <w:rFonts w:hint="default" w:ascii="Times New Roman" w:hAnsi="Times New Roman" w:eastAsia="宋体" w:cs="Times New Roman"/>
          <w:spacing w:val="-3"/>
          <w:sz w:val="24"/>
          <w:szCs w:val="24"/>
        </w:rPr>
        <w:t>日，终霜出</w:t>
      </w:r>
      <w:r>
        <w:rPr>
          <w:rFonts w:hint="default" w:ascii="Times New Roman" w:hAnsi="Times New Roman" w:eastAsia="宋体" w:cs="Times New Roman"/>
          <w:spacing w:val="-20"/>
          <w:sz w:val="24"/>
          <w:szCs w:val="24"/>
        </w:rPr>
        <w:t xml:space="preserve">现在 </w:t>
      </w:r>
      <w:r>
        <w:rPr>
          <w:rFonts w:hint="default" w:ascii="Times New Roman" w:hAnsi="Times New Roman" w:eastAsia="宋体" w:cs="Times New Roman"/>
          <w:sz w:val="24"/>
          <w:szCs w:val="24"/>
        </w:rPr>
        <w:t>3</w:t>
      </w:r>
      <w:r>
        <w:rPr>
          <w:rFonts w:hint="default" w:ascii="Times New Roman" w:hAnsi="Times New Roman" w:eastAsia="宋体" w:cs="Times New Roman"/>
          <w:spacing w:val="-30"/>
          <w:sz w:val="24"/>
          <w:szCs w:val="24"/>
        </w:rPr>
        <w:t xml:space="preserve">月 </w:t>
      </w:r>
      <w:r>
        <w:rPr>
          <w:rFonts w:hint="default" w:ascii="Times New Roman" w:hAnsi="Times New Roman" w:eastAsia="宋体" w:cs="Times New Roman"/>
          <w:sz w:val="24"/>
          <w:szCs w:val="24"/>
        </w:rPr>
        <w:t>27</w:t>
      </w:r>
      <w:r>
        <w:rPr>
          <w:rFonts w:hint="default" w:ascii="Times New Roman" w:hAnsi="Times New Roman" w:eastAsia="宋体" w:cs="Times New Roman"/>
          <w:spacing w:val="-20"/>
          <w:sz w:val="24"/>
          <w:szCs w:val="24"/>
        </w:rPr>
        <w:t xml:space="preserve">日至 </w:t>
      </w:r>
      <w:r>
        <w:rPr>
          <w:rFonts w:hint="default" w:ascii="Times New Roman" w:hAnsi="Times New Roman" w:eastAsia="宋体" w:cs="Times New Roman"/>
          <w:sz w:val="24"/>
          <w:szCs w:val="24"/>
        </w:rPr>
        <w:t>4</w:t>
      </w:r>
      <w:r>
        <w:rPr>
          <w:rFonts w:hint="default" w:ascii="Times New Roman" w:hAnsi="Times New Roman" w:eastAsia="宋体" w:cs="Times New Roman"/>
          <w:spacing w:val="-30"/>
          <w:sz w:val="24"/>
          <w:szCs w:val="24"/>
        </w:rPr>
        <w:t xml:space="preserve">月 </w:t>
      </w:r>
      <w:r>
        <w:rPr>
          <w:rFonts w:hint="default" w:ascii="Times New Roman" w:hAnsi="Times New Roman" w:eastAsia="宋体" w:cs="Times New Roman"/>
          <w:sz w:val="24"/>
          <w:szCs w:val="24"/>
        </w:rPr>
        <w:t>3日。</w:t>
      </w:r>
    </w:p>
    <w:p>
      <w:pPr>
        <w:pStyle w:val="40"/>
        <w:keepNext w:val="0"/>
        <w:keepLines w:val="0"/>
        <w:pageBreakBefore w:val="0"/>
        <w:widowControl w:val="0"/>
        <w:numPr>
          <w:ilvl w:val="0"/>
          <w:numId w:val="0"/>
        </w:numPr>
        <w:tabs>
          <w:tab w:val="left" w:pos="896"/>
        </w:tabs>
        <w:kinsoku/>
        <w:wordWrap/>
        <w:overflowPunct/>
        <w:topLinePunct w:val="0"/>
        <w:autoSpaceDE/>
        <w:autoSpaceDN/>
        <w:bidi w:val="0"/>
        <w:adjustRightInd/>
        <w:snapToGrid/>
        <w:spacing w:before="0" w:after="0" w:line="360" w:lineRule="auto"/>
        <w:ind w:left="0" w:leftChars="0" w:right="0" w:rightChars="0" w:firstLine="0" w:firstLineChars="0"/>
        <w:jc w:val="left"/>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val="en-US" w:eastAsia="zh-CN"/>
        </w:rPr>
        <w:t>3.1.4</w:t>
      </w:r>
      <w:r>
        <w:rPr>
          <w:rFonts w:hint="default" w:ascii="Times New Roman" w:hAnsi="Times New Roman" w:eastAsia="宋体" w:cs="Times New Roman"/>
          <w:b/>
          <w:sz w:val="24"/>
          <w:szCs w:val="24"/>
        </w:rPr>
        <w:t>水文</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5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六安市地跨长江、淮河两大流域，江淮分水岭由西南向东北横贯全市，属于淮河流</w:t>
      </w:r>
      <w:r>
        <w:rPr>
          <w:rFonts w:hint="default" w:ascii="Times New Roman" w:hAnsi="Times New Roman" w:eastAsia="宋体" w:cs="Times New Roman"/>
          <w:spacing w:val="-11"/>
          <w:sz w:val="24"/>
          <w:szCs w:val="24"/>
        </w:rPr>
        <w:t>域面积</w:t>
      </w:r>
      <w:r>
        <w:rPr>
          <w:rFonts w:hint="default" w:ascii="Times New Roman" w:hAnsi="Times New Roman" w:eastAsia="宋体" w:cs="Times New Roman"/>
          <w:sz w:val="24"/>
          <w:szCs w:val="24"/>
        </w:rPr>
        <w:t>14912</w:t>
      </w:r>
      <w:r>
        <w:rPr>
          <w:rFonts w:hint="default" w:ascii="Times New Roman" w:hAnsi="Times New Roman" w:eastAsia="宋体" w:cs="Times New Roman"/>
          <w:spacing w:val="-4"/>
          <w:sz w:val="24"/>
          <w:szCs w:val="24"/>
        </w:rPr>
        <w:t>平方公里，属于长江流域面积</w:t>
      </w:r>
      <w:r>
        <w:rPr>
          <w:rFonts w:hint="default" w:ascii="Times New Roman" w:hAnsi="Times New Roman" w:eastAsia="宋体" w:cs="Times New Roman"/>
          <w:sz w:val="24"/>
          <w:szCs w:val="24"/>
        </w:rPr>
        <w:t>3064</w:t>
      </w:r>
      <w:r>
        <w:rPr>
          <w:rFonts w:hint="default" w:ascii="Times New Roman" w:hAnsi="Times New Roman" w:eastAsia="宋体" w:cs="Times New Roman"/>
          <w:spacing w:val="-1"/>
          <w:sz w:val="24"/>
          <w:szCs w:val="24"/>
        </w:rPr>
        <w:t xml:space="preserve">平方公里。六安市地处江淮分水岭， </w:t>
      </w:r>
      <w:r>
        <w:rPr>
          <w:rFonts w:hint="default" w:ascii="Times New Roman" w:hAnsi="Times New Roman" w:eastAsia="宋体" w:cs="Times New Roman"/>
          <w:sz w:val="24"/>
          <w:szCs w:val="24"/>
        </w:rPr>
        <w:t>西临淠河，同时淠河干渠由南向北贯穿市区。</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淠河发源于大别</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pacing w:val="-6"/>
          <w:sz w:val="24"/>
          <w:szCs w:val="24"/>
        </w:rPr>
        <w:t>麓，经寿县正阳关入淮河。其主源河流为东、西淠河，淠河全长246km</w:t>
      </w:r>
      <w:r>
        <w:rPr>
          <w:rFonts w:hint="default" w:ascii="Times New Roman" w:hAnsi="Times New Roman" w:eastAsia="宋体" w:cs="Times New Roman"/>
          <w:spacing w:val="-16"/>
          <w:sz w:val="24"/>
          <w:szCs w:val="24"/>
        </w:rPr>
        <w:t xml:space="preserve">，市区段长 </w:t>
      </w:r>
      <w:r>
        <w:rPr>
          <w:rFonts w:hint="default" w:ascii="Times New Roman" w:hAnsi="Times New Roman" w:eastAsia="宋体" w:cs="Times New Roman"/>
          <w:sz w:val="24"/>
          <w:szCs w:val="24"/>
        </w:rPr>
        <w:t>4km</w:t>
      </w:r>
      <w:r>
        <w:rPr>
          <w:rFonts w:hint="default" w:ascii="Times New Roman" w:hAnsi="Times New Roman" w:eastAsia="宋体" w:cs="Times New Roman"/>
          <w:spacing w:val="-16"/>
          <w:sz w:val="24"/>
          <w:szCs w:val="24"/>
        </w:rPr>
        <w:t xml:space="preserve">，宽约 </w:t>
      </w:r>
      <w:r>
        <w:rPr>
          <w:rFonts w:hint="default" w:ascii="Times New Roman" w:hAnsi="Times New Roman" w:eastAsia="宋体" w:cs="Times New Roman"/>
          <w:sz w:val="24"/>
          <w:szCs w:val="24"/>
        </w:rPr>
        <w:t>80～300m</w:t>
      </w:r>
      <w:r>
        <w:rPr>
          <w:rFonts w:hint="default" w:ascii="Times New Roman" w:hAnsi="Times New Roman" w:eastAsia="宋体" w:cs="Times New Roman"/>
          <w:spacing w:val="-10"/>
          <w:sz w:val="24"/>
          <w:szCs w:val="24"/>
        </w:rPr>
        <w:t xml:space="preserve">。河床积沙厚度 </w:t>
      </w:r>
      <w:r>
        <w:rPr>
          <w:rFonts w:hint="default" w:ascii="Times New Roman" w:hAnsi="Times New Roman" w:eastAsia="宋体" w:cs="Times New Roman"/>
          <w:sz w:val="24"/>
          <w:szCs w:val="24"/>
        </w:rPr>
        <w:t>3～22m</w:t>
      </w:r>
      <w:r>
        <w:rPr>
          <w:rFonts w:hint="default" w:ascii="Times New Roman" w:hAnsi="Times New Roman" w:eastAsia="宋体" w:cs="Times New Roman"/>
          <w:spacing w:val="-2"/>
          <w:sz w:val="24"/>
          <w:szCs w:val="24"/>
        </w:rPr>
        <w:t>。目前六安市区的城市</w:t>
      </w:r>
      <w:r>
        <w:rPr>
          <w:rFonts w:hint="default" w:ascii="Times New Roman" w:hAnsi="Times New Roman" w:eastAsia="宋体" w:cs="Times New Roman"/>
          <w:spacing w:val="-5"/>
          <w:sz w:val="24"/>
          <w:szCs w:val="24"/>
        </w:rPr>
        <w:t>生活污水与大部分工业废水排入淠河，淠河成为城市污水的受纳水体。由于城市污水未</w:t>
      </w:r>
      <w:r>
        <w:rPr>
          <w:rFonts w:hint="default" w:ascii="Times New Roman" w:hAnsi="Times New Roman" w:eastAsia="宋体" w:cs="Times New Roman"/>
          <w:spacing w:val="-9"/>
          <w:sz w:val="24"/>
          <w:szCs w:val="24"/>
        </w:rPr>
        <w:t>经处理就排放，致使淠河水质受到污染。淠河水资源丰富，但由于修建了淠河干渠的渠</w:t>
      </w:r>
      <w:r>
        <w:rPr>
          <w:rFonts w:hint="default" w:ascii="Times New Roman" w:hAnsi="Times New Roman" w:eastAsia="宋体" w:cs="Times New Roman"/>
          <w:spacing w:val="-12"/>
          <w:sz w:val="24"/>
          <w:szCs w:val="24"/>
        </w:rPr>
        <w:t>首枢纽工程以及淠河干渠工程，淠河成了季节性河流。由于近年来城市污水处理厂投入</w:t>
      </w:r>
      <w:r>
        <w:rPr>
          <w:rFonts w:hint="default" w:ascii="Times New Roman" w:hAnsi="Times New Roman" w:eastAsia="宋体" w:cs="Times New Roman"/>
          <w:spacing w:val="-9"/>
          <w:sz w:val="24"/>
          <w:szCs w:val="24"/>
        </w:rPr>
        <w:t>运行，工业企业污染治理工程完工，落后和污染较大的企业关停，使淠河水质受污染的</w:t>
      </w:r>
      <w:r>
        <w:rPr>
          <w:rFonts w:hint="default" w:ascii="Times New Roman" w:hAnsi="Times New Roman" w:eastAsia="宋体" w:cs="Times New Roman"/>
          <w:spacing w:val="-12"/>
          <w:sz w:val="24"/>
          <w:szCs w:val="24"/>
        </w:rPr>
        <w:t>状况有所改善，尤其淠河六安市区段综合治理工程完工，形成约</w:t>
      </w:r>
      <w:r>
        <w:rPr>
          <w:rFonts w:hint="default" w:ascii="Times New Roman" w:hAnsi="Times New Roman" w:eastAsia="宋体" w:cs="Times New Roman"/>
          <w:sz w:val="24"/>
          <w:szCs w:val="24"/>
        </w:rPr>
        <w:t>8</w:t>
      </w:r>
      <w:r>
        <w:rPr>
          <w:rFonts w:hint="default" w:ascii="Times New Roman" w:hAnsi="Times New Roman" w:eastAsia="宋体" w:cs="Times New Roman"/>
          <w:spacing w:val="-3"/>
          <w:sz w:val="24"/>
          <w:szCs w:val="24"/>
        </w:rPr>
        <w:t>平方公里水面，淠河</w:t>
      </w:r>
      <w:r>
        <w:rPr>
          <w:rFonts w:hint="default" w:ascii="Times New Roman" w:hAnsi="Times New Roman" w:eastAsia="宋体" w:cs="Times New Roman"/>
          <w:spacing w:val="-10"/>
          <w:sz w:val="24"/>
          <w:szCs w:val="24"/>
        </w:rPr>
        <w:t>市区段水质良好。根据统计资料，横排头水利枢纽平均一年仅有</w:t>
      </w:r>
      <w:r>
        <w:rPr>
          <w:rFonts w:hint="default" w:ascii="Times New Roman" w:hAnsi="Times New Roman" w:eastAsia="宋体" w:cs="Times New Roman"/>
          <w:sz w:val="24"/>
          <w:szCs w:val="24"/>
        </w:rPr>
        <w:t>89</w:t>
      </w:r>
      <w:r>
        <w:rPr>
          <w:rFonts w:hint="default" w:ascii="Times New Roman" w:hAnsi="Times New Roman" w:eastAsia="宋体" w:cs="Times New Roman"/>
          <w:spacing w:val="-2"/>
          <w:sz w:val="24"/>
          <w:szCs w:val="24"/>
        </w:rPr>
        <w:t>天时间向淠河溢流，</w:t>
      </w:r>
      <w:r>
        <w:rPr>
          <w:rFonts w:hint="default" w:ascii="Times New Roman" w:hAnsi="Times New Roman" w:eastAsia="宋体" w:cs="Times New Roman"/>
          <w:spacing w:val="-15"/>
          <w:sz w:val="24"/>
          <w:szCs w:val="24"/>
        </w:rPr>
        <w:t xml:space="preserve">占全年 </w:t>
      </w:r>
      <w:r>
        <w:rPr>
          <w:rFonts w:hint="default" w:ascii="Times New Roman" w:hAnsi="Times New Roman" w:eastAsia="宋体" w:cs="Times New Roman"/>
          <w:sz w:val="24"/>
          <w:szCs w:val="24"/>
        </w:rPr>
        <w:t>24.4%</w:t>
      </w:r>
      <w:r>
        <w:rPr>
          <w:rFonts w:hint="default" w:ascii="Times New Roman" w:hAnsi="Times New Roman" w:eastAsia="宋体" w:cs="Times New Roman"/>
          <w:spacing w:val="-6"/>
          <w:sz w:val="24"/>
          <w:szCs w:val="24"/>
        </w:rPr>
        <w:t>，其中日平均流量超过</w:t>
      </w:r>
      <w:r>
        <w:rPr>
          <w:rFonts w:hint="default" w:ascii="Times New Roman" w:hAnsi="Times New Roman" w:eastAsia="宋体" w:cs="Times New Roman"/>
          <w:sz w:val="24"/>
          <w:szCs w:val="24"/>
        </w:rPr>
        <w:t>500m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rPr>
        <w:t xml:space="preserve">/s </w:t>
      </w:r>
      <w:r>
        <w:rPr>
          <w:rFonts w:hint="default" w:ascii="Times New Roman" w:hAnsi="Times New Roman" w:eastAsia="宋体" w:cs="Times New Roman"/>
          <w:spacing w:val="-10"/>
          <w:sz w:val="24"/>
          <w:szCs w:val="24"/>
          <w:vertAlign w:val="baseline"/>
        </w:rPr>
        <w:t>的天数仅为</w:t>
      </w:r>
      <w:r>
        <w:rPr>
          <w:rFonts w:hint="default" w:ascii="Times New Roman" w:hAnsi="Times New Roman" w:eastAsia="宋体" w:cs="Times New Roman"/>
          <w:sz w:val="24"/>
          <w:szCs w:val="24"/>
          <w:vertAlign w:val="baseline"/>
        </w:rPr>
        <w:t>4.4</w:t>
      </w:r>
      <w:r>
        <w:rPr>
          <w:rFonts w:hint="default" w:ascii="Times New Roman" w:hAnsi="Times New Roman" w:eastAsia="宋体" w:cs="Times New Roman"/>
          <w:spacing w:val="-11"/>
          <w:sz w:val="24"/>
          <w:szCs w:val="24"/>
          <w:vertAlign w:val="baseline"/>
        </w:rPr>
        <w:t xml:space="preserve">天，占全年 </w:t>
      </w:r>
      <w:r>
        <w:rPr>
          <w:rFonts w:hint="default" w:ascii="Times New Roman" w:hAnsi="Times New Roman" w:eastAsia="宋体" w:cs="Times New Roman"/>
          <w:sz w:val="24"/>
          <w:szCs w:val="24"/>
          <w:vertAlign w:val="baseline"/>
        </w:rPr>
        <w:t>1.2%。在一年</w:t>
      </w:r>
      <w:r>
        <w:rPr>
          <w:rFonts w:hint="default" w:ascii="Times New Roman" w:hAnsi="Times New Roman" w:eastAsia="宋体" w:cs="Times New Roman"/>
          <w:spacing w:val="-1"/>
          <w:sz w:val="24"/>
          <w:szCs w:val="24"/>
          <w:vertAlign w:val="baseline"/>
        </w:rPr>
        <w:t>绝大部分时间里淠河几乎处于干涸的状态，仅有区间的极少量来水。淠河设计</w:t>
      </w:r>
      <w:r>
        <w:rPr>
          <w:rFonts w:hint="default" w:ascii="Times New Roman" w:hAnsi="Times New Roman" w:eastAsia="宋体" w:cs="Times New Roman"/>
          <w:sz w:val="24"/>
          <w:szCs w:val="24"/>
          <w:vertAlign w:val="baseline"/>
        </w:rPr>
        <w:t>20年一</w:t>
      </w:r>
      <w:r>
        <w:rPr>
          <w:rFonts w:hint="default" w:ascii="Times New Roman" w:hAnsi="Times New Roman" w:eastAsia="宋体" w:cs="Times New Roman"/>
          <w:spacing w:val="-9"/>
          <w:sz w:val="24"/>
          <w:szCs w:val="24"/>
          <w:vertAlign w:val="baseline"/>
        </w:rPr>
        <w:t>遇洪峰流量为</w:t>
      </w:r>
      <w:r>
        <w:rPr>
          <w:rFonts w:hint="default" w:ascii="Times New Roman" w:hAnsi="Times New Roman" w:eastAsia="宋体" w:cs="Times New Roman"/>
          <w:sz w:val="24"/>
          <w:szCs w:val="24"/>
          <w:vertAlign w:val="baseline"/>
        </w:rPr>
        <w:t>4090m</w:t>
      </w:r>
      <w:r>
        <w:rPr>
          <w:rFonts w:hint="default" w:ascii="Times New Roman" w:hAnsi="Times New Roman" w:eastAsia="宋体" w:cs="Times New Roman"/>
          <w:spacing w:val="1"/>
          <w:w w:val="97"/>
          <w:sz w:val="24"/>
          <w:szCs w:val="24"/>
          <w:vertAlign w:val="superscript"/>
        </w:rPr>
        <w:t>3</w:t>
      </w:r>
      <w:r>
        <w:rPr>
          <w:rFonts w:hint="default" w:ascii="Times New Roman" w:hAnsi="Times New Roman" w:eastAsia="宋体" w:cs="Times New Roman"/>
          <w:sz w:val="24"/>
          <w:szCs w:val="24"/>
          <w:vertAlign w:val="baseline"/>
        </w:rPr>
        <w:t>/</w:t>
      </w:r>
      <w:r>
        <w:rPr>
          <w:rFonts w:hint="default" w:ascii="Times New Roman" w:hAnsi="Times New Roman" w:eastAsia="宋体" w:cs="Times New Roman"/>
          <w:spacing w:val="-2"/>
          <w:sz w:val="24"/>
          <w:szCs w:val="24"/>
          <w:vertAlign w:val="baseline"/>
        </w:rPr>
        <w:t>s</w:t>
      </w:r>
      <w:r>
        <w:rPr>
          <w:rFonts w:hint="default" w:ascii="Times New Roman" w:hAnsi="Times New Roman" w:eastAsia="宋体" w:cs="Times New Roman"/>
          <w:spacing w:val="-37"/>
          <w:sz w:val="24"/>
          <w:szCs w:val="24"/>
          <w:vertAlign w:val="baseline"/>
        </w:rPr>
        <w:t>，洪</w:t>
      </w:r>
      <w:r>
        <w:rPr>
          <w:rFonts w:hint="default" w:ascii="Times New Roman" w:hAnsi="Times New Roman" w:eastAsia="宋体" w:cs="Times New Roman"/>
          <w:spacing w:val="-37"/>
          <w:sz w:val="24"/>
          <w:szCs w:val="24"/>
          <w:vertAlign w:val="baseline"/>
          <w:lang w:val="en-US" w:eastAsia="zh-CN"/>
        </w:rPr>
        <w:t xml:space="preserve">  </w:t>
      </w:r>
      <w:r>
        <w:rPr>
          <w:rFonts w:hint="default" w:ascii="Times New Roman" w:hAnsi="Times New Roman" w:eastAsia="宋体" w:cs="Times New Roman"/>
          <w:spacing w:val="-37"/>
          <w:sz w:val="24"/>
          <w:szCs w:val="24"/>
          <w:vertAlign w:val="baseline"/>
        </w:rPr>
        <w:t>水</w:t>
      </w:r>
      <w:r>
        <w:rPr>
          <w:rFonts w:hint="default" w:ascii="Times New Roman" w:hAnsi="Times New Roman" w:eastAsia="宋体" w:cs="Times New Roman"/>
          <w:spacing w:val="-37"/>
          <w:sz w:val="24"/>
          <w:szCs w:val="24"/>
          <w:vertAlign w:val="baseline"/>
          <w:lang w:val="en-US" w:eastAsia="zh-CN"/>
        </w:rPr>
        <w:t xml:space="preserve">  </w:t>
      </w:r>
      <w:r>
        <w:rPr>
          <w:rFonts w:hint="default" w:ascii="Times New Roman" w:hAnsi="Times New Roman" w:eastAsia="宋体" w:cs="Times New Roman"/>
          <w:spacing w:val="-37"/>
          <w:sz w:val="24"/>
          <w:szCs w:val="24"/>
          <w:vertAlign w:val="baseline"/>
        </w:rPr>
        <w:t xml:space="preserve">位 </w:t>
      </w:r>
      <w:r>
        <w:rPr>
          <w:rFonts w:hint="default" w:ascii="Times New Roman" w:hAnsi="Times New Roman" w:eastAsia="宋体" w:cs="Times New Roman"/>
          <w:spacing w:val="-37"/>
          <w:sz w:val="24"/>
          <w:szCs w:val="24"/>
          <w:vertAlign w:val="baseline"/>
          <w:lang w:val="en-US" w:eastAsia="zh-CN"/>
        </w:rPr>
        <w:t xml:space="preserve"> </w:t>
      </w:r>
      <w:r>
        <w:rPr>
          <w:rFonts w:hint="default" w:ascii="Times New Roman" w:hAnsi="Times New Roman" w:eastAsia="宋体" w:cs="Times New Roman"/>
          <w:sz w:val="24"/>
          <w:szCs w:val="24"/>
          <w:vertAlign w:val="baseline"/>
        </w:rPr>
        <w:t>39.</w:t>
      </w:r>
      <w:r>
        <w:rPr>
          <w:rFonts w:hint="eastAsia" w:ascii="Times New Roman" w:hAnsi="Times New Roman" w:cs="Times New Roman"/>
          <w:sz w:val="24"/>
          <w:szCs w:val="24"/>
          <w:vertAlign w:val="baseline"/>
          <w:lang w:val="en-US" w:eastAsia="zh-CN"/>
        </w:rPr>
        <w:t>49m，5</w:t>
      </w:r>
      <w:r>
        <w:rPr>
          <w:rFonts w:hint="default" w:ascii="Times New Roman" w:hAnsi="Times New Roman" w:eastAsia="宋体" w:cs="Times New Roman"/>
          <w:sz w:val="24"/>
          <w:szCs w:val="24"/>
          <w:vertAlign w:val="baseline"/>
        </w:rPr>
        <w:t>0</w:t>
      </w:r>
      <w:r>
        <w:rPr>
          <w:rFonts w:hint="default" w:ascii="Times New Roman" w:hAnsi="Times New Roman" w:eastAsia="宋体" w:cs="Times New Roman"/>
          <w:spacing w:val="-9"/>
          <w:sz w:val="24"/>
          <w:szCs w:val="24"/>
          <w:vertAlign w:val="baseline"/>
        </w:rPr>
        <w:t>年一遇洪峰流量为</w:t>
      </w:r>
      <w:r>
        <w:rPr>
          <w:rFonts w:hint="default" w:ascii="Times New Roman" w:hAnsi="Times New Roman" w:eastAsia="宋体" w:cs="Times New Roman"/>
          <w:sz w:val="24"/>
          <w:szCs w:val="24"/>
          <w:vertAlign w:val="baseline"/>
        </w:rPr>
        <w:t>6030m</w:t>
      </w:r>
      <w:r>
        <w:rPr>
          <w:rFonts w:hint="default" w:ascii="Times New Roman" w:hAnsi="Times New Roman" w:eastAsia="宋体" w:cs="Times New Roman"/>
          <w:spacing w:val="1"/>
          <w:w w:val="97"/>
          <w:sz w:val="24"/>
          <w:szCs w:val="24"/>
          <w:vertAlign w:val="superscript"/>
        </w:rPr>
        <w:t>3</w:t>
      </w:r>
      <w:r>
        <w:rPr>
          <w:rFonts w:hint="default" w:ascii="Times New Roman" w:hAnsi="Times New Roman" w:eastAsia="宋体" w:cs="Times New Roman"/>
          <w:sz w:val="24"/>
          <w:szCs w:val="24"/>
          <w:vertAlign w:val="baseline"/>
        </w:rPr>
        <w:t>/s</w:t>
      </w:r>
      <w:r>
        <w:rPr>
          <w:rFonts w:hint="default" w:ascii="Times New Roman" w:hAnsi="Times New Roman" w:eastAsia="宋体" w:cs="Times New Roman"/>
          <w:spacing w:val="-37"/>
          <w:sz w:val="24"/>
          <w:szCs w:val="24"/>
          <w:vertAlign w:val="baseline"/>
        </w:rPr>
        <w:t>，洪</w:t>
      </w:r>
      <w:r>
        <w:rPr>
          <w:rFonts w:hint="default" w:ascii="Times New Roman" w:hAnsi="Times New Roman" w:eastAsia="宋体" w:cs="Times New Roman"/>
          <w:spacing w:val="-37"/>
          <w:sz w:val="24"/>
          <w:szCs w:val="24"/>
          <w:vertAlign w:val="baseline"/>
          <w:lang w:val="en-US" w:eastAsia="zh-CN"/>
        </w:rPr>
        <w:t xml:space="preserve"> </w:t>
      </w:r>
      <w:r>
        <w:rPr>
          <w:rFonts w:hint="default" w:ascii="Times New Roman" w:hAnsi="Times New Roman" w:eastAsia="宋体" w:cs="Times New Roman"/>
          <w:spacing w:val="-37"/>
          <w:sz w:val="24"/>
          <w:szCs w:val="24"/>
          <w:vertAlign w:val="baseline"/>
        </w:rPr>
        <w:t>水</w:t>
      </w:r>
      <w:r>
        <w:rPr>
          <w:rFonts w:hint="default" w:ascii="Times New Roman" w:hAnsi="Times New Roman" w:eastAsia="宋体" w:cs="Times New Roman"/>
          <w:spacing w:val="-37"/>
          <w:sz w:val="24"/>
          <w:szCs w:val="24"/>
          <w:vertAlign w:val="baseline"/>
          <w:lang w:val="en-US" w:eastAsia="zh-CN"/>
        </w:rPr>
        <w:t xml:space="preserve">  </w:t>
      </w:r>
      <w:r>
        <w:rPr>
          <w:rFonts w:hint="default" w:ascii="Times New Roman" w:hAnsi="Times New Roman" w:eastAsia="宋体" w:cs="Times New Roman"/>
          <w:spacing w:val="-37"/>
          <w:sz w:val="24"/>
          <w:szCs w:val="24"/>
          <w:vertAlign w:val="baseline"/>
        </w:rPr>
        <w:t xml:space="preserve">位 </w:t>
      </w:r>
      <w:r>
        <w:rPr>
          <w:rFonts w:hint="default" w:ascii="Times New Roman" w:hAnsi="Times New Roman" w:eastAsia="宋体" w:cs="Times New Roman"/>
          <w:spacing w:val="-37"/>
          <w:sz w:val="24"/>
          <w:szCs w:val="24"/>
          <w:vertAlign w:val="baseline"/>
          <w:lang w:val="en-US" w:eastAsia="zh-CN"/>
        </w:rPr>
        <w:t xml:space="preserve">  </w:t>
      </w:r>
      <w:r>
        <w:rPr>
          <w:rFonts w:hint="default" w:ascii="Times New Roman" w:hAnsi="Times New Roman" w:eastAsia="宋体" w:cs="Times New Roman"/>
          <w:sz w:val="24"/>
          <w:szCs w:val="24"/>
          <w:vertAlign w:val="baseline"/>
        </w:rPr>
        <w:t>39.97</w:t>
      </w:r>
      <w:r>
        <w:rPr>
          <w:rFonts w:hint="default" w:ascii="Times New Roman" w:hAnsi="Times New Roman" w:eastAsia="宋体" w:cs="Times New Roman"/>
          <w:spacing w:val="-2"/>
          <w:sz w:val="24"/>
          <w:szCs w:val="24"/>
          <w:vertAlign w:val="baseline"/>
        </w:rPr>
        <w:t>m</w:t>
      </w:r>
      <w:r>
        <w:rPr>
          <w:rFonts w:hint="default" w:ascii="Times New Roman" w:hAnsi="Times New Roman" w:eastAsia="宋体" w:cs="Times New Roman"/>
          <w:sz w:val="24"/>
          <w:szCs w:val="24"/>
          <w:vertAlign w:val="baseline"/>
        </w:rPr>
        <w:t>。</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淠河干渠即淠河总干渠，该工程于</w:t>
      </w:r>
      <w:r>
        <w:rPr>
          <w:rFonts w:hint="default" w:ascii="Times New Roman" w:hAnsi="Times New Roman" w:eastAsia="宋体" w:cs="Times New Roman"/>
          <w:spacing w:val="-3"/>
          <w:sz w:val="24"/>
          <w:szCs w:val="24"/>
          <w:lang w:val="en-US" w:eastAsia="zh-CN"/>
        </w:rPr>
        <w:t>1</w:t>
      </w:r>
      <w:r>
        <w:rPr>
          <w:rFonts w:hint="default" w:ascii="Times New Roman" w:hAnsi="Times New Roman" w:eastAsia="宋体" w:cs="Times New Roman"/>
          <w:sz w:val="24"/>
          <w:szCs w:val="24"/>
        </w:rPr>
        <w:t>959</w:t>
      </w:r>
      <w:r>
        <w:rPr>
          <w:rFonts w:hint="default" w:ascii="Times New Roman" w:hAnsi="Times New Roman" w:eastAsia="宋体" w:cs="Times New Roman"/>
          <w:spacing w:val="-21"/>
          <w:sz w:val="24"/>
          <w:szCs w:val="24"/>
        </w:rPr>
        <w:t xml:space="preserve">年 </w:t>
      </w:r>
      <w:r>
        <w:rPr>
          <w:rFonts w:hint="default" w:ascii="Times New Roman" w:hAnsi="Times New Roman" w:eastAsia="宋体" w:cs="Times New Roman"/>
          <w:sz w:val="24"/>
          <w:szCs w:val="24"/>
        </w:rPr>
        <w:t>7</w:t>
      </w:r>
      <w:r>
        <w:rPr>
          <w:rFonts w:hint="default" w:ascii="Times New Roman" w:hAnsi="Times New Roman" w:eastAsia="宋体" w:cs="Times New Roman"/>
          <w:spacing w:val="-1"/>
          <w:sz w:val="24"/>
          <w:szCs w:val="24"/>
        </w:rPr>
        <w:t>月建成通水。淠河干渠上游有佛子岭</w:t>
      </w:r>
      <w:r>
        <w:rPr>
          <w:rFonts w:hint="default" w:ascii="Times New Roman" w:hAnsi="Times New Roman" w:eastAsia="宋体" w:cs="Times New Roman"/>
          <w:spacing w:val="-3"/>
          <w:sz w:val="24"/>
          <w:szCs w:val="24"/>
        </w:rPr>
        <w:t>水库、磨子潭水库、响洪甸水库，集水面积</w:t>
      </w:r>
      <w:r>
        <w:rPr>
          <w:rFonts w:hint="default" w:ascii="Times New Roman" w:hAnsi="Times New Roman" w:eastAsia="宋体" w:cs="Times New Roman"/>
          <w:sz w:val="24"/>
          <w:szCs w:val="24"/>
        </w:rPr>
        <w:t>4410km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pacing w:val="-6"/>
          <w:sz w:val="24"/>
          <w:szCs w:val="24"/>
          <w:vertAlign w:val="baseline"/>
        </w:rPr>
        <w:t xml:space="preserve">，三大水库总库容 </w:t>
      </w:r>
      <w:r>
        <w:rPr>
          <w:rFonts w:hint="default" w:ascii="Times New Roman" w:hAnsi="Times New Roman" w:eastAsia="宋体" w:cs="Times New Roman"/>
          <w:sz w:val="24"/>
          <w:szCs w:val="24"/>
          <w:vertAlign w:val="baseline"/>
        </w:rPr>
        <w:t>34.644</w:t>
      </w:r>
      <w:r>
        <w:rPr>
          <w:rFonts w:hint="default" w:ascii="Times New Roman" w:hAnsi="Times New Roman" w:eastAsia="宋体" w:cs="Times New Roman"/>
          <w:spacing w:val="-21"/>
          <w:sz w:val="24"/>
          <w:szCs w:val="24"/>
          <w:vertAlign w:val="baseline"/>
        </w:rPr>
        <w:t xml:space="preserve">亿 </w:t>
      </w:r>
      <w:r>
        <w:rPr>
          <w:rFonts w:hint="default" w:ascii="Times New Roman" w:hAnsi="Times New Roman" w:eastAsia="宋体" w:cs="Times New Roman"/>
          <w:sz w:val="24"/>
          <w:szCs w:val="24"/>
          <w:vertAlign w:val="baseline"/>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rPr>
        <w:t>。</w:t>
      </w:r>
      <w:r>
        <w:rPr>
          <w:rFonts w:hint="default" w:ascii="Times New Roman" w:hAnsi="Times New Roman" w:eastAsia="宋体" w:cs="Times New Roman"/>
          <w:spacing w:val="-13"/>
          <w:sz w:val="24"/>
          <w:szCs w:val="24"/>
          <w:vertAlign w:val="baseline"/>
        </w:rPr>
        <w:t>干渠全长</w:t>
      </w:r>
      <w:r>
        <w:rPr>
          <w:rFonts w:hint="default" w:ascii="Times New Roman" w:hAnsi="Times New Roman" w:eastAsia="宋体" w:cs="Times New Roman"/>
          <w:sz w:val="24"/>
          <w:szCs w:val="24"/>
          <w:vertAlign w:val="baseline"/>
        </w:rPr>
        <w:t>104.5km</w:t>
      </w:r>
      <w:r>
        <w:rPr>
          <w:rFonts w:hint="default" w:ascii="Times New Roman" w:hAnsi="Times New Roman" w:eastAsia="宋体" w:cs="Times New Roman"/>
          <w:spacing w:val="-10"/>
          <w:sz w:val="24"/>
          <w:szCs w:val="24"/>
          <w:vertAlign w:val="baseline"/>
        </w:rPr>
        <w:t>，六安市区段</w:t>
      </w:r>
      <w:r>
        <w:rPr>
          <w:rFonts w:hint="default" w:ascii="Times New Roman" w:hAnsi="Times New Roman" w:eastAsia="宋体" w:cs="Times New Roman"/>
          <w:sz w:val="24"/>
          <w:szCs w:val="24"/>
          <w:vertAlign w:val="baseline"/>
        </w:rPr>
        <w:t>10.5km</w:t>
      </w:r>
      <w:r>
        <w:rPr>
          <w:rFonts w:hint="default" w:ascii="Times New Roman" w:hAnsi="Times New Roman" w:eastAsia="宋体" w:cs="Times New Roman"/>
          <w:spacing w:val="-8"/>
          <w:sz w:val="24"/>
          <w:szCs w:val="24"/>
          <w:vertAlign w:val="baseline"/>
        </w:rPr>
        <w:t>。干渠水质好、水量丰富，是六安市的水源，也</w:t>
      </w:r>
      <w:r>
        <w:rPr>
          <w:rFonts w:hint="default" w:ascii="Times New Roman" w:hAnsi="Times New Roman" w:eastAsia="宋体" w:cs="Times New Roman"/>
          <w:sz w:val="24"/>
          <w:szCs w:val="24"/>
          <w:vertAlign w:val="baseline"/>
        </w:rPr>
        <w:t>是省会城市合肥的水源之一。</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0" w:firstLineChars="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在淠河总干渠以北、淠东干渠以东有两条从淠河总干渠引水的地上干渠由南向北穿</w:t>
      </w:r>
      <w:r>
        <w:rPr>
          <w:rFonts w:hint="default" w:ascii="Times New Roman" w:hAnsi="Times New Roman" w:eastAsia="宋体" w:cs="Times New Roman"/>
          <w:spacing w:val="-4"/>
          <w:sz w:val="24"/>
          <w:szCs w:val="24"/>
        </w:rPr>
        <w:t xml:space="preserve">过规划区域。西侧为木南干渠，宽约 </w:t>
      </w:r>
      <w:r>
        <w:rPr>
          <w:rFonts w:hint="default" w:ascii="Times New Roman" w:hAnsi="Times New Roman" w:eastAsia="宋体" w:cs="Times New Roman"/>
          <w:sz w:val="24"/>
          <w:szCs w:val="24"/>
        </w:rPr>
        <w:t>3m</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pacing w:val="-5"/>
          <w:sz w:val="24"/>
          <w:szCs w:val="24"/>
        </w:rPr>
        <w:t>东侧为淠伍支渠，宽约</w:t>
      </w:r>
      <w:r>
        <w:rPr>
          <w:rFonts w:hint="default" w:ascii="Times New Roman" w:hAnsi="Times New Roman" w:eastAsia="宋体" w:cs="Times New Roman"/>
          <w:sz w:val="24"/>
          <w:szCs w:val="24"/>
        </w:rPr>
        <w:t>4m。</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淠东干渠在六安市九里沟西侧，从淠河总干渠引水向北，经木厂沿芍陂古道一一塘河，北流至瓦庙台进安丰塘，再由戈店闸引水向东北，经老龙头至寿县南郊九里沟，全长 94.9 公里。</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0" w:firstLineChars="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六安市地表水系发达，河流纵横，境内共有天然河流</w:t>
      </w:r>
      <w:r>
        <w:rPr>
          <w:rFonts w:hint="default" w:ascii="Times New Roman" w:hAnsi="Times New Roman" w:eastAsia="宋体" w:cs="Times New Roman"/>
          <w:sz w:val="24"/>
          <w:szCs w:val="24"/>
        </w:rPr>
        <w:t>59</w:t>
      </w:r>
      <w:r>
        <w:rPr>
          <w:rFonts w:hint="default" w:ascii="Times New Roman" w:hAnsi="Times New Roman" w:eastAsia="宋体" w:cs="Times New Roman"/>
          <w:spacing w:val="-2"/>
          <w:sz w:val="24"/>
          <w:szCs w:val="24"/>
        </w:rPr>
        <w:t>条。其中有史河、沣河、</w:t>
      </w:r>
      <w:r>
        <w:rPr>
          <w:rFonts w:hint="default" w:ascii="Times New Roman" w:hAnsi="Times New Roman" w:eastAsia="宋体" w:cs="Times New Roman"/>
          <w:spacing w:val="-9"/>
          <w:sz w:val="24"/>
          <w:szCs w:val="24"/>
        </w:rPr>
        <w:t>汲河、淠河、东淝河五条入淮一级支流，由东向西排列在淮河南岸；杭埠河、丰乐河由</w:t>
      </w:r>
      <w:r>
        <w:rPr>
          <w:rFonts w:hint="default" w:ascii="Times New Roman" w:hAnsi="Times New Roman" w:eastAsia="宋体" w:cs="Times New Roman"/>
          <w:spacing w:val="-6"/>
          <w:sz w:val="24"/>
          <w:szCs w:val="24"/>
        </w:rPr>
        <w:t>西向东注入巢湖再流入长江。境内还有城西湖、城东湖、瓦埠湖、姜家湖、肖严湖等天</w:t>
      </w:r>
      <w:r>
        <w:rPr>
          <w:rFonts w:hint="default" w:ascii="Times New Roman" w:hAnsi="Times New Roman" w:eastAsia="宋体" w:cs="Times New Roman"/>
          <w:sz w:val="24"/>
          <w:szCs w:val="24"/>
        </w:rPr>
        <w:t>然湖泊，龙河口、磨子潭、佛子岭、响洪甸、梅</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z w:val="24"/>
          <w:szCs w:val="24"/>
        </w:rPr>
        <w:t>等水库。</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4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金安区分属淮河、长江两大流域，区内淠河、</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pacing w:val="-10"/>
          <w:sz w:val="24"/>
          <w:szCs w:val="24"/>
        </w:rPr>
        <w:t>源河、东淝河汇入淮河，张母桥河、</w:t>
      </w:r>
      <w:r>
        <w:rPr>
          <w:rFonts w:hint="default" w:ascii="Times New Roman" w:hAnsi="Times New Roman" w:eastAsia="宋体" w:cs="Times New Roman"/>
          <w:spacing w:val="-6"/>
          <w:sz w:val="24"/>
          <w:szCs w:val="24"/>
        </w:rPr>
        <w:t>陈家河、思古潭河、毛大河等汇入丰乐河，丰乐河向东流经巢湖进入长江。全区年径流</w:t>
      </w:r>
      <w:r>
        <w:rPr>
          <w:rFonts w:hint="default" w:ascii="Times New Roman" w:hAnsi="Times New Roman" w:eastAsia="宋体" w:cs="Times New Roman"/>
          <w:spacing w:val="-20"/>
          <w:sz w:val="24"/>
          <w:szCs w:val="24"/>
        </w:rPr>
        <w:t xml:space="preserve">系数为 </w:t>
      </w:r>
      <w:r>
        <w:rPr>
          <w:rFonts w:hint="default" w:ascii="Times New Roman" w:hAnsi="Times New Roman" w:eastAsia="宋体" w:cs="Times New Roman"/>
          <w:spacing w:val="-9"/>
          <w:sz w:val="24"/>
          <w:szCs w:val="24"/>
        </w:rPr>
        <w:t>0.4</w:t>
      </w:r>
      <w:r>
        <w:rPr>
          <w:rFonts w:hint="default" w:ascii="Times New Roman" w:hAnsi="Times New Roman" w:eastAsia="宋体" w:cs="Times New Roman"/>
          <w:spacing w:val="-10"/>
          <w:sz w:val="24"/>
          <w:szCs w:val="24"/>
        </w:rPr>
        <w:t>，年平均水资源量</w:t>
      </w:r>
      <w:r>
        <w:rPr>
          <w:rFonts w:hint="default" w:ascii="Times New Roman" w:hAnsi="Times New Roman" w:eastAsia="宋体" w:cs="Times New Roman"/>
          <w:sz w:val="24"/>
          <w:szCs w:val="24"/>
        </w:rPr>
        <w:t>7.9</w:t>
      </w:r>
      <w:r>
        <w:rPr>
          <w:rFonts w:hint="default" w:ascii="Times New Roman" w:hAnsi="Times New Roman" w:eastAsia="宋体" w:cs="Times New Roman"/>
          <w:spacing w:val="-10"/>
          <w:sz w:val="24"/>
          <w:szCs w:val="24"/>
        </w:rPr>
        <w:t>亿立方米，人均水资源占有量约</w:t>
      </w:r>
      <w:r>
        <w:rPr>
          <w:rFonts w:hint="default" w:ascii="Times New Roman" w:hAnsi="Times New Roman" w:eastAsia="宋体" w:cs="Times New Roman"/>
          <w:sz w:val="24"/>
          <w:szCs w:val="24"/>
        </w:rPr>
        <w:t>900</w:t>
      </w:r>
      <w:r>
        <w:rPr>
          <w:rFonts w:hint="default" w:ascii="Times New Roman" w:hAnsi="Times New Roman" w:eastAsia="宋体" w:cs="Times New Roman"/>
          <w:spacing w:val="-6"/>
          <w:sz w:val="24"/>
          <w:szCs w:val="24"/>
        </w:rPr>
        <w:t>立方米，属缺水地</w:t>
      </w:r>
      <w:r>
        <w:rPr>
          <w:rFonts w:hint="default" w:ascii="Times New Roman" w:hAnsi="Times New Roman" w:eastAsia="宋体" w:cs="Times New Roman"/>
          <w:spacing w:val="-8"/>
          <w:sz w:val="24"/>
          <w:szCs w:val="24"/>
        </w:rPr>
        <w:t>区，对外水依赖性较强。金安区境内的水工程，主要包括淠河总干渠、淠东干渠、杭淠</w:t>
      </w:r>
      <w:r>
        <w:rPr>
          <w:rFonts w:hint="default" w:ascii="Times New Roman" w:hAnsi="Times New Roman" w:eastAsia="宋体" w:cs="Times New Roman"/>
          <w:spacing w:val="-9"/>
          <w:sz w:val="24"/>
          <w:szCs w:val="24"/>
        </w:rPr>
        <w:t>干渠、瓦西干渠等，这些水工程对金安区居民生活、工业、农业用水起到重要作用。平</w:t>
      </w:r>
      <w:r>
        <w:rPr>
          <w:rFonts w:hint="default" w:ascii="Times New Roman" w:hAnsi="Times New Roman" w:eastAsia="宋体" w:cs="Times New Roman"/>
          <w:spacing w:val="-13"/>
          <w:sz w:val="24"/>
          <w:szCs w:val="24"/>
        </w:rPr>
        <w:t xml:space="preserve">均每年从淠史杭灌区引水达到 </w:t>
      </w:r>
      <w:r>
        <w:rPr>
          <w:rFonts w:hint="default" w:ascii="Times New Roman" w:hAnsi="Times New Roman" w:eastAsia="宋体" w:cs="Times New Roman"/>
          <w:sz w:val="24"/>
          <w:szCs w:val="24"/>
        </w:rPr>
        <w:t>1.5亿立方米。</w:t>
      </w:r>
    </w:p>
    <w:p>
      <w:pPr>
        <w:pStyle w:val="12"/>
        <w:pageBreakBefore w:val="0"/>
        <w:widowControl w:val="0"/>
        <w:kinsoku/>
        <w:wordWrap/>
        <w:overflowPunct/>
        <w:topLinePunct w:val="0"/>
        <w:autoSpaceDE/>
        <w:autoSpaceDN/>
        <w:bidi w:val="0"/>
        <w:spacing w:before="0" w:line="360" w:lineRule="auto"/>
        <w:ind w:left="0" w:right="0" w:firstLine="0" w:firstLineChars="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drawing>
          <wp:anchor distT="0" distB="0" distL="114300" distR="114300" simplePos="0" relativeHeight="252076032" behindDoc="0" locked="0" layoutInCell="1" allowOverlap="1">
            <wp:simplePos x="0" y="0"/>
            <wp:positionH relativeFrom="column">
              <wp:posOffset>398780</wp:posOffset>
            </wp:positionH>
            <wp:positionV relativeFrom="paragraph">
              <wp:posOffset>433705</wp:posOffset>
            </wp:positionV>
            <wp:extent cx="5225415" cy="4785360"/>
            <wp:effectExtent l="0" t="0" r="13335" b="15240"/>
            <wp:wrapSquare wrapText="bothSides"/>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a:picLocks noChangeAspect="1"/>
                    </pic:cNvPicPr>
                  </pic:nvPicPr>
                  <pic:blipFill>
                    <a:blip r:embed="rId22"/>
                    <a:stretch>
                      <a:fillRect/>
                    </a:stretch>
                  </pic:blipFill>
                  <pic:spPr>
                    <a:xfrm>
                      <a:off x="0" y="0"/>
                      <a:ext cx="5225415" cy="4785360"/>
                    </a:xfrm>
                    <a:prstGeom prst="rect">
                      <a:avLst/>
                    </a:prstGeom>
                    <a:noFill/>
                    <a:ln>
                      <a:noFill/>
                    </a:ln>
                  </pic:spPr>
                </pic:pic>
              </a:graphicData>
            </a:graphic>
          </wp:anchor>
        </w:drawing>
      </w:r>
      <w:r>
        <w:rPr>
          <w:rFonts w:hint="default" w:ascii="Times New Roman" w:hAnsi="Times New Roman" w:eastAsia="宋体" w:cs="Times New Roman"/>
          <w:sz w:val="24"/>
          <w:szCs w:val="24"/>
        </w:rPr>
        <w:t>六安市水系见下图</w:t>
      </w:r>
      <w:r>
        <w:rPr>
          <w:rFonts w:hint="eastAsia" w:ascii="Times New Roman" w:hAnsi="Times New Roman" w:eastAsia="宋体" w:cs="Times New Roman"/>
          <w:sz w:val="24"/>
          <w:szCs w:val="24"/>
          <w:lang w:eastAsia="zh-CN"/>
        </w:rPr>
        <w:t>：</w:t>
      </w:r>
    </w:p>
    <w:p>
      <w:pPr>
        <w:pStyle w:val="12"/>
        <w:pageBreakBefore w:val="0"/>
        <w:widowControl w:val="0"/>
        <w:kinsoku/>
        <w:wordWrap/>
        <w:overflowPunct/>
        <w:topLinePunct w:val="0"/>
        <w:autoSpaceDE/>
        <w:autoSpaceDN/>
        <w:bidi w:val="0"/>
        <w:spacing w:before="0" w:line="360" w:lineRule="auto"/>
        <w:ind w:left="0" w:right="0" w:firstLine="0" w:firstLineChars="0"/>
        <w:textAlignment w:val="auto"/>
        <w:rPr>
          <w:rFonts w:hint="eastAsia" w:ascii="Times New Roman" w:hAnsi="Times New Roman" w:eastAsia="宋体" w:cs="Times New Roman"/>
          <w:sz w:val="24"/>
          <w:szCs w:val="24"/>
          <w:lang w:eastAsia="zh-CN"/>
        </w:rPr>
      </w:pPr>
    </w:p>
    <w:p>
      <w:pPr>
        <w:pStyle w:val="12"/>
        <w:pageBreakBefore w:val="0"/>
        <w:widowControl w:val="0"/>
        <w:kinsoku/>
        <w:wordWrap/>
        <w:overflowPunct/>
        <w:topLinePunct w:val="0"/>
        <w:autoSpaceDE/>
        <w:autoSpaceDN/>
        <w:bidi w:val="0"/>
        <w:spacing w:before="0" w:line="360" w:lineRule="auto"/>
        <w:ind w:left="0" w:right="0" w:firstLine="0" w:firstLineChars="0"/>
        <w:textAlignment w:val="auto"/>
        <w:rPr>
          <w:rFonts w:hint="eastAsia" w:ascii="Times New Roman" w:hAnsi="Times New Roman" w:eastAsia="宋体" w:cs="Times New Roman"/>
          <w:sz w:val="24"/>
          <w:szCs w:val="24"/>
          <w:lang w:eastAsia="zh-CN"/>
        </w:rPr>
      </w:pPr>
    </w:p>
    <w:p>
      <w:pPr>
        <w:pStyle w:val="12"/>
        <w:pageBreakBefore w:val="0"/>
        <w:widowControl w:val="0"/>
        <w:kinsoku/>
        <w:wordWrap/>
        <w:overflowPunct/>
        <w:topLinePunct w:val="0"/>
        <w:autoSpaceDE/>
        <w:autoSpaceDN/>
        <w:bidi w:val="0"/>
        <w:spacing w:before="0" w:line="360" w:lineRule="auto"/>
        <w:ind w:left="0" w:right="0" w:firstLine="0" w:firstLineChars="0"/>
        <w:textAlignment w:val="auto"/>
        <w:rPr>
          <w:rFonts w:hint="eastAsia" w:ascii="Times New Roman" w:hAnsi="Times New Roman" w:eastAsia="宋体" w:cs="Times New Roman"/>
          <w:sz w:val="24"/>
          <w:szCs w:val="24"/>
          <w:lang w:eastAsia="zh-CN"/>
        </w:rPr>
      </w:pPr>
    </w:p>
    <w:p>
      <w:pPr>
        <w:pStyle w:val="12"/>
        <w:pageBreakBefore w:val="0"/>
        <w:widowControl w:val="0"/>
        <w:kinsoku/>
        <w:wordWrap/>
        <w:overflowPunct/>
        <w:topLinePunct w:val="0"/>
        <w:autoSpaceDE/>
        <w:autoSpaceDN/>
        <w:bidi w:val="0"/>
        <w:spacing w:before="0" w:line="360" w:lineRule="auto"/>
        <w:ind w:left="0" w:right="0" w:firstLine="0" w:firstLineChars="0"/>
        <w:textAlignment w:val="auto"/>
        <w:rPr>
          <w:rFonts w:hint="eastAsia" w:ascii="Times New Roman" w:hAnsi="Times New Roman" w:eastAsia="宋体" w:cs="Times New Roman"/>
          <w:sz w:val="24"/>
          <w:szCs w:val="24"/>
          <w:lang w:eastAsia="zh-CN"/>
        </w:rPr>
      </w:pPr>
    </w:p>
    <w:p>
      <w:pPr>
        <w:pStyle w:val="12"/>
        <w:pageBreakBefore w:val="0"/>
        <w:widowControl w:val="0"/>
        <w:kinsoku/>
        <w:wordWrap/>
        <w:overflowPunct/>
        <w:topLinePunct w:val="0"/>
        <w:autoSpaceDE/>
        <w:autoSpaceDN/>
        <w:bidi w:val="0"/>
        <w:spacing w:before="0" w:line="360" w:lineRule="auto"/>
        <w:ind w:left="0" w:right="0" w:firstLine="0" w:firstLineChars="0"/>
        <w:textAlignment w:val="auto"/>
        <w:rPr>
          <w:rFonts w:hint="eastAsia" w:ascii="Times New Roman" w:hAnsi="Times New Roman" w:eastAsia="宋体" w:cs="Times New Roman"/>
          <w:sz w:val="24"/>
          <w:szCs w:val="24"/>
          <w:lang w:eastAsia="zh-CN"/>
        </w:rPr>
      </w:pPr>
    </w:p>
    <w:p>
      <w:pPr>
        <w:pStyle w:val="12"/>
        <w:pageBreakBefore w:val="0"/>
        <w:widowControl w:val="0"/>
        <w:kinsoku/>
        <w:wordWrap/>
        <w:overflowPunct/>
        <w:topLinePunct w:val="0"/>
        <w:autoSpaceDE/>
        <w:autoSpaceDN/>
        <w:bidi w:val="0"/>
        <w:spacing w:before="0" w:line="360" w:lineRule="auto"/>
        <w:ind w:left="0" w:right="0" w:firstLine="0" w:firstLineChars="0"/>
        <w:textAlignment w:val="auto"/>
        <w:rPr>
          <w:rFonts w:hint="eastAsia" w:ascii="Times New Roman" w:hAnsi="Times New Roman" w:eastAsia="宋体" w:cs="Times New Roman"/>
          <w:sz w:val="24"/>
          <w:szCs w:val="24"/>
          <w:lang w:eastAsia="zh-CN"/>
        </w:rPr>
      </w:pPr>
    </w:p>
    <w:p>
      <w:pPr>
        <w:pStyle w:val="12"/>
        <w:pageBreakBefore w:val="0"/>
        <w:widowControl w:val="0"/>
        <w:kinsoku/>
        <w:wordWrap/>
        <w:overflowPunct/>
        <w:topLinePunct w:val="0"/>
        <w:autoSpaceDE/>
        <w:autoSpaceDN/>
        <w:bidi w:val="0"/>
        <w:spacing w:before="0" w:line="360" w:lineRule="auto"/>
        <w:ind w:left="0" w:right="0" w:firstLine="0" w:firstLineChars="0"/>
        <w:textAlignment w:val="auto"/>
        <w:rPr>
          <w:rFonts w:hint="eastAsia" w:ascii="Times New Roman" w:hAnsi="Times New Roman" w:eastAsia="宋体" w:cs="Times New Roman"/>
          <w:sz w:val="24"/>
          <w:szCs w:val="24"/>
          <w:lang w:eastAsia="zh-CN"/>
        </w:rPr>
      </w:pPr>
    </w:p>
    <w:p>
      <w:pPr>
        <w:pStyle w:val="12"/>
        <w:pageBreakBefore w:val="0"/>
        <w:widowControl w:val="0"/>
        <w:kinsoku/>
        <w:wordWrap/>
        <w:overflowPunct/>
        <w:topLinePunct w:val="0"/>
        <w:autoSpaceDE/>
        <w:autoSpaceDN/>
        <w:bidi w:val="0"/>
        <w:spacing w:before="0" w:line="360" w:lineRule="auto"/>
        <w:ind w:left="0" w:right="0" w:firstLine="0" w:firstLineChars="0"/>
        <w:textAlignment w:val="auto"/>
        <w:rPr>
          <w:rFonts w:hint="eastAsia" w:ascii="Times New Roman" w:hAnsi="Times New Roman" w:eastAsia="宋体" w:cs="Times New Roman"/>
          <w:sz w:val="24"/>
          <w:szCs w:val="24"/>
          <w:lang w:eastAsia="zh-CN"/>
        </w:rPr>
      </w:pPr>
    </w:p>
    <w:p>
      <w:pPr>
        <w:pStyle w:val="12"/>
        <w:pageBreakBefore w:val="0"/>
        <w:widowControl w:val="0"/>
        <w:kinsoku/>
        <w:wordWrap/>
        <w:overflowPunct/>
        <w:topLinePunct w:val="0"/>
        <w:autoSpaceDE/>
        <w:autoSpaceDN/>
        <w:bidi w:val="0"/>
        <w:spacing w:before="0" w:line="360" w:lineRule="auto"/>
        <w:ind w:left="0" w:right="0" w:firstLine="0" w:firstLineChars="0"/>
        <w:textAlignment w:val="auto"/>
        <w:rPr>
          <w:rFonts w:hint="eastAsia" w:ascii="Times New Roman" w:hAnsi="Times New Roman" w:eastAsia="宋体" w:cs="Times New Roman"/>
          <w:sz w:val="24"/>
          <w:szCs w:val="24"/>
          <w:lang w:eastAsia="zh-CN"/>
        </w:rPr>
      </w:pPr>
    </w:p>
    <w:p>
      <w:pPr>
        <w:pStyle w:val="12"/>
        <w:pageBreakBefore w:val="0"/>
        <w:widowControl w:val="0"/>
        <w:kinsoku/>
        <w:wordWrap/>
        <w:overflowPunct/>
        <w:topLinePunct w:val="0"/>
        <w:autoSpaceDE/>
        <w:autoSpaceDN/>
        <w:bidi w:val="0"/>
        <w:spacing w:before="0" w:line="360" w:lineRule="auto"/>
        <w:ind w:left="0" w:right="0" w:firstLine="0" w:firstLineChars="0"/>
        <w:textAlignment w:val="auto"/>
        <w:rPr>
          <w:rFonts w:hint="eastAsia" w:ascii="Times New Roman" w:hAnsi="Times New Roman" w:eastAsia="宋体" w:cs="Times New Roman"/>
          <w:sz w:val="24"/>
          <w:szCs w:val="24"/>
          <w:lang w:eastAsia="zh-CN"/>
        </w:rPr>
      </w:pPr>
    </w:p>
    <w:p>
      <w:pPr>
        <w:pStyle w:val="12"/>
        <w:pageBreakBefore w:val="0"/>
        <w:widowControl w:val="0"/>
        <w:kinsoku/>
        <w:wordWrap/>
        <w:overflowPunct/>
        <w:topLinePunct w:val="0"/>
        <w:autoSpaceDE/>
        <w:autoSpaceDN/>
        <w:bidi w:val="0"/>
        <w:spacing w:before="0" w:line="360" w:lineRule="auto"/>
        <w:ind w:left="0" w:right="0" w:firstLine="0" w:firstLineChars="0"/>
        <w:textAlignment w:val="auto"/>
        <w:rPr>
          <w:rFonts w:hint="eastAsia" w:ascii="Times New Roman" w:hAnsi="Times New Roman" w:eastAsia="宋体" w:cs="Times New Roman"/>
          <w:sz w:val="24"/>
          <w:szCs w:val="24"/>
          <w:lang w:eastAsia="zh-CN"/>
        </w:rPr>
      </w:pPr>
    </w:p>
    <w:p>
      <w:pPr>
        <w:pStyle w:val="12"/>
        <w:pageBreakBefore w:val="0"/>
        <w:widowControl w:val="0"/>
        <w:kinsoku/>
        <w:wordWrap/>
        <w:overflowPunct/>
        <w:topLinePunct w:val="0"/>
        <w:autoSpaceDE/>
        <w:autoSpaceDN/>
        <w:bidi w:val="0"/>
        <w:spacing w:before="0" w:line="360" w:lineRule="auto"/>
        <w:ind w:left="0" w:right="0" w:firstLine="0" w:firstLineChars="0"/>
        <w:textAlignment w:val="auto"/>
        <w:rPr>
          <w:rFonts w:hint="eastAsia" w:ascii="Times New Roman" w:hAnsi="Times New Roman" w:eastAsia="宋体" w:cs="Times New Roman"/>
          <w:sz w:val="24"/>
          <w:szCs w:val="24"/>
          <w:lang w:eastAsia="zh-CN"/>
        </w:rPr>
      </w:pPr>
    </w:p>
    <w:p>
      <w:pPr>
        <w:pStyle w:val="12"/>
        <w:pageBreakBefore w:val="0"/>
        <w:widowControl w:val="0"/>
        <w:kinsoku/>
        <w:wordWrap/>
        <w:overflowPunct/>
        <w:topLinePunct w:val="0"/>
        <w:autoSpaceDE/>
        <w:autoSpaceDN/>
        <w:bidi w:val="0"/>
        <w:spacing w:before="0" w:line="360" w:lineRule="auto"/>
        <w:ind w:left="0" w:right="0" w:firstLine="0" w:firstLineChars="0"/>
        <w:textAlignment w:val="auto"/>
        <w:rPr>
          <w:rFonts w:hint="eastAsia" w:ascii="Times New Roman" w:hAnsi="Times New Roman" w:eastAsia="宋体" w:cs="Times New Roman"/>
          <w:sz w:val="24"/>
          <w:szCs w:val="24"/>
          <w:lang w:eastAsia="zh-CN"/>
        </w:rPr>
      </w:pPr>
    </w:p>
    <w:p>
      <w:pPr>
        <w:pStyle w:val="12"/>
        <w:pageBreakBefore w:val="0"/>
        <w:widowControl w:val="0"/>
        <w:kinsoku/>
        <w:wordWrap/>
        <w:overflowPunct/>
        <w:topLinePunct w:val="0"/>
        <w:autoSpaceDE/>
        <w:autoSpaceDN/>
        <w:bidi w:val="0"/>
        <w:spacing w:before="0" w:line="360" w:lineRule="auto"/>
        <w:ind w:left="0" w:right="0" w:firstLine="0" w:firstLineChars="0"/>
        <w:textAlignment w:val="auto"/>
        <w:rPr>
          <w:rFonts w:hint="eastAsia" w:ascii="Times New Roman" w:hAnsi="Times New Roman" w:eastAsia="宋体" w:cs="Times New Roman"/>
          <w:sz w:val="24"/>
          <w:szCs w:val="24"/>
          <w:lang w:eastAsia="zh-CN"/>
        </w:rPr>
      </w:pPr>
    </w:p>
    <w:p>
      <w:pPr>
        <w:pStyle w:val="12"/>
        <w:pageBreakBefore w:val="0"/>
        <w:widowControl w:val="0"/>
        <w:kinsoku/>
        <w:wordWrap/>
        <w:overflowPunct/>
        <w:topLinePunct w:val="0"/>
        <w:autoSpaceDE/>
        <w:autoSpaceDN/>
        <w:bidi w:val="0"/>
        <w:spacing w:before="0" w:line="360" w:lineRule="auto"/>
        <w:ind w:left="0" w:right="0" w:firstLine="0" w:firstLineChars="0"/>
        <w:textAlignment w:val="auto"/>
        <w:rPr>
          <w:rFonts w:hint="eastAsia" w:ascii="Times New Roman" w:hAnsi="Times New Roman" w:eastAsia="宋体" w:cs="Times New Roman"/>
          <w:sz w:val="24"/>
          <w:szCs w:val="24"/>
          <w:lang w:eastAsia="zh-CN"/>
        </w:rPr>
      </w:pPr>
    </w:p>
    <w:p>
      <w:pPr>
        <w:pStyle w:val="12"/>
        <w:pageBreakBefore w:val="0"/>
        <w:widowControl w:val="0"/>
        <w:kinsoku/>
        <w:wordWrap/>
        <w:overflowPunct/>
        <w:topLinePunct w:val="0"/>
        <w:autoSpaceDE/>
        <w:autoSpaceDN/>
        <w:bidi w:val="0"/>
        <w:spacing w:before="0" w:line="360" w:lineRule="auto"/>
        <w:ind w:left="0" w:right="0" w:firstLine="0" w:firstLineChars="0"/>
        <w:textAlignment w:val="auto"/>
        <w:rPr>
          <w:rFonts w:hint="eastAsia" w:ascii="Times New Roman" w:hAnsi="Times New Roman" w:eastAsia="宋体" w:cs="Times New Roman"/>
          <w:sz w:val="24"/>
          <w:szCs w:val="24"/>
          <w:lang w:eastAsia="zh-CN"/>
        </w:rPr>
      </w:pPr>
    </w:p>
    <w:p>
      <w:pPr>
        <w:pStyle w:val="12"/>
        <w:pageBreakBefore w:val="0"/>
        <w:widowControl w:val="0"/>
        <w:kinsoku/>
        <w:wordWrap/>
        <w:overflowPunct/>
        <w:topLinePunct w:val="0"/>
        <w:autoSpaceDE/>
        <w:autoSpaceDN/>
        <w:bidi w:val="0"/>
        <w:spacing w:before="0" w:line="360" w:lineRule="auto"/>
        <w:ind w:left="0" w:right="0" w:firstLine="0" w:firstLineChars="0"/>
        <w:textAlignment w:val="auto"/>
        <w:rPr>
          <w:rFonts w:hint="eastAsia" w:ascii="Times New Roman" w:hAnsi="Times New Roman" w:eastAsia="宋体" w:cs="Times New Roman"/>
          <w:sz w:val="24"/>
          <w:szCs w:val="24"/>
          <w:lang w:eastAsia="zh-CN"/>
        </w:rPr>
      </w:pPr>
    </w:p>
    <w:p>
      <w:pPr>
        <w:pStyle w:val="12"/>
        <w:pageBreakBefore w:val="0"/>
        <w:widowControl w:val="0"/>
        <w:kinsoku/>
        <w:wordWrap/>
        <w:overflowPunct/>
        <w:topLinePunct w:val="0"/>
        <w:autoSpaceDE/>
        <w:autoSpaceDN/>
        <w:bidi w:val="0"/>
        <w:spacing w:before="0" w:line="360" w:lineRule="auto"/>
        <w:ind w:left="0" w:right="0" w:firstLine="0" w:firstLineChars="0"/>
        <w:textAlignment w:val="auto"/>
        <w:rPr>
          <w:rFonts w:hint="eastAsia" w:ascii="Times New Roman" w:hAnsi="Times New Roman" w:eastAsia="宋体" w:cs="Times New Roman"/>
          <w:sz w:val="24"/>
          <w:szCs w:val="24"/>
          <w:lang w:eastAsia="zh-CN"/>
        </w:rPr>
      </w:pPr>
    </w:p>
    <w:p>
      <w:pPr>
        <w:pStyle w:val="12"/>
        <w:pageBreakBefore w:val="0"/>
        <w:widowControl w:val="0"/>
        <w:kinsoku/>
        <w:wordWrap/>
        <w:overflowPunct/>
        <w:topLinePunct w:val="0"/>
        <w:autoSpaceDE/>
        <w:autoSpaceDN/>
        <w:bidi w:val="0"/>
        <w:spacing w:before="0" w:line="360" w:lineRule="auto"/>
        <w:ind w:left="0" w:right="0" w:firstLine="0" w:firstLineChars="0"/>
        <w:textAlignment w:val="auto"/>
        <w:rPr>
          <w:rFonts w:hint="eastAsia" w:ascii="Times New Roman" w:hAnsi="Times New Roman" w:eastAsia="宋体" w:cs="Times New Roman"/>
          <w:sz w:val="24"/>
          <w:szCs w:val="24"/>
          <w:lang w:eastAsia="zh-CN"/>
        </w:rPr>
      </w:pPr>
    </w:p>
    <w:p>
      <w:pPr>
        <w:pStyle w:val="12"/>
        <w:pageBreakBefore w:val="0"/>
        <w:widowControl w:val="0"/>
        <w:kinsoku/>
        <w:wordWrap/>
        <w:overflowPunct/>
        <w:topLinePunct w:val="0"/>
        <w:autoSpaceDE/>
        <w:autoSpaceDN/>
        <w:bidi w:val="0"/>
        <w:spacing w:before="0" w:line="360" w:lineRule="auto"/>
        <w:ind w:left="0" w:right="0" w:firstLine="0" w:firstLineChars="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w:t>
      </w:r>
      <w:r>
        <w:rPr>
          <w:rFonts w:hint="default" w:ascii="Times New Roman" w:hAnsi="Times New Roman" w:eastAsia="宋体" w:cs="Times New Roman"/>
          <w:b/>
          <w:spacing w:val="-60"/>
          <w:sz w:val="24"/>
          <w:szCs w:val="24"/>
        </w:rPr>
        <w:t xml:space="preserve"> </w:t>
      </w:r>
      <w:r>
        <w:rPr>
          <w:rFonts w:hint="default" w:ascii="Times New Roman" w:hAnsi="Times New Roman" w:eastAsia="宋体" w:cs="Times New Roman"/>
          <w:b/>
          <w:sz w:val="24"/>
          <w:szCs w:val="24"/>
        </w:rPr>
        <w:t>3.1-1</w:t>
      </w:r>
      <w:r>
        <w:rPr>
          <w:rFonts w:hint="default" w:ascii="Times New Roman" w:hAnsi="Times New Roman" w:eastAsia="宋体" w:cs="Times New Roman"/>
          <w:b/>
          <w:sz w:val="24"/>
          <w:szCs w:val="24"/>
        </w:rPr>
        <w:tab/>
      </w:r>
      <w:r>
        <w:rPr>
          <w:rFonts w:hint="default" w:ascii="Times New Roman" w:hAnsi="Times New Roman" w:eastAsia="宋体" w:cs="Times New Roman"/>
          <w:b/>
          <w:sz w:val="24"/>
          <w:szCs w:val="24"/>
        </w:rPr>
        <w:t>六安水系图</w:t>
      </w:r>
    </w:p>
    <w:p>
      <w:pPr>
        <w:pStyle w:val="40"/>
        <w:keepNext w:val="0"/>
        <w:keepLines w:val="0"/>
        <w:pageBreakBefore w:val="0"/>
        <w:widowControl w:val="0"/>
        <w:numPr>
          <w:ilvl w:val="0"/>
          <w:numId w:val="0"/>
        </w:numPr>
        <w:tabs>
          <w:tab w:val="left" w:pos="779"/>
        </w:tabs>
        <w:kinsoku/>
        <w:wordWrap/>
        <w:overflowPunct/>
        <w:topLinePunct w:val="0"/>
        <w:autoSpaceDE/>
        <w:autoSpaceDN/>
        <w:bidi w:val="0"/>
        <w:adjustRightInd/>
        <w:snapToGrid/>
        <w:spacing w:before="0" w:after="0" w:line="360" w:lineRule="auto"/>
        <w:ind w:left="0" w:leftChars="0" w:right="0" w:rightChars="0" w:firstLine="0" w:firstLineChars="0"/>
        <w:jc w:val="left"/>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val="en-US" w:eastAsia="zh-CN"/>
        </w:rPr>
        <w:t>3.1.5</w:t>
      </w:r>
      <w:r>
        <w:rPr>
          <w:rFonts w:hint="default" w:ascii="Times New Roman" w:hAnsi="Times New Roman" w:eastAsia="宋体" w:cs="Times New Roman"/>
          <w:b/>
          <w:sz w:val="24"/>
          <w:szCs w:val="24"/>
        </w:rPr>
        <w:t>自然资源</w:t>
      </w:r>
    </w:p>
    <w:p>
      <w:pPr>
        <w:pStyle w:val="40"/>
        <w:keepNext w:val="0"/>
        <w:keepLines w:val="0"/>
        <w:pageBreakBefore w:val="0"/>
        <w:widowControl w:val="0"/>
        <w:numPr>
          <w:ilvl w:val="0"/>
          <w:numId w:val="0"/>
        </w:numPr>
        <w:tabs>
          <w:tab w:val="left" w:pos="1320"/>
        </w:tabs>
        <w:kinsoku/>
        <w:wordWrap/>
        <w:overflowPunct/>
        <w:topLinePunct w:val="0"/>
        <w:autoSpaceDE/>
        <w:autoSpaceDN/>
        <w:bidi w:val="0"/>
        <w:adjustRightInd/>
        <w:snapToGrid/>
        <w:spacing w:before="0" w:after="0" w:line="360" w:lineRule="auto"/>
        <w:ind w:left="0" w:leftChars="0" w:right="0" w:rightChars="0" w:firstLine="0" w:firstLineChars="0"/>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土地资源</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4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rPr>
        <w:t xml:space="preserve">全市土地总面积 </w:t>
      </w:r>
      <w:r>
        <w:rPr>
          <w:rFonts w:hint="default" w:ascii="Times New Roman" w:hAnsi="Times New Roman" w:eastAsia="宋体" w:cs="Times New Roman"/>
          <w:sz w:val="24"/>
          <w:szCs w:val="24"/>
        </w:rPr>
        <w:t>17976</w:t>
      </w:r>
      <w:r>
        <w:rPr>
          <w:rFonts w:hint="default" w:ascii="Times New Roman" w:hAnsi="Times New Roman" w:eastAsia="宋体" w:cs="Times New Roman"/>
          <w:spacing w:val="-3"/>
          <w:sz w:val="24"/>
          <w:szCs w:val="24"/>
        </w:rPr>
        <w:t>平方公里，土地利用基本结构是：耕地面积</w:t>
      </w:r>
      <w:r>
        <w:rPr>
          <w:rFonts w:hint="default" w:ascii="Times New Roman" w:hAnsi="Times New Roman" w:eastAsia="宋体" w:cs="Times New Roman"/>
          <w:sz w:val="24"/>
          <w:szCs w:val="24"/>
        </w:rPr>
        <w:t>44.67万公顷，</w:t>
      </w:r>
      <w:r>
        <w:rPr>
          <w:rFonts w:hint="default" w:ascii="Times New Roman" w:hAnsi="Times New Roman" w:eastAsia="宋体" w:cs="Times New Roman"/>
          <w:spacing w:val="-8"/>
          <w:sz w:val="24"/>
          <w:szCs w:val="24"/>
        </w:rPr>
        <w:t>占土地总面积的</w:t>
      </w:r>
      <w:r>
        <w:rPr>
          <w:rFonts w:hint="default" w:ascii="Times New Roman" w:hAnsi="Times New Roman" w:eastAsia="宋体" w:cs="Times New Roman"/>
          <w:sz w:val="24"/>
          <w:szCs w:val="24"/>
        </w:rPr>
        <w:t>24.8</w:t>
      </w:r>
      <w:r>
        <w:rPr>
          <w:rFonts w:hint="default" w:ascii="Times New Roman" w:hAnsi="Times New Roman" w:eastAsia="宋体" w:cs="Times New Roman"/>
          <w:spacing w:val="-1"/>
          <w:sz w:val="24"/>
          <w:szCs w:val="24"/>
        </w:rPr>
        <w:t>%</w:t>
      </w:r>
      <w:r>
        <w:rPr>
          <w:rFonts w:hint="default" w:ascii="Times New Roman" w:hAnsi="Times New Roman" w:eastAsia="宋体" w:cs="Times New Roman"/>
          <w:spacing w:val="-29"/>
          <w:sz w:val="24"/>
          <w:szCs w:val="24"/>
        </w:rPr>
        <w:t xml:space="preserve">；林地面积 </w:t>
      </w:r>
      <w:r>
        <w:rPr>
          <w:rFonts w:hint="default" w:ascii="Times New Roman" w:hAnsi="Times New Roman" w:eastAsia="宋体" w:cs="Times New Roman"/>
          <w:sz w:val="24"/>
          <w:szCs w:val="24"/>
        </w:rPr>
        <w:t>60.58</w:t>
      </w:r>
      <w:r>
        <w:rPr>
          <w:rFonts w:hint="default" w:ascii="Times New Roman" w:hAnsi="Times New Roman" w:eastAsia="宋体" w:cs="Times New Roman"/>
          <w:spacing w:val="-28"/>
          <w:sz w:val="24"/>
          <w:szCs w:val="24"/>
        </w:rPr>
        <w:t xml:space="preserve">万公顷，占 </w:t>
      </w:r>
      <w:r>
        <w:rPr>
          <w:rFonts w:hint="default" w:ascii="Times New Roman" w:hAnsi="Times New Roman" w:eastAsia="宋体" w:cs="Times New Roman"/>
          <w:sz w:val="24"/>
          <w:szCs w:val="24"/>
        </w:rPr>
        <w:t>33.7</w:t>
      </w:r>
      <w:r>
        <w:rPr>
          <w:rFonts w:hint="default" w:ascii="Times New Roman" w:hAnsi="Times New Roman" w:eastAsia="宋体" w:cs="Times New Roman"/>
          <w:spacing w:val="-1"/>
          <w:sz w:val="24"/>
          <w:szCs w:val="24"/>
        </w:rPr>
        <w:t>%</w:t>
      </w:r>
      <w:r>
        <w:rPr>
          <w:rFonts w:hint="default" w:ascii="Times New Roman" w:hAnsi="Times New Roman" w:eastAsia="宋体" w:cs="Times New Roman"/>
          <w:spacing w:val="-28"/>
          <w:sz w:val="24"/>
          <w:szCs w:val="24"/>
        </w:rPr>
        <w:t xml:space="preserve">；草地面积 </w:t>
      </w:r>
      <w:r>
        <w:rPr>
          <w:rFonts w:hint="default" w:ascii="Times New Roman" w:hAnsi="Times New Roman" w:eastAsia="宋体" w:cs="Times New Roman"/>
          <w:sz w:val="24"/>
          <w:szCs w:val="24"/>
        </w:rPr>
        <w:t>6.75</w:t>
      </w:r>
      <w:r>
        <w:rPr>
          <w:rFonts w:hint="default" w:ascii="Times New Roman" w:hAnsi="Times New Roman" w:eastAsia="宋体" w:cs="Times New Roman"/>
          <w:spacing w:val="-34"/>
          <w:sz w:val="24"/>
          <w:szCs w:val="24"/>
        </w:rPr>
        <w:t xml:space="preserve">万亩，占 </w:t>
      </w:r>
      <w:r>
        <w:rPr>
          <w:rFonts w:hint="default" w:ascii="Times New Roman" w:hAnsi="Times New Roman" w:eastAsia="宋体" w:cs="Times New Roman"/>
          <w:spacing w:val="-3"/>
          <w:sz w:val="24"/>
          <w:szCs w:val="24"/>
        </w:rPr>
        <w:t>3.8</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3"/>
          <w:sz w:val="24"/>
          <w:szCs w:val="24"/>
        </w:rPr>
        <w:t>；</w:t>
      </w:r>
      <w:r>
        <w:rPr>
          <w:rFonts w:hint="default" w:ascii="Times New Roman" w:hAnsi="Times New Roman" w:eastAsia="宋体" w:cs="Times New Roman"/>
          <w:spacing w:val="-20"/>
          <w:sz w:val="24"/>
          <w:szCs w:val="24"/>
        </w:rPr>
        <w:t>园地</w:t>
      </w:r>
      <w:r>
        <w:rPr>
          <w:rFonts w:hint="default" w:ascii="Times New Roman" w:hAnsi="Times New Roman" w:eastAsia="宋体" w:cs="Times New Roman"/>
          <w:sz w:val="24"/>
          <w:szCs w:val="24"/>
        </w:rPr>
        <w:t>1.98</w:t>
      </w:r>
      <w:r>
        <w:rPr>
          <w:rFonts w:hint="default" w:ascii="Times New Roman" w:hAnsi="Times New Roman" w:eastAsia="宋体" w:cs="Times New Roman"/>
          <w:spacing w:val="-22"/>
          <w:sz w:val="24"/>
          <w:szCs w:val="24"/>
        </w:rPr>
        <w:t xml:space="preserve">万公顷，占 </w:t>
      </w:r>
      <w:r>
        <w:rPr>
          <w:rFonts w:hint="default" w:ascii="Times New Roman" w:hAnsi="Times New Roman" w:eastAsia="宋体" w:cs="Times New Roman"/>
          <w:sz w:val="24"/>
          <w:szCs w:val="24"/>
        </w:rPr>
        <w:t>1.1</w:t>
      </w:r>
      <w:r>
        <w:rPr>
          <w:rFonts w:hint="default" w:ascii="Times New Roman" w:hAnsi="Times New Roman" w:eastAsia="宋体" w:cs="Times New Roman"/>
          <w:spacing w:val="-1"/>
          <w:sz w:val="24"/>
          <w:szCs w:val="24"/>
        </w:rPr>
        <w:t>%</w:t>
      </w:r>
      <w:r>
        <w:rPr>
          <w:rFonts w:hint="default" w:ascii="Times New Roman" w:hAnsi="Times New Roman" w:eastAsia="宋体" w:cs="Times New Roman"/>
          <w:spacing w:val="-32"/>
          <w:sz w:val="24"/>
          <w:szCs w:val="24"/>
        </w:rPr>
        <w:t xml:space="preserve">；水域 </w:t>
      </w:r>
      <w:r>
        <w:rPr>
          <w:rFonts w:hint="default" w:ascii="Times New Roman" w:hAnsi="Times New Roman" w:eastAsia="宋体" w:cs="Times New Roman"/>
          <w:sz w:val="24"/>
          <w:szCs w:val="24"/>
        </w:rPr>
        <w:t>10.97</w:t>
      </w:r>
      <w:r>
        <w:rPr>
          <w:rFonts w:hint="default" w:ascii="Times New Roman" w:hAnsi="Times New Roman" w:eastAsia="宋体" w:cs="Times New Roman"/>
          <w:spacing w:val="-22"/>
          <w:sz w:val="24"/>
          <w:szCs w:val="24"/>
        </w:rPr>
        <w:t xml:space="preserve">万公顷，占 </w:t>
      </w:r>
      <w:r>
        <w:rPr>
          <w:rFonts w:hint="default" w:ascii="Times New Roman" w:hAnsi="Times New Roman" w:eastAsia="宋体" w:cs="Times New Roman"/>
          <w:sz w:val="24"/>
          <w:szCs w:val="24"/>
        </w:rPr>
        <w:t>6.1</w:t>
      </w:r>
      <w:r>
        <w:rPr>
          <w:rFonts w:hint="default" w:ascii="Times New Roman" w:hAnsi="Times New Roman" w:eastAsia="宋体" w:cs="Times New Roman"/>
          <w:spacing w:val="-1"/>
          <w:sz w:val="24"/>
          <w:szCs w:val="24"/>
        </w:rPr>
        <w:t>%</w:t>
      </w:r>
      <w:r>
        <w:rPr>
          <w:rFonts w:hint="default" w:ascii="Times New Roman" w:hAnsi="Times New Roman" w:eastAsia="宋体" w:cs="Times New Roman"/>
          <w:spacing w:val="-130"/>
          <w:sz w:val="24"/>
          <w:szCs w:val="24"/>
        </w:rPr>
        <w:t>；</w:t>
      </w:r>
      <w:r>
        <w:rPr>
          <w:rFonts w:hint="default" w:ascii="Times New Roman" w:hAnsi="Times New Roman" w:eastAsia="宋体" w:cs="Times New Roman"/>
          <w:sz w:val="24"/>
          <w:szCs w:val="24"/>
        </w:rPr>
        <w:t>（</w:t>
      </w:r>
      <w:r>
        <w:rPr>
          <w:rFonts w:hint="default" w:ascii="Times New Roman" w:hAnsi="Times New Roman" w:eastAsia="宋体" w:cs="Times New Roman"/>
          <w:spacing w:val="-9"/>
          <w:sz w:val="24"/>
          <w:szCs w:val="24"/>
        </w:rPr>
        <w:t>其中可养水面</w:t>
      </w:r>
      <w:r>
        <w:rPr>
          <w:rFonts w:hint="default" w:ascii="Times New Roman" w:hAnsi="Times New Roman" w:eastAsia="宋体" w:cs="Times New Roman"/>
          <w:sz w:val="24"/>
          <w:szCs w:val="24"/>
        </w:rPr>
        <w:t>6.37万公顷</w:t>
      </w:r>
      <w:r>
        <w:rPr>
          <w:rFonts w:hint="default" w:ascii="Times New Roman" w:hAnsi="Times New Roman" w:eastAsia="宋体" w:cs="Times New Roman"/>
          <w:spacing w:val="-73"/>
          <w:sz w:val="24"/>
          <w:szCs w:val="24"/>
        </w:rPr>
        <w:t>）</w:t>
      </w:r>
      <w:r>
        <w:rPr>
          <w:rFonts w:hint="default" w:ascii="Times New Roman" w:hAnsi="Times New Roman" w:eastAsia="宋体" w:cs="Times New Roman"/>
          <w:spacing w:val="-8"/>
          <w:sz w:val="24"/>
          <w:szCs w:val="24"/>
        </w:rPr>
        <w:t>；</w:t>
      </w:r>
      <w:r>
        <w:rPr>
          <w:rFonts w:hint="default" w:ascii="Times New Roman" w:hAnsi="Times New Roman" w:eastAsia="宋体" w:cs="Times New Roman"/>
          <w:spacing w:val="-6"/>
          <w:sz w:val="24"/>
          <w:szCs w:val="24"/>
        </w:rPr>
        <w:t>城乡建设和交通用地约</w:t>
      </w:r>
      <w:r>
        <w:rPr>
          <w:rFonts w:hint="default" w:ascii="Times New Roman" w:hAnsi="Times New Roman" w:eastAsia="宋体" w:cs="Times New Roman"/>
          <w:sz w:val="24"/>
          <w:szCs w:val="24"/>
        </w:rPr>
        <w:t>51.92</w:t>
      </w:r>
      <w:r>
        <w:rPr>
          <w:rFonts w:hint="default" w:ascii="Times New Roman" w:hAnsi="Times New Roman" w:eastAsia="宋体" w:cs="Times New Roman"/>
          <w:spacing w:val="-10"/>
          <w:sz w:val="24"/>
          <w:szCs w:val="24"/>
        </w:rPr>
        <w:t xml:space="preserve">万公顷，占 </w:t>
      </w:r>
      <w:r>
        <w:rPr>
          <w:rFonts w:hint="default" w:ascii="Times New Roman" w:hAnsi="Times New Roman" w:eastAsia="宋体" w:cs="Times New Roman"/>
          <w:sz w:val="24"/>
          <w:szCs w:val="24"/>
        </w:rPr>
        <w:t>28.89%。</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z w:val="24"/>
          <w:szCs w:val="24"/>
        </w:rPr>
        <w:t>区</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pacing w:val="-12"/>
          <w:sz w:val="24"/>
          <w:szCs w:val="24"/>
        </w:rPr>
        <w:t>场面积大，耕地面积相对较小。南部</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z w:val="24"/>
          <w:szCs w:val="24"/>
        </w:rPr>
        <w:t>区和丘陵共有</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pacing w:val="-15"/>
          <w:sz w:val="24"/>
          <w:szCs w:val="24"/>
        </w:rPr>
        <w:t>场面积</w:t>
      </w:r>
      <w:r>
        <w:rPr>
          <w:rFonts w:hint="default" w:ascii="Times New Roman" w:hAnsi="Times New Roman" w:eastAsia="宋体" w:cs="Times New Roman"/>
          <w:sz w:val="24"/>
          <w:szCs w:val="24"/>
        </w:rPr>
        <w:t>75.8</w:t>
      </w:r>
      <w:r>
        <w:rPr>
          <w:rFonts w:hint="default" w:ascii="Times New Roman" w:hAnsi="Times New Roman" w:eastAsia="宋体" w:cs="Times New Roman"/>
          <w:spacing w:val="-4"/>
          <w:sz w:val="24"/>
          <w:szCs w:val="24"/>
        </w:rPr>
        <w:t xml:space="preserve">万公顷， </w:t>
      </w:r>
      <w:r>
        <w:rPr>
          <w:rFonts w:hint="default" w:ascii="Times New Roman" w:hAnsi="Times New Roman" w:eastAsia="宋体" w:cs="Times New Roman"/>
          <w:spacing w:val="-6"/>
          <w:sz w:val="24"/>
          <w:szCs w:val="24"/>
        </w:rPr>
        <w:t>其中有林地和三园面积占</w:t>
      </w:r>
      <w:r>
        <w:rPr>
          <w:rFonts w:hint="default" w:ascii="Times New Roman" w:hAnsi="Times New Roman" w:eastAsia="宋体" w:cs="Times New Roman"/>
          <w:sz w:val="24"/>
          <w:szCs w:val="24"/>
        </w:rPr>
        <w:t>52.9%</w:t>
      </w:r>
      <w:r>
        <w:rPr>
          <w:rFonts w:hint="default" w:ascii="Times New Roman" w:hAnsi="Times New Roman" w:eastAsia="宋体" w:cs="Times New Roman"/>
          <w:spacing w:val="-3"/>
          <w:sz w:val="24"/>
          <w:szCs w:val="24"/>
        </w:rPr>
        <w:t>，尚有大片疏林、灌丛、草地需要合理开发利用。全区80%的耕地集中在江淮岗地和平原区，耕地后备资源已近枯竭。</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6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全市土壤类型初步可分为</w:t>
      </w:r>
      <w:r>
        <w:rPr>
          <w:rFonts w:hint="default" w:ascii="Times New Roman" w:hAnsi="Times New Roman" w:eastAsia="宋体" w:cs="Times New Roman"/>
          <w:sz w:val="24"/>
          <w:szCs w:val="24"/>
        </w:rPr>
        <w:t>9</w:t>
      </w:r>
      <w:r>
        <w:rPr>
          <w:rFonts w:hint="default" w:ascii="Times New Roman" w:hAnsi="Times New Roman" w:eastAsia="宋体" w:cs="Times New Roman"/>
          <w:spacing w:val="-7"/>
          <w:sz w:val="24"/>
          <w:szCs w:val="24"/>
        </w:rPr>
        <w:t>个土类、</w:t>
      </w:r>
      <w:r>
        <w:rPr>
          <w:rFonts w:hint="default" w:ascii="Times New Roman" w:hAnsi="Times New Roman" w:eastAsia="宋体" w:cs="Times New Roman"/>
          <w:sz w:val="24"/>
          <w:szCs w:val="24"/>
        </w:rPr>
        <w:t>18</w:t>
      </w:r>
      <w:r>
        <w:rPr>
          <w:rFonts w:hint="default" w:ascii="Times New Roman" w:hAnsi="Times New Roman" w:eastAsia="宋体" w:cs="Times New Roman"/>
          <w:spacing w:val="-7"/>
          <w:sz w:val="24"/>
          <w:szCs w:val="24"/>
        </w:rPr>
        <w:t>个亚类、</w:t>
      </w:r>
      <w:r>
        <w:rPr>
          <w:rFonts w:hint="default" w:ascii="Times New Roman" w:hAnsi="Times New Roman" w:eastAsia="宋体" w:cs="Times New Roman"/>
          <w:sz w:val="24"/>
          <w:szCs w:val="24"/>
        </w:rPr>
        <w:t>59</w:t>
      </w:r>
      <w:r>
        <w:rPr>
          <w:rFonts w:hint="default" w:ascii="Times New Roman" w:hAnsi="Times New Roman" w:eastAsia="宋体" w:cs="Times New Roman"/>
          <w:spacing w:val="-7"/>
          <w:sz w:val="24"/>
          <w:szCs w:val="24"/>
        </w:rPr>
        <w:t>个土属、</w:t>
      </w:r>
      <w:r>
        <w:rPr>
          <w:rFonts w:hint="default" w:ascii="Times New Roman" w:hAnsi="Times New Roman" w:eastAsia="宋体" w:cs="Times New Roman"/>
          <w:sz w:val="24"/>
          <w:szCs w:val="24"/>
        </w:rPr>
        <w:t>139</w:t>
      </w:r>
      <w:r>
        <w:rPr>
          <w:rFonts w:hint="default" w:ascii="Times New Roman" w:hAnsi="Times New Roman" w:eastAsia="宋体" w:cs="Times New Roman"/>
          <w:spacing w:val="-7"/>
          <w:sz w:val="24"/>
          <w:szCs w:val="24"/>
        </w:rPr>
        <w:t>个土种。地带性土</w:t>
      </w:r>
      <w:r>
        <w:rPr>
          <w:rFonts w:hint="default" w:ascii="Times New Roman" w:hAnsi="Times New Roman" w:eastAsia="宋体" w:cs="Times New Roman"/>
          <w:spacing w:val="-3"/>
          <w:sz w:val="24"/>
          <w:szCs w:val="24"/>
        </w:rPr>
        <w:t>壤为水稻土、黄棕壤和黄褐土，占土壤总面积的</w:t>
      </w:r>
      <w:r>
        <w:rPr>
          <w:rFonts w:hint="default" w:ascii="Times New Roman" w:hAnsi="Times New Roman" w:eastAsia="宋体" w:cs="Times New Roman"/>
          <w:sz w:val="24"/>
          <w:szCs w:val="24"/>
        </w:rPr>
        <w:t>58.5%。</w:t>
      </w:r>
    </w:p>
    <w:p>
      <w:pPr>
        <w:pStyle w:val="40"/>
        <w:keepNext w:val="0"/>
        <w:keepLines w:val="0"/>
        <w:pageBreakBefore w:val="0"/>
        <w:widowControl w:val="0"/>
        <w:numPr>
          <w:ilvl w:val="0"/>
          <w:numId w:val="0"/>
        </w:numPr>
        <w:tabs>
          <w:tab w:val="left" w:pos="1320"/>
        </w:tabs>
        <w:kinsoku/>
        <w:wordWrap/>
        <w:overflowPunct/>
        <w:topLinePunct w:val="0"/>
        <w:autoSpaceDE/>
        <w:autoSpaceDN/>
        <w:bidi w:val="0"/>
        <w:adjustRightInd/>
        <w:snapToGrid/>
        <w:spacing w:before="0" w:after="0" w:line="360" w:lineRule="auto"/>
        <w:ind w:left="0" w:leftChars="0" w:right="0" w:rightChars="0" w:firstLine="0" w:firstLineChars="0"/>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水资源</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5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 xml:space="preserve">六安市水资源主要来自降水，地下水资源贫乏。多年平均地表径流在 </w:t>
      </w:r>
      <w:r>
        <w:rPr>
          <w:rFonts w:hint="default" w:ascii="Times New Roman" w:hAnsi="Times New Roman" w:eastAsia="宋体" w:cs="Times New Roman"/>
          <w:sz w:val="24"/>
          <w:szCs w:val="24"/>
        </w:rPr>
        <w:t xml:space="preserve">900～1600 </w:t>
      </w:r>
      <w:r>
        <w:rPr>
          <w:rFonts w:hint="default" w:ascii="Times New Roman" w:hAnsi="Times New Roman" w:eastAsia="宋体" w:cs="Times New Roman"/>
          <w:spacing w:val="-17"/>
          <w:sz w:val="24"/>
          <w:szCs w:val="24"/>
        </w:rPr>
        <w:t>毫</w:t>
      </w:r>
      <w:r>
        <w:rPr>
          <w:rFonts w:hint="default" w:ascii="Times New Roman" w:hAnsi="Times New Roman" w:eastAsia="宋体" w:cs="Times New Roman"/>
          <w:spacing w:val="-6"/>
          <w:sz w:val="24"/>
          <w:szCs w:val="24"/>
        </w:rPr>
        <w:t xml:space="preserve">米之间，地表水资源总量 </w:t>
      </w:r>
      <w:r>
        <w:rPr>
          <w:rFonts w:hint="default" w:ascii="Times New Roman" w:hAnsi="Times New Roman" w:eastAsia="宋体" w:cs="Times New Roman"/>
          <w:sz w:val="24"/>
          <w:szCs w:val="24"/>
        </w:rPr>
        <w:t>99.92</w:t>
      </w:r>
      <w:r>
        <w:rPr>
          <w:rFonts w:hint="default" w:ascii="Times New Roman" w:hAnsi="Times New Roman" w:eastAsia="宋体" w:cs="Times New Roman"/>
          <w:spacing w:val="-2"/>
          <w:sz w:val="24"/>
          <w:szCs w:val="24"/>
        </w:rPr>
        <w:t>亿立方米。其空间分布是：大别</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pacing w:val="-16"/>
          <w:sz w:val="24"/>
          <w:szCs w:val="24"/>
        </w:rPr>
        <w:t xml:space="preserve">地区占 </w:t>
      </w:r>
      <w:r>
        <w:rPr>
          <w:rFonts w:hint="default" w:ascii="Times New Roman" w:hAnsi="Times New Roman" w:eastAsia="宋体" w:cs="Times New Roman"/>
          <w:sz w:val="24"/>
          <w:szCs w:val="24"/>
        </w:rPr>
        <w:t>60%</w:t>
      </w:r>
      <w:r>
        <w:rPr>
          <w:rFonts w:hint="default" w:ascii="Times New Roman" w:hAnsi="Times New Roman" w:eastAsia="宋体" w:cs="Times New Roman"/>
          <w:spacing w:val="-3"/>
          <w:sz w:val="24"/>
          <w:szCs w:val="24"/>
        </w:rPr>
        <w:t>，江淮丘</w:t>
      </w:r>
      <w:r>
        <w:rPr>
          <w:rFonts w:hint="default" w:ascii="Times New Roman" w:hAnsi="Times New Roman" w:eastAsia="宋体" w:cs="Times New Roman"/>
          <w:spacing w:val="-10"/>
          <w:sz w:val="24"/>
          <w:szCs w:val="24"/>
        </w:rPr>
        <w:t>岗区占</w:t>
      </w:r>
      <w:r>
        <w:rPr>
          <w:rFonts w:hint="default" w:ascii="Times New Roman" w:hAnsi="Times New Roman" w:eastAsia="宋体" w:cs="Times New Roman"/>
          <w:sz w:val="24"/>
          <w:szCs w:val="24"/>
        </w:rPr>
        <w:t>33.8%</w:t>
      </w:r>
      <w:r>
        <w:rPr>
          <w:rFonts w:hint="default" w:ascii="Times New Roman" w:hAnsi="Times New Roman" w:eastAsia="宋体" w:cs="Times New Roman"/>
          <w:spacing w:val="-5"/>
          <w:sz w:val="24"/>
          <w:szCs w:val="24"/>
        </w:rPr>
        <w:t>，沿淮湖洼区占</w:t>
      </w:r>
      <w:r>
        <w:rPr>
          <w:rFonts w:hint="default" w:ascii="Times New Roman" w:hAnsi="Times New Roman" w:eastAsia="宋体" w:cs="Times New Roman"/>
          <w:sz w:val="24"/>
          <w:szCs w:val="24"/>
        </w:rPr>
        <w:t>4.7%</w:t>
      </w:r>
      <w:r>
        <w:rPr>
          <w:rFonts w:hint="default" w:ascii="Times New Roman" w:hAnsi="Times New Roman" w:eastAsia="宋体" w:cs="Times New Roman"/>
          <w:spacing w:val="-5"/>
          <w:sz w:val="24"/>
          <w:szCs w:val="24"/>
        </w:rPr>
        <w:t>，杭丰圩畈区占</w:t>
      </w:r>
      <w:r>
        <w:rPr>
          <w:rFonts w:hint="default" w:ascii="Times New Roman" w:hAnsi="Times New Roman" w:eastAsia="宋体" w:cs="Times New Roman"/>
          <w:sz w:val="24"/>
          <w:szCs w:val="24"/>
        </w:rPr>
        <w:t>1.5%</w:t>
      </w:r>
      <w:r>
        <w:rPr>
          <w:rFonts w:hint="default" w:ascii="Times New Roman" w:hAnsi="Times New Roman" w:eastAsia="宋体" w:cs="Times New Roman"/>
          <w:spacing w:val="-2"/>
          <w:sz w:val="24"/>
          <w:szCs w:val="24"/>
        </w:rPr>
        <w:t>。年际间水资源的丰枯比率达</w:t>
      </w:r>
      <w:r>
        <w:rPr>
          <w:rFonts w:hint="default" w:ascii="Times New Roman" w:hAnsi="Times New Roman" w:eastAsia="宋体" w:cs="Times New Roman"/>
          <w:sz w:val="24"/>
          <w:szCs w:val="24"/>
        </w:rPr>
        <w:t>2.5</w:t>
      </w:r>
      <w:r>
        <w:rPr>
          <w:rFonts w:hint="default" w:ascii="Times New Roman" w:hAnsi="Times New Roman" w:eastAsia="宋体" w:cs="Times New Roman"/>
          <w:spacing w:val="-5"/>
          <w:sz w:val="24"/>
          <w:szCs w:val="24"/>
        </w:rPr>
        <w:t xml:space="preserve">，年内汛期径流量约占全年的 </w:t>
      </w:r>
      <w:r>
        <w:rPr>
          <w:rFonts w:hint="default" w:ascii="Times New Roman" w:hAnsi="Times New Roman" w:eastAsia="宋体" w:cs="Times New Roman"/>
          <w:sz w:val="24"/>
          <w:szCs w:val="24"/>
        </w:rPr>
        <w:t>50～60%。</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64"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全市现有蓄水工程总容量</w:t>
      </w:r>
      <w:r>
        <w:rPr>
          <w:rFonts w:hint="default" w:ascii="Times New Roman" w:hAnsi="Times New Roman" w:eastAsia="宋体" w:cs="Times New Roman"/>
          <w:sz w:val="24"/>
          <w:szCs w:val="24"/>
        </w:rPr>
        <w:t>81</w:t>
      </w:r>
      <w:r>
        <w:rPr>
          <w:rFonts w:hint="default" w:ascii="Times New Roman" w:hAnsi="Times New Roman" w:eastAsia="宋体" w:cs="Times New Roman"/>
          <w:spacing w:val="-4"/>
          <w:sz w:val="24"/>
          <w:szCs w:val="24"/>
        </w:rPr>
        <w:t>亿立方米，每公顷均补给水量</w:t>
      </w:r>
      <w:r>
        <w:rPr>
          <w:rFonts w:hint="default" w:ascii="Times New Roman" w:hAnsi="Times New Roman" w:eastAsia="宋体" w:cs="Times New Roman"/>
          <w:sz w:val="24"/>
          <w:szCs w:val="24"/>
        </w:rPr>
        <w:t xml:space="preserve">12405 </w:t>
      </w:r>
      <w:r>
        <w:rPr>
          <w:rFonts w:hint="default" w:ascii="Times New Roman" w:hAnsi="Times New Roman" w:eastAsia="宋体" w:cs="Times New Roman"/>
          <w:spacing w:val="-2"/>
          <w:sz w:val="24"/>
          <w:szCs w:val="24"/>
        </w:rPr>
        <w:t>立方米。全区水</w:t>
      </w:r>
      <w:r>
        <w:rPr>
          <w:rFonts w:hint="default" w:ascii="Times New Roman" w:hAnsi="Times New Roman" w:eastAsia="宋体" w:cs="Times New Roman"/>
          <w:spacing w:val="-10"/>
          <w:sz w:val="24"/>
          <w:szCs w:val="24"/>
        </w:rPr>
        <w:t>资源供需情况：平水年有余；偏枯水年水量不足，缺水</w:t>
      </w:r>
      <w:r>
        <w:rPr>
          <w:rFonts w:hint="default" w:ascii="Times New Roman" w:hAnsi="Times New Roman" w:eastAsia="宋体" w:cs="Times New Roman"/>
          <w:sz w:val="24"/>
          <w:szCs w:val="24"/>
        </w:rPr>
        <w:t>3.34</w:t>
      </w:r>
      <w:r>
        <w:rPr>
          <w:rFonts w:hint="default" w:ascii="Times New Roman" w:hAnsi="Times New Roman" w:eastAsia="宋体" w:cs="Times New Roman"/>
          <w:spacing w:val="-6"/>
          <w:sz w:val="24"/>
          <w:szCs w:val="24"/>
        </w:rPr>
        <w:t>亿立方米；枯水年份水量严</w:t>
      </w:r>
      <w:r>
        <w:rPr>
          <w:rFonts w:hint="default" w:ascii="Times New Roman" w:hAnsi="Times New Roman" w:eastAsia="宋体" w:cs="Times New Roman"/>
          <w:spacing w:val="-9"/>
          <w:sz w:val="24"/>
          <w:szCs w:val="24"/>
        </w:rPr>
        <w:t>重不足，约缺</w:t>
      </w:r>
      <w:r>
        <w:rPr>
          <w:rFonts w:hint="default" w:ascii="Times New Roman" w:hAnsi="Times New Roman" w:eastAsia="宋体" w:cs="Times New Roman"/>
          <w:sz w:val="24"/>
          <w:szCs w:val="24"/>
        </w:rPr>
        <w:t>14亿立方米。</w:t>
      </w:r>
      <w:r>
        <w:rPr>
          <w:rFonts w:hint="default" w:ascii="Times New Roman" w:hAnsi="Times New Roman" w:eastAsia="宋体" w:cs="Times New Roman"/>
          <w:spacing w:val="-4"/>
          <w:sz w:val="24"/>
          <w:szCs w:val="24"/>
        </w:rPr>
        <w:t>全市水能资源丰富，总蕴藏量为</w:t>
      </w:r>
      <w:r>
        <w:rPr>
          <w:rFonts w:hint="default" w:ascii="Times New Roman" w:hAnsi="Times New Roman" w:eastAsia="宋体" w:cs="Times New Roman"/>
          <w:sz w:val="24"/>
          <w:szCs w:val="24"/>
        </w:rPr>
        <w:t>51.6</w:t>
      </w:r>
      <w:r>
        <w:rPr>
          <w:rFonts w:hint="default" w:ascii="Times New Roman" w:hAnsi="Times New Roman" w:eastAsia="宋体" w:cs="Times New Roman"/>
          <w:spacing w:val="-5"/>
          <w:sz w:val="24"/>
          <w:szCs w:val="24"/>
        </w:rPr>
        <w:t>万千瓦，其中可开发利用量</w:t>
      </w:r>
      <w:r>
        <w:rPr>
          <w:rFonts w:hint="default" w:ascii="Times New Roman" w:hAnsi="Times New Roman" w:eastAsia="宋体" w:cs="Times New Roman"/>
          <w:sz w:val="24"/>
          <w:szCs w:val="24"/>
        </w:rPr>
        <w:t>31</w:t>
      </w:r>
      <w:r>
        <w:rPr>
          <w:rFonts w:hint="default" w:ascii="Times New Roman" w:hAnsi="Times New Roman" w:eastAsia="宋体" w:cs="Times New Roman"/>
          <w:spacing w:val="-3"/>
          <w:sz w:val="24"/>
          <w:szCs w:val="24"/>
        </w:rPr>
        <w:t>万千瓦。已开</w:t>
      </w:r>
      <w:r>
        <w:rPr>
          <w:rFonts w:hint="default" w:ascii="Times New Roman" w:hAnsi="Times New Roman" w:eastAsia="宋体" w:cs="Times New Roman"/>
          <w:spacing w:val="-16"/>
          <w:sz w:val="24"/>
          <w:szCs w:val="24"/>
        </w:rPr>
        <w:t>发利用</w:t>
      </w:r>
      <w:r>
        <w:rPr>
          <w:rFonts w:hint="default" w:ascii="Times New Roman" w:hAnsi="Times New Roman" w:eastAsia="宋体" w:cs="Times New Roman"/>
          <w:sz w:val="24"/>
          <w:szCs w:val="24"/>
        </w:rPr>
        <w:t xml:space="preserve">14.32 </w:t>
      </w:r>
      <w:r>
        <w:rPr>
          <w:rFonts w:hint="default" w:ascii="Times New Roman" w:hAnsi="Times New Roman" w:eastAsia="宋体" w:cs="Times New Roman"/>
          <w:spacing w:val="-6"/>
          <w:sz w:val="24"/>
          <w:szCs w:val="24"/>
        </w:rPr>
        <w:t>万千瓦，占可开发量的</w:t>
      </w:r>
      <w:r>
        <w:rPr>
          <w:rFonts w:hint="default" w:ascii="Times New Roman" w:hAnsi="Times New Roman" w:eastAsia="宋体" w:cs="Times New Roman"/>
          <w:sz w:val="24"/>
          <w:szCs w:val="24"/>
        </w:rPr>
        <w:t>44.9%。</w:t>
      </w:r>
    </w:p>
    <w:p>
      <w:pPr>
        <w:pStyle w:val="40"/>
        <w:keepNext w:val="0"/>
        <w:keepLines w:val="0"/>
        <w:pageBreakBefore w:val="0"/>
        <w:widowControl w:val="0"/>
        <w:numPr>
          <w:ilvl w:val="0"/>
          <w:numId w:val="0"/>
        </w:numPr>
        <w:tabs>
          <w:tab w:val="left" w:pos="1320"/>
        </w:tabs>
        <w:kinsoku/>
        <w:wordWrap/>
        <w:overflowPunct/>
        <w:topLinePunct w:val="0"/>
        <w:autoSpaceDE/>
        <w:autoSpaceDN/>
        <w:bidi w:val="0"/>
        <w:adjustRightInd/>
        <w:snapToGrid/>
        <w:spacing w:before="0" w:after="0" w:line="360" w:lineRule="auto"/>
        <w:ind w:left="0" w:leftChars="0" w:right="0" w:rightChars="0" w:firstLine="0" w:firstLineChars="0"/>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植物资源</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right="0" w:firstLine="464"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全市属北亚热带常绿阔叶林植被带、皖中落叶与常绿阔叶混交林地带。境内有维管</w:t>
      </w:r>
      <w:r>
        <w:rPr>
          <w:rFonts w:hint="default" w:ascii="Times New Roman" w:hAnsi="Times New Roman" w:eastAsia="宋体" w:cs="Times New Roman"/>
          <w:spacing w:val="-14"/>
          <w:sz w:val="24"/>
          <w:szCs w:val="24"/>
        </w:rPr>
        <w:t xml:space="preserve">植物 </w:t>
      </w:r>
      <w:r>
        <w:rPr>
          <w:rFonts w:hint="default" w:ascii="Times New Roman" w:hAnsi="Times New Roman" w:eastAsia="宋体" w:cs="Times New Roman"/>
          <w:sz w:val="24"/>
          <w:szCs w:val="24"/>
        </w:rPr>
        <w:t>186</w:t>
      </w:r>
      <w:r>
        <w:rPr>
          <w:rFonts w:hint="default" w:ascii="Times New Roman" w:hAnsi="Times New Roman" w:eastAsia="宋体" w:cs="Times New Roman"/>
          <w:spacing w:val="19"/>
          <w:sz w:val="24"/>
          <w:szCs w:val="24"/>
        </w:rPr>
        <w:t xml:space="preserve"> </w:t>
      </w:r>
      <w:r>
        <w:rPr>
          <w:rFonts w:hint="default" w:ascii="Times New Roman" w:hAnsi="Times New Roman" w:eastAsia="宋体" w:cs="Times New Roman"/>
          <w:sz w:val="24"/>
          <w:szCs w:val="24"/>
        </w:rPr>
        <w:t>科、714属、1638</w:t>
      </w:r>
      <w:r>
        <w:rPr>
          <w:rFonts w:hint="default" w:ascii="Times New Roman" w:hAnsi="Times New Roman" w:eastAsia="宋体" w:cs="Times New Roman"/>
          <w:spacing w:val="-6"/>
          <w:sz w:val="24"/>
          <w:szCs w:val="24"/>
        </w:rPr>
        <w:t>种；裸子植物</w:t>
      </w:r>
      <w:r>
        <w:rPr>
          <w:rFonts w:hint="default" w:ascii="Times New Roman" w:hAnsi="Times New Roman" w:eastAsia="宋体" w:cs="Times New Roman"/>
          <w:sz w:val="24"/>
          <w:szCs w:val="24"/>
        </w:rPr>
        <w:t>8科、18属、30</w:t>
      </w:r>
      <w:r>
        <w:rPr>
          <w:rFonts w:hint="default" w:ascii="Times New Roman" w:hAnsi="Times New Roman" w:eastAsia="宋体" w:cs="Times New Roman"/>
          <w:spacing w:val="-6"/>
          <w:sz w:val="24"/>
          <w:szCs w:val="24"/>
        </w:rPr>
        <w:t>种；被子植物</w:t>
      </w:r>
      <w:r>
        <w:rPr>
          <w:rFonts w:hint="default" w:ascii="Times New Roman" w:hAnsi="Times New Roman" w:eastAsia="宋体" w:cs="Times New Roman"/>
          <w:sz w:val="24"/>
          <w:szCs w:val="24"/>
        </w:rPr>
        <w:t>150科、</w:t>
      </w:r>
      <w:r>
        <w:rPr>
          <w:rFonts w:hint="default" w:ascii="Times New Roman" w:hAnsi="Times New Roman" w:eastAsia="宋体" w:cs="Times New Roman"/>
          <w:spacing w:val="-5"/>
          <w:sz w:val="24"/>
          <w:szCs w:val="24"/>
        </w:rPr>
        <w:t>644</w:t>
      </w:r>
      <w:r>
        <w:rPr>
          <w:rFonts w:hint="default" w:ascii="Times New Roman" w:hAnsi="Times New Roman" w:eastAsia="宋体" w:cs="Times New Roman"/>
          <w:sz w:val="24"/>
          <w:szCs w:val="24"/>
        </w:rPr>
        <w:t>属、1518</w:t>
      </w:r>
      <w:r>
        <w:rPr>
          <w:rFonts w:hint="default" w:ascii="Times New Roman" w:hAnsi="Times New Roman" w:eastAsia="宋体" w:cs="Times New Roman"/>
          <w:spacing w:val="-5"/>
          <w:sz w:val="24"/>
          <w:szCs w:val="24"/>
        </w:rPr>
        <w:t xml:space="preserve">种。粮食作物品种 </w:t>
      </w:r>
      <w:r>
        <w:rPr>
          <w:rFonts w:hint="default" w:ascii="Times New Roman" w:hAnsi="Times New Roman" w:eastAsia="宋体" w:cs="Times New Roman"/>
          <w:sz w:val="24"/>
          <w:szCs w:val="24"/>
        </w:rPr>
        <w:t>626</w:t>
      </w:r>
      <w:r>
        <w:rPr>
          <w:rFonts w:hint="default" w:ascii="Times New Roman" w:hAnsi="Times New Roman" w:eastAsia="宋体" w:cs="Times New Roman"/>
          <w:spacing w:val="-5"/>
          <w:sz w:val="24"/>
          <w:szCs w:val="24"/>
        </w:rPr>
        <w:t xml:space="preserve">个，经济作物品种 </w:t>
      </w:r>
      <w:r>
        <w:rPr>
          <w:rFonts w:hint="default" w:ascii="Times New Roman" w:hAnsi="Times New Roman" w:eastAsia="宋体" w:cs="Times New Roman"/>
          <w:sz w:val="24"/>
          <w:szCs w:val="24"/>
        </w:rPr>
        <w:t>67</w:t>
      </w:r>
      <w:r>
        <w:rPr>
          <w:rFonts w:hint="default" w:ascii="Times New Roman" w:hAnsi="Times New Roman" w:eastAsia="宋体" w:cs="Times New Roman"/>
          <w:spacing w:val="-6"/>
          <w:sz w:val="24"/>
          <w:szCs w:val="24"/>
        </w:rPr>
        <w:t>个，蔬菜品种</w:t>
      </w:r>
      <w:r>
        <w:rPr>
          <w:rFonts w:hint="default" w:ascii="Times New Roman" w:hAnsi="Times New Roman" w:eastAsia="宋体" w:cs="Times New Roman"/>
          <w:sz w:val="24"/>
          <w:szCs w:val="24"/>
        </w:rPr>
        <w:t>70</w:t>
      </w:r>
      <w:r>
        <w:rPr>
          <w:rFonts w:hint="default" w:ascii="Times New Roman" w:hAnsi="Times New Roman" w:eastAsia="宋体" w:cs="Times New Roman"/>
          <w:spacing w:val="-3"/>
          <w:sz w:val="24"/>
          <w:szCs w:val="24"/>
        </w:rPr>
        <w:t>个，干鲜果品</w:t>
      </w:r>
      <w:r>
        <w:rPr>
          <w:rFonts w:hint="default" w:ascii="Times New Roman" w:hAnsi="Times New Roman" w:eastAsia="宋体" w:cs="Times New Roman"/>
          <w:sz w:val="24"/>
          <w:szCs w:val="24"/>
        </w:rPr>
        <w:t>19</w:t>
      </w:r>
      <w:r>
        <w:rPr>
          <w:rFonts w:hint="default" w:ascii="Times New Roman" w:hAnsi="Times New Roman" w:eastAsia="宋体" w:cs="Times New Roman"/>
          <w:spacing w:val="-2"/>
          <w:sz w:val="24"/>
          <w:szCs w:val="24"/>
        </w:rPr>
        <w:t>种。全市粮、油、棉、麻、栗、茶等大宗农副产品产量居全省前列。现有茶园</w:t>
      </w:r>
      <w:r>
        <w:rPr>
          <w:rFonts w:hint="default" w:ascii="Times New Roman" w:hAnsi="Times New Roman" w:eastAsia="宋体" w:cs="Times New Roman"/>
          <w:sz w:val="24"/>
          <w:szCs w:val="24"/>
        </w:rPr>
        <w:t>37万</w:t>
      </w:r>
      <w:r>
        <w:rPr>
          <w:rFonts w:hint="default" w:ascii="Times New Roman" w:hAnsi="Times New Roman" w:eastAsia="宋体" w:cs="Times New Roman"/>
          <w:spacing w:val="-4"/>
          <w:sz w:val="24"/>
          <w:szCs w:val="24"/>
        </w:rPr>
        <w:t xml:space="preserve">亩，年产干茶 </w:t>
      </w:r>
      <w:r>
        <w:rPr>
          <w:rFonts w:hint="default" w:ascii="Times New Roman" w:hAnsi="Times New Roman" w:eastAsia="宋体" w:cs="Times New Roman"/>
          <w:sz w:val="24"/>
          <w:szCs w:val="24"/>
        </w:rPr>
        <w:t>7000</w:t>
      </w:r>
      <w:r>
        <w:rPr>
          <w:rFonts w:hint="default" w:ascii="Times New Roman" w:hAnsi="Times New Roman" w:eastAsia="宋体" w:cs="Times New Roman"/>
          <w:spacing w:val="36"/>
          <w:sz w:val="24"/>
          <w:szCs w:val="24"/>
        </w:rPr>
        <w:t xml:space="preserve"> </w:t>
      </w:r>
      <w:r>
        <w:rPr>
          <w:rFonts w:hint="default" w:ascii="Times New Roman" w:hAnsi="Times New Roman" w:eastAsia="宋体" w:cs="Times New Roman"/>
          <w:sz w:val="24"/>
          <w:szCs w:val="24"/>
        </w:rPr>
        <w:t>多吨，形成了六安瓜片、霍</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z w:val="24"/>
          <w:szCs w:val="24"/>
        </w:rPr>
        <w:t>黄芽、金寨翠眉、舒城兰花、华</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z w:val="24"/>
          <w:szCs w:val="24"/>
        </w:rPr>
        <w:t>银</w:t>
      </w:r>
      <w:r>
        <w:rPr>
          <w:rFonts w:hint="default" w:ascii="Times New Roman" w:hAnsi="Times New Roman" w:eastAsia="宋体" w:cs="Times New Roman"/>
          <w:spacing w:val="-3"/>
          <w:sz w:val="24"/>
          <w:szCs w:val="24"/>
        </w:rPr>
        <w:t xml:space="preserve">毫等知名品牌；板栗种植面积 </w:t>
      </w:r>
      <w:r>
        <w:rPr>
          <w:rFonts w:hint="default" w:ascii="Times New Roman" w:hAnsi="Times New Roman" w:eastAsia="宋体" w:cs="Times New Roman"/>
          <w:sz w:val="24"/>
          <w:szCs w:val="24"/>
        </w:rPr>
        <w:t>100</w:t>
      </w:r>
      <w:r>
        <w:rPr>
          <w:rFonts w:hint="default" w:ascii="Times New Roman" w:hAnsi="Times New Roman" w:eastAsia="宋体" w:cs="Times New Roman"/>
          <w:spacing w:val="26"/>
          <w:sz w:val="24"/>
          <w:szCs w:val="24"/>
        </w:rPr>
        <w:t xml:space="preserve"> </w:t>
      </w:r>
      <w:r>
        <w:rPr>
          <w:rFonts w:hint="default" w:ascii="Times New Roman" w:hAnsi="Times New Roman" w:eastAsia="宋体" w:cs="Times New Roman"/>
          <w:spacing w:val="-5"/>
          <w:sz w:val="24"/>
          <w:szCs w:val="24"/>
        </w:rPr>
        <w:t xml:space="preserve">万亩，年产量近 </w:t>
      </w:r>
      <w:r>
        <w:rPr>
          <w:rFonts w:hint="default" w:ascii="Times New Roman" w:hAnsi="Times New Roman" w:eastAsia="宋体" w:cs="Times New Roman"/>
          <w:sz w:val="24"/>
          <w:szCs w:val="24"/>
        </w:rPr>
        <w:t>4</w:t>
      </w:r>
      <w:r>
        <w:rPr>
          <w:rFonts w:hint="default" w:ascii="Times New Roman" w:hAnsi="Times New Roman" w:eastAsia="宋体" w:cs="Times New Roman"/>
          <w:spacing w:val="26"/>
          <w:sz w:val="24"/>
          <w:szCs w:val="24"/>
        </w:rPr>
        <w:t xml:space="preserve"> </w:t>
      </w:r>
      <w:r>
        <w:rPr>
          <w:rFonts w:hint="default" w:ascii="Times New Roman" w:hAnsi="Times New Roman" w:eastAsia="宋体" w:cs="Times New Roman"/>
          <w:spacing w:val="-3"/>
          <w:sz w:val="24"/>
          <w:szCs w:val="24"/>
        </w:rPr>
        <w:t>万吨，居全省首位；桑园面积</w:t>
      </w:r>
      <w:r>
        <w:rPr>
          <w:rFonts w:hint="default" w:ascii="Times New Roman" w:hAnsi="Times New Roman" w:eastAsia="宋体" w:cs="Times New Roman"/>
          <w:sz w:val="24"/>
          <w:szCs w:val="24"/>
        </w:rPr>
        <w:t>17</w:t>
      </w:r>
      <w:r>
        <w:rPr>
          <w:rFonts w:hint="default" w:ascii="Times New Roman" w:hAnsi="Times New Roman" w:eastAsia="宋体" w:cs="Times New Roman"/>
          <w:spacing w:val="-4"/>
          <w:sz w:val="24"/>
          <w:szCs w:val="24"/>
        </w:rPr>
        <w:t>万亩，年产茧</w:t>
      </w:r>
      <w:r>
        <w:rPr>
          <w:rFonts w:hint="default" w:ascii="Times New Roman" w:hAnsi="Times New Roman" w:eastAsia="宋体" w:cs="Times New Roman"/>
          <w:sz w:val="24"/>
          <w:szCs w:val="24"/>
        </w:rPr>
        <w:t>6000吨左右，初步形成了桑茧丝绸系列化开发的格局；六安是全国四大</w:t>
      </w:r>
      <w:r>
        <w:rPr>
          <w:rFonts w:hint="default" w:ascii="Times New Roman" w:hAnsi="Times New Roman" w:eastAsia="宋体" w:cs="Times New Roman"/>
          <w:spacing w:val="-6"/>
          <w:sz w:val="24"/>
          <w:szCs w:val="24"/>
        </w:rPr>
        <w:t>麻产区之一，主要种类有六安大麻、霍邱红麻、舒城黄麻、金寨苎麻，其中大麻是著名</w:t>
      </w:r>
      <w:r>
        <w:rPr>
          <w:rFonts w:hint="default" w:ascii="Times New Roman" w:hAnsi="Times New Roman" w:eastAsia="宋体" w:cs="Times New Roman"/>
          <w:spacing w:val="-10"/>
          <w:sz w:val="24"/>
          <w:szCs w:val="24"/>
        </w:rPr>
        <w:t>的土特品种，具有很高的经济价值。境内树种资源起源较早、区系复杂、种类繁多，乔</w:t>
      </w:r>
      <w:r>
        <w:rPr>
          <w:rFonts w:hint="default" w:ascii="Times New Roman" w:hAnsi="Times New Roman" w:eastAsia="宋体" w:cs="Times New Roman"/>
          <w:spacing w:val="-20"/>
          <w:sz w:val="24"/>
          <w:szCs w:val="24"/>
        </w:rPr>
        <w:t xml:space="preserve">灌木树种 </w:t>
      </w:r>
      <w:r>
        <w:rPr>
          <w:rFonts w:hint="default" w:ascii="Times New Roman" w:hAnsi="Times New Roman" w:eastAsia="宋体" w:cs="Times New Roman"/>
          <w:sz w:val="24"/>
          <w:szCs w:val="24"/>
        </w:rPr>
        <w:t>28</w:t>
      </w:r>
      <w:r>
        <w:rPr>
          <w:rFonts w:hint="default" w:ascii="Times New Roman" w:hAnsi="Times New Roman" w:eastAsia="宋体" w:cs="Times New Roman"/>
          <w:spacing w:val="-8"/>
          <w:sz w:val="24"/>
          <w:szCs w:val="24"/>
        </w:rPr>
        <w:t>目、</w:t>
      </w:r>
      <w:r>
        <w:rPr>
          <w:rFonts w:hint="default" w:ascii="Times New Roman" w:hAnsi="Times New Roman" w:eastAsia="宋体" w:cs="Times New Roman"/>
          <w:sz w:val="24"/>
          <w:szCs w:val="24"/>
        </w:rPr>
        <w:t>73</w:t>
      </w:r>
      <w:r>
        <w:rPr>
          <w:rFonts w:hint="default" w:ascii="Times New Roman" w:hAnsi="Times New Roman" w:eastAsia="宋体" w:cs="Times New Roman"/>
          <w:spacing w:val="-8"/>
          <w:sz w:val="24"/>
          <w:szCs w:val="24"/>
        </w:rPr>
        <w:t>科、</w:t>
      </w:r>
      <w:r>
        <w:rPr>
          <w:rFonts w:hint="default" w:ascii="Times New Roman" w:hAnsi="Times New Roman" w:eastAsia="宋体" w:cs="Times New Roman"/>
          <w:sz w:val="24"/>
          <w:szCs w:val="24"/>
        </w:rPr>
        <w:t>225</w:t>
      </w:r>
      <w:r>
        <w:rPr>
          <w:rFonts w:hint="default" w:ascii="Times New Roman" w:hAnsi="Times New Roman" w:eastAsia="宋体" w:cs="Times New Roman"/>
          <w:spacing w:val="-8"/>
          <w:sz w:val="24"/>
          <w:szCs w:val="24"/>
        </w:rPr>
        <w:t>属、</w:t>
      </w:r>
      <w:r>
        <w:rPr>
          <w:rFonts w:hint="default" w:ascii="Times New Roman" w:hAnsi="Times New Roman" w:eastAsia="宋体" w:cs="Times New Roman"/>
          <w:sz w:val="24"/>
          <w:szCs w:val="24"/>
        </w:rPr>
        <w:t>858</w:t>
      </w:r>
      <w:r>
        <w:rPr>
          <w:rFonts w:hint="default" w:ascii="Times New Roman" w:hAnsi="Times New Roman" w:eastAsia="宋体" w:cs="Times New Roman"/>
          <w:spacing w:val="-2"/>
          <w:sz w:val="24"/>
          <w:szCs w:val="24"/>
        </w:rPr>
        <w:t>种，</w:t>
      </w:r>
      <w:r>
        <w:rPr>
          <w:rFonts w:hint="default" w:ascii="Times New Roman" w:hAnsi="Times New Roman" w:eastAsia="宋体" w:cs="Times New Roman"/>
          <w:spacing w:val="-4"/>
          <w:sz w:val="24"/>
          <w:szCs w:val="24"/>
        </w:rPr>
        <w:t>80%</w:t>
      </w:r>
      <w:r>
        <w:rPr>
          <w:rFonts w:hint="default" w:ascii="Times New Roman" w:hAnsi="Times New Roman" w:eastAsia="宋体" w:cs="Times New Roman"/>
          <w:sz w:val="24"/>
          <w:szCs w:val="24"/>
        </w:rPr>
        <w:t>分布在西南中低</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pacing w:val="-4"/>
          <w:sz w:val="24"/>
          <w:szCs w:val="24"/>
        </w:rPr>
        <w:t>区，经济价值较高的乔</w:t>
      </w:r>
      <w:r>
        <w:rPr>
          <w:rFonts w:hint="default" w:ascii="Times New Roman" w:hAnsi="Times New Roman" w:eastAsia="宋体" w:cs="Times New Roman"/>
          <w:spacing w:val="-16"/>
          <w:sz w:val="24"/>
          <w:szCs w:val="24"/>
        </w:rPr>
        <w:t>灌木树种</w:t>
      </w:r>
      <w:r>
        <w:rPr>
          <w:rFonts w:hint="default" w:ascii="Times New Roman" w:hAnsi="Times New Roman" w:eastAsia="宋体" w:cs="Times New Roman"/>
          <w:sz w:val="24"/>
          <w:szCs w:val="24"/>
        </w:rPr>
        <w:t>250种左右，属国家一类保护树种有香果树，三类保护树种有楠木、花榈木、</w:t>
      </w:r>
      <w:r>
        <w:rPr>
          <w:rFonts w:hint="default" w:ascii="Times New Roman" w:hAnsi="Times New Roman" w:eastAsia="宋体" w:cs="Times New Roman"/>
          <w:spacing w:val="-6"/>
          <w:sz w:val="24"/>
          <w:szCs w:val="24"/>
        </w:rPr>
        <w:t xml:space="preserve">红椿。全市现有林业用地 </w:t>
      </w:r>
      <w:r>
        <w:rPr>
          <w:rFonts w:hint="default" w:ascii="Times New Roman" w:hAnsi="Times New Roman" w:eastAsia="宋体" w:cs="Times New Roman"/>
          <w:sz w:val="24"/>
          <w:szCs w:val="24"/>
        </w:rPr>
        <w:t>935</w:t>
      </w:r>
      <w:r>
        <w:rPr>
          <w:rFonts w:hint="default" w:ascii="Times New Roman" w:hAnsi="Times New Roman" w:eastAsia="宋体" w:cs="Times New Roman"/>
          <w:spacing w:val="-1"/>
          <w:sz w:val="24"/>
          <w:szCs w:val="24"/>
        </w:rPr>
        <w:t xml:space="preserve"> </w:t>
      </w:r>
      <w:r>
        <w:rPr>
          <w:rFonts w:hint="default" w:ascii="Times New Roman" w:hAnsi="Times New Roman" w:eastAsia="宋体" w:cs="Times New Roman"/>
          <w:spacing w:val="-7"/>
          <w:sz w:val="24"/>
          <w:szCs w:val="24"/>
        </w:rPr>
        <w:t>万亩，其中有林地面积</w:t>
      </w:r>
      <w:r>
        <w:rPr>
          <w:rFonts w:hint="default" w:ascii="Times New Roman" w:hAnsi="Times New Roman" w:eastAsia="宋体" w:cs="Times New Roman"/>
          <w:sz w:val="24"/>
          <w:szCs w:val="24"/>
        </w:rPr>
        <w:t>808</w:t>
      </w:r>
      <w:r>
        <w:rPr>
          <w:rFonts w:hint="default" w:ascii="Times New Roman" w:hAnsi="Times New Roman" w:eastAsia="宋体" w:cs="Times New Roman"/>
          <w:spacing w:val="-8"/>
          <w:sz w:val="24"/>
          <w:szCs w:val="24"/>
        </w:rPr>
        <w:t>万亩，森林覆盖率</w:t>
      </w:r>
      <w:r>
        <w:rPr>
          <w:rFonts w:hint="default" w:ascii="Times New Roman" w:hAnsi="Times New Roman" w:eastAsia="宋体" w:cs="Times New Roman"/>
          <w:sz w:val="24"/>
          <w:szCs w:val="24"/>
        </w:rPr>
        <w:t>36.2%，活</w:t>
      </w:r>
      <w:r>
        <w:rPr>
          <w:rFonts w:hint="default" w:ascii="Times New Roman" w:hAnsi="Times New Roman" w:eastAsia="宋体" w:cs="Times New Roman"/>
          <w:spacing w:val="-4"/>
          <w:sz w:val="24"/>
          <w:szCs w:val="24"/>
        </w:rPr>
        <w:t>立木总蓄积量</w:t>
      </w:r>
      <w:r>
        <w:rPr>
          <w:rFonts w:hint="default" w:ascii="Times New Roman" w:hAnsi="Times New Roman" w:eastAsia="宋体" w:cs="Times New Roman"/>
          <w:sz w:val="24"/>
          <w:szCs w:val="24"/>
        </w:rPr>
        <w:t>1603万立方米。野生植物资源分布广、藏量丰、经济价值高。芒及五节</w:t>
      </w:r>
      <w:r>
        <w:rPr>
          <w:rFonts w:hint="default" w:ascii="Times New Roman" w:hAnsi="Times New Roman" w:eastAsia="宋体" w:cs="Times New Roman"/>
          <w:spacing w:val="-3"/>
          <w:sz w:val="24"/>
          <w:szCs w:val="24"/>
        </w:rPr>
        <w:t>芒系纤维植物，是造纸的重要原料，年产量达</w:t>
      </w:r>
      <w:r>
        <w:rPr>
          <w:rFonts w:hint="default" w:ascii="Times New Roman" w:hAnsi="Times New Roman" w:eastAsia="宋体" w:cs="Times New Roman"/>
          <w:sz w:val="24"/>
          <w:szCs w:val="24"/>
        </w:rPr>
        <w:t>15—20</w:t>
      </w:r>
      <w:r>
        <w:rPr>
          <w:rFonts w:hint="default" w:ascii="Times New Roman" w:hAnsi="Times New Roman" w:eastAsia="宋体" w:cs="Times New Roman"/>
          <w:spacing w:val="16"/>
          <w:sz w:val="24"/>
          <w:szCs w:val="24"/>
        </w:rPr>
        <w:t xml:space="preserve"> </w:t>
      </w:r>
      <w:r>
        <w:rPr>
          <w:rFonts w:hint="default" w:ascii="Times New Roman" w:hAnsi="Times New Roman" w:eastAsia="宋体" w:cs="Times New Roman"/>
          <w:spacing w:val="-4"/>
          <w:sz w:val="24"/>
          <w:szCs w:val="24"/>
        </w:rPr>
        <w:t>万吨，目前利用量不足</w:t>
      </w:r>
      <w:r>
        <w:rPr>
          <w:rFonts w:hint="default" w:ascii="Times New Roman" w:hAnsi="Times New Roman" w:eastAsia="宋体" w:cs="Times New Roman"/>
          <w:sz w:val="24"/>
          <w:szCs w:val="24"/>
        </w:rPr>
        <w:t>10%。橡</w:t>
      </w:r>
      <w:r>
        <w:rPr>
          <w:rFonts w:hint="default" w:ascii="Times New Roman" w:hAnsi="Times New Roman" w:eastAsia="宋体" w:cs="Times New Roman"/>
          <w:spacing w:val="-13"/>
          <w:sz w:val="24"/>
          <w:szCs w:val="24"/>
        </w:rPr>
        <w:t xml:space="preserve">子年产量 </w:t>
      </w:r>
      <w:r>
        <w:rPr>
          <w:rFonts w:hint="default" w:ascii="Times New Roman" w:hAnsi="Times New Roman" w:eastAsia="宋体" w:cs="Times New Roman"/>
          <w:sz w:val="24"/>
          <w:szCs w:val="24"/>
        </w:rPr>
        <w:t xml:space="preserve">150 </w:t>
      </w:r>
      <w:r>
        <w:rPr>
          <w:rFonts w:hint="default" w:ascii="Times New Roman" w:hAnsi="Times New Roman" w:eastAsia="宋体" w:cs="Times New Roman"/>
          <w:spacing w:val="-6"/>
          <w:sz w:val="24"/>
          <w:szCs w:val="24"/>
        </w:rPr>
        <w:t>吨左右，含淀粉多在</w:t>
      </w:r>
      <w:r>
        <w:rPr>
          <w:rFonts w:hint="default" w:ascii="Times New Roman" w:hAnsi="Times New Roman" w:eastAsia="宋体" w:cs="Times New Roman"/>
          <w:spacing w:val="-6"/>
          <w:sz w:val="24"/>
          <w:szCs w:val="24"/>
          <w:lang w:val="en-US" w:eastAsia="zh-CN"/>
        </w:rPr>
        <w:t>5</w:t>
      </w:r>
      <w:r>
        <w:rPr>
          <w:rFonts w:hint="default" w:ascii="Times New Roman" w:hAnsi="Times New Roman" w:eastAsia="宋体" w:cs="Times New Roman"/>
          <w:sz w:val="24"/>
          <w:szCs w:val="24"/>
        </w:rPr>
        <w:t>0%</w:t>
      </w:r>
      <w:r>
        <w:rPr>
          <w:rFonts w:hint="default" w:ascii="Times New Roman" w:hAnsi="Times New Roman" w:eastAsia="宋体" w:cs="Times New Roman"/>
          <w:spacing w:val="-1"/>
          <w:sz w:val="24"/>
          <w:szCs w:val="24"/>
        </w:rPr>
        <w:t>以上，可用作工业淀粉。野生香料植物有桂花、</w:t>
      </w:r>
      <w:r>
        <w:rPr>
          <w:rFonts w:hint="default" w:ascii="Times New Roman" w:hAnsi="Times New Roman" w:eastAsia="宋体" w:cs="Times New Roman"/>
          <w:spacing w:val="-8"/>
          <w:sz w:val="24"/>
          <w:szCs w:val="24"/>
        </w:rPr>
        <w:t>兰草、蔷薇、香附子、蒿本、白芷、独活等。野生猕猴桃、野</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pacing w:val="-2"/>
          <w:sz w:val="24"/>
          <w:szCs w:val="24"/>
        </w:rPr>
        <w:t>楂等野果，年产量均在3000</w:t>
      </w:r>
      <w:r>
        <w:rPr>
          <w:rFonts w:hint="default" w:ascii="Times New Roman" w:hAnsi="Times New Roman" w:eastAsia="宋体" w:cs="Times New Roman"/>
          <w:spacing w:val="-12"/>
          <w:sz w:val="24"/>
          <w:szCs w:val="24"/>
        </w:rPr>
        <w:t>吨左右。蕨菜、薇菜、荠菜、马齿苋菜等野菜，已成为大宗出口产品。药用植物共</w:t>
      </w:r>
      <w:r>
        <w:rPr>
          <w:rFonts w:hint="default" w:ascii="Times New Roman" w:hAnsi="Times New Roman" w:eastAsia="宋体" w:cs="Times New Roman"/>
          <w:sz w:val="24"/>
          <w:szCs w:val="24"/>
        </w:rPr>
        <w:t>203 科、1360</w:t>
      </w:r>
      <w:r>
        <w:rPr>
          <w:rFonts w:hint="default" w:ascii="Times New Roman" w:hAnsi="Times New Roman" w:eastAsia="宋体" w:cs="Times New Roman"/>
          <w:sz w:val="24"/>
          <w:szCs w:val="24"/>
          <w:lang w:eastAsia="zh-CN"/>
        </w:rPr>
        <w:t>种</w:t>
      </w:r>
      <w:r>
        <w:rPr>
          <w:rFonts w:hint="default" w:ascii="Times New Roman" w:hAnsi="Times New Roman" w:eastAsia="宋体" w:cs="Times New Roman"/>
          <w:sz w:val="24"/>
          <w:szCs w:val="24"/>
        </w:rPr>
        <w:t>，其中霍</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z w:val="24"/>
          <w:szCs w:val="24"/>
        </w:rPr>
        <w:t>石斛、安徽贝母、断血流、茯苓、天麻、灵芝、银杏、西洋参开发已具有一定的规模。</w:t>
      </w:r>
    </w:p>
    <w:p>
      <w:pPr>
        <w:pStyle w:val="40"/>
        <w:keepNext w:val="0"/>
        <w:keepLines w:val="0"/>
        <w:pageBreakBefore w:val="0"/>
        <w:widowControl w:val="0"/>
        <w:numPr>
          <w:ilvl w:val="0"/>
          <w:numId w:val="0"/>
        </w:numPr>
        <w:tabs>
          <w:tab w:val="left" w:pos="1320"/>
        </w:tabs>
        <w:kinsoku/>
        <w:wordWrap/>
        <w:overflowPunct/>
        <w:topLinePunct w:val="0"/>
        <w:autoSpaceDE/>
        <w:autoSpaceDN/>
        <w:bidi w:val="0"/>
        <w:adjustRightInd/>
        <w:snapToGrid/>
        <w:spacing w:before="0" w:after="0" w:line="360" w:lineRule="auto"/>
        <w:ind w:left="0" w:leftChars="0" w:right="0" w:rightChars="0" w:firstLine="0" w:firstLineChars="0"/>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动物资源</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六安市境内动物区系具有古北界和东洋界的过渡特点，在安徽动物区划中跨大别</w:t>
      </w:r>
      <w:r>
        <w:rPr>
          <w:rFonts w:hint="default" w:ascii="Times New Roman" w:hAnsi="Times New Roman" w:eastAsia="宋体" w:cs="Times New Roman"/>
          <w:spacing w:val="-9"/>
          <w:sz w:val="24"/>
          <w:szCs w:val="24"/>
          <w:lang w:eastAsia="zh-CN"/>
        </w:rPr>
        <w:t>山</w:t>
      </w:r>
      <w:r>
        <w:rPr>
          <w:rFonts w:hint="default" w:ascii="Times New Roman" w:hAnsi="Times New Roman" w:eastAsia="宋体" w:cs="Times New Roman"/>
          <w:spacing w:val="-9"/>
          <w:sz w:val="24"/>
          <w:szCs w:val="24"/>
        </w:rPr>
        <w:t xml:space="preserve"> </w:t>
      </w:r>
      <w:r>
        <w:rPr>
          <w:rFonts w:hint="default" w:ascii="Times New Roman" w:hAnsi="Times New Roman" w:eastAsia="宋体" w:cs="Times New Roman"/>
          <w:spacing w:val="-3"/>
          <w:sz w:val="24"/>
          <w:szCs w:val="24"/>
        </w:rPr>
        <w:t>和江淮丘陵两区。有水陆栖生脊椎动物</w:t>
      </w:r>
      <w:r>
        <w:rPr>
          <w:rFonts w:hint="default" w:ascii="Times New Roman" w:hAnsi="Times New Roman" w:eastAsia="宋体" w:cs="Times New Roman"/>
          <w:sz w:val="24"/>
          <w:szCs w:val="24"/>
        </w:rPr>
        <w:t>500</w:t>
      </w:r>
      <w:r>
        <w:rPr>
          <w:rFonts w:hint="default" w:ascii="Times New Roman" w:hAnsi="Times New Roman" w:eastAsia="宋体" w:cs="Times New Roman"/>
          <w:spacing w:val="-6"/>
          <w:sz w:val="24"/>
          <w:szCs w:val="24"/>
        </w:rPr>
        <w:t>多种，其中兽类</w:t>
      </w:r>
      <w:r>
        <w:rPr>
          <w:rFonts w:hint="default" w:ascii="Times New Roman" w:hAnsi="Times New Roman" w:eastAsia="宋体" w:cs="Times New Roman"/>
          <w:sz w:val="24"/>
          <w:szCs w:val="24"/>
        </w:rPr>
        <w:t>62</w:t>
      </w:r>
      <w:r>
        <w:rPr>
          <w:rFonts w:hint="default" w:ascii="Times New Roman" w:hAnsi="Times New Roman" w:eastAsia="宋体" w:cs="Times New Roman"/>
          <w:spacing w:val="-10"/>
          <w:sz w:val="24"/>
          <w:szCs w:val="24"/>
        </w:rPr>
        <w:t>种、鸟类</w:t>
      </w:r>
      <w:r>
        <w:rPr>
          <w:rFonts w:hint="default" w:ascii="Times New Roman" w:hAnsi="Times New Roman" w:eastAsia="宋体" w:cs="Times New Roman"/>
          <w:sz w:val="24"/>
          <w:szCs w:val="24"/>
        </w:rPr>
        <w:t>310</w:t>
      </w:r>
      <w:r>
        <w:rPr>
          <w:rFonts w:hint="default" w:ascii="Times New Roman" w:hAnsi="Times New Roman" w:eastAsia="宋体" w:cs="Times New Roman"/>
          <w:spacing w:val="-5"/>
          <w:sz w:val="24"/>
          <w:szCs w:val="24"/>
        </w:rPr>
        <w:t>种、鱼类</w:t>
      </w:r>
      <w:r>
        <w:rPr>
          <w:rFonts w:hint="default" w:ascii="Times New Roman" w:hAnsi="Times New Roman" w:eastAsia="宋体" w:cs="Times New Roman"/>
          <w:sz w:val="24"/>
          <w:szCs w:val="24"/>
        </w:rPr>
        <w:t>92</w:t>
      </w:r>
      <w:r>
        <w:rPr>
          <w:rFonts w:hint="default" w:ascii="Times New Roman" w:hAnsi="Times New Roman" w:eastAsia="宋体" w:cs="Times New Roman"/>
          <w:spacing w:val="-10"/>
          <w:sz w:val="24"/>
          <w:szCs w:val="24"/>
        </w:rPr>
        <w:t>种、爬行类</w:t>
      </w:r>
      <w:r>
        <w:rPr>
          <w:rFonts w:hint="default" w:ascii="Times New Roman" w:hAnsi="Times New Roman" w:eastAsia="宋体" w:cs="Times New Roman"/>
          <w:sz w:val="24"/>
          <w:szCs w:val="24"/>
        </w:rPr>
        <w:t>34</w:t>
      </w:r>
      <w:r>
        <w:rPr>
          <w:rFonts w:hint="default" w:ascii="Times New Roman" w:hAnsi="Times New Roman" w:eastAsia="宋体" w:cs="Times New Roman"/>
          <w:spacing w:val="-12"/>
          <w:sz w:val="24"/>
          <w:szCs w:val="24"/>
        </w:rPr>
        <w:t xml:space="preserve">种、两栖类 </w:t>
      </w:r>
      <w:r>
        <w:rPr>
          <w:rFonts w:hint="default" w:ascii="Times New Roman" w:hAnsi="Times New Roman" w:eastAsia="宋体" w:cs="Times New Roman"/>
          <w:sz w:val="24"/>
          <w:szCs w:val="24"/>
        </w:rPr>
        <w:t>23</w:t>
      </w:r>
      <w:r>
        <w:rPr>
          <w:rFonts w:hint="default" w:ascii="Times New Roman" w:hAnsi="Times New Roman" w:eastAsia="宋体" w:cs="Times New Roman"/>
          <w:spacing w:val="-12"/>
          <w:sz w:val="24"/>
          <w:szCs w:val="24"/>
        </w:rPr>
        <w:t>种。畜禽</w:t>
      </w:r>
      <w:r>
        <w:rPr>
          <w:rFonts w:hint="default" w:ascii="Times New Roman" w:hAnsi="Times New Roman" w:eastAsia="宋体" w:cs="Times New Roman"/>
          <w:sz w:val="24"/>
          <w:szCs w:val="24"/>
        </w:rPr>
        <w:t>30多种，地方优良品种有皖西白鹅、霍固麻黄鸡、大别</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z w:val="24"/>
          <w:szCs w:val="24"/>
        </w:rPr>
        <w:t>黄牛、寿霍黑猪等。皖西白鹅具有早期生长发育快、抗病力强、耐粗食、</w:t>
      </w:r>
      <w:r>
        <w:rPr>
          <w:rFonts w:hint="default" w:ascii="Times New Roman" w:hAnsi="Times New Roman" w:eastAsia="宋体" w:cs="Times New Roman"/>
          <w:spacing w:val="-3"/>
          <w:sz w:val="24"/>
          <w:szCs w:val="24"/>
        </w:rPr>
        <w:t>耗料少等特点，其羽绒朵大纯白，品质优良，享有</w:t>
      </w:r>
      <w:r>
        <w:rPr>
          <w:rFonts w:hint="default" w:ascii="Times New Roman" w:hAnsi="Times New Roman" w:eastAsia="宋体" w:cs="Times New Roman"/>
          <w:sz w:val="24"/>
          <w:szCs w:val="24"/>
        </w:rPr>
        <w:t>“世界羽绒之最”</w:t>
      </w:r>
      <w:r>
        <w:rPr>
          <w:rFonts w:hint="default" w:ascii="Times New Roman" w:hAnsi="Times New Roman" w:eastAsia="宋体" w:cs="Times New Roman"/>
          <w:spacing w:val="-2"/>
          <w:sz w:val="24"/>
          <w:szCs w:val="24"/>
        </w:rPr>
        <w:t>的美称，目前年饲养</w:t>
      </w:r>
      <w:r>
        <w:rPr>
          <w:rFonts w:hint="default" w:ascii="Times New Roman" w:hAnsi="Times New Roman" w:eastAsia="宋体" w:cs="Times New Roman"/>
          <w:spacing w:val="-10"/>
          <w:sz w:val="24"/>
          <w:szCs w:val="24"/>
        </w:rPr>
        <w:t>量达</w:t>
      </w:r>
      <w:r>
        <w:rPr>
          <w:rFonts w:hint="default" w:ascii="Times New Roman" w:hAnsi="Times New Roman" w:eastAsia="宋体" w:cs="Times New Roman"/>
          <w:sz w:val="24"/>
          <w:szCs w:val="24"/>
        </w:rPr>
        <w:t>1900万只，占全国饲养量的二十分之一，相当于世界养鹅王国匈牙利全国的饲养</w:t>
      </w:r>
      <w:r>
        <w:rPr>
          <w:rFonts w:hint="default" w:ascii="Times New Roman" w:hAnsi="Times New Roman" w:eastAsia="宋体" w:cs="Times New Roman"/>
          <w:spacing w:val="-9"/>
          <w:sz w:val="24"/>
          <w:szCs w:val="24"/>
        </w:rPr>
        <w:t>量，六安已成为全国最大的羽绒集散地。水生动物名贵品种有大鲵</w:t>
      </w:r>
      <w:r>
        <w:rPr>
          <w:rFonts w:hint="default" w:ascii="Times New Roman" w:hAnsi="Times New Roman" w:eastAsia="宋体" w:cs="Times New Roman"/>
          <w:sz w:val="24"/>
          <w:szCs w:val="24"/>
        </w:rPr>
        <w:t>（娃娃鱼</w:t>
      </w:r>
      <w:r>
        <w:rPr>
          <w:rFonts w:hint="default" w:ascii="Times New Roman" w:hAnsi="Times New Roman" w:eastAsia="宋体" w:cs="Times New Roman"/>
          <w:spacing w:val="-29"/>
          <w:sz w:val="24"/>
          <w:szCs w:val="24"/>
        </w:rPr>
        <w:t>）</w:t>
      </w:r>
      <w:r>
        <w:rPr>
          <w:rFonts w:hint="default" w:ascii="Times New Roman" w:hAnsi="Times New Roman" w:eastAsia="宋体" w:cs="Times New Roman"/>
          <w:spacing w:val="-16"/>
          <w:sz w:val="24"/>
          <w:szCs w:val="24"/>
        </w:rPr>
        <w:t>、龟、鳖、</w:t>
      </w:r>
      <w:r>
        <w:rPr>
          <w:rFonts w:hint="default" w:ascii="Times New Roman" w:hAnsi="Times New Roman" w:eastAsia="宋体" w:cs="Times New Roman"/>
          <w:spacing w:val="-9"/>
          <w:sz w:val="24"/>
          <w:szCs w:val="24"/>
        </w:rPr>
        <w:t>沣虾、瓦虾、银鱼等。药用动物</w:t>
      </w:r>
      <w:r>
        <w:rPr>
          <w:rFonts w:hint="default" w:ascii="Times New Roman" w:hAnsi="Times New Roman" w:eastAsia="宋体" w:cs="Times New Roman"/>
          <w:sz w:val="24"/>
          <w:szCs w:val="24"/>
        </w:rPr>
        <w:t>144</w:t>
      </w:r>
      <w:r>
        <w:rPr>
          <w:rFonts w:hint="default" w:ascii="Times New Roman" w:hAnsi="Times New Roman" w:eastAsia="宋体" w:cs="Times New Roman"/>
          <w:spacing w:val="-6"/>
          <w:sz w:val="24"/>
          <w:szCs w:val="24"/>
        </w:rPr>
        <w:t>种，名贵动物类药材有麝香、灵猫香、全虫等。野</w:t>
      </w:r>
      <w:r>
        <w:rPr>
          <w:rFonts w:hint="default" w:ascii="Times New Roman" w:hAnsi="Times New Roman" w:eastAsia="宋体" w:cs="Times New Roman"/>
          <w:spacing w:val="-9"/>
          <w:sz w:val="24"/>
          <w:szCs w:val="24"/>
        </w:rPr>
        <w:t>生动物中，有毛皮兽动物</w:t>
      </w:r>
      <w:r>
        <w:rPr>
          <w:rFonts w:hint="default" w:ascii="Times New Roman" w:hAnsi="Times New Roman" w:eastAsia="宋体" w:cs="Times New Roman"/>
          <w:sz w:val="24"/>
          <w:szCs w:val="24"/>
        </w:rPr>
        <w:t>20</w:t>
      </w:r>
      <w:r>
        <w:rPr>
          <w:rFonts w:hint="default" w:ascii="Times New Roman" w:hAnsi="Times New Roman" w:eastAsia="宋体" w:cs="Times New Roman"/>
          <w:spacing w:val="-6"/>
          <w:sz w:val="24"/>
          <w:szCs w:val="24"/>
        </w:rPr>
        <w:t>种、羽绒动物</w:t>
      </w:r>
      <w:r>
        <w:rPr>
          <w:rFonts w:hint="default" w:ascii="Times New Roman" w:hAnsi="Times New Roman" w:eastAsia="宋体" w:cs="Times New Roman"/>
          <w:sz w:val="24"/>
          <w:szCs w:val="24"/>
        </w:rPr>
        <w:t>10</w:t>
      </w:r>
      <w:r>
        <w:rPr>
          <w:rFonts w:hint="default" w:ascii="Times New Roman" w:hAnsi="Times New Roman" w:eastAsia="宋体" w:cs="Times New Roman"/>
          <w:spacing w:val="-6"/>
          <w:sz w:val="24"/>
          <w:szCs w:val="24"/>
        </w:rPr>
        <w:t>种、肉用动物</w:t>
      </w:r>
      <w:r>
        <w:rPr>
          <w:rFonts w:hint="default" w:ascii="Times New Roman" w:hAnsi="Times New Roman" w:eastAsia="宋体" w:cs="Times New Roman"/>
          <w:sz w:val="24"/>
          <w:szCs w:val="24"/>
        </w:rPr>
        <w:t>25</w:t>
      </w:r>
      <w:r>
        <w:rPr>
          <w:rFonts w:hint="default" w:ascii="Times New Roman" w:hAnsi="Times New Roman" w:eastAsia="宋体" w:cs="Times New Roman"/>
          <w:spacing w:val="-7"/>
          <w:sz w:val="24"/>
          <w:szCs w:val="24"/>
        </w:rPr>
        <w:t xml:space="preserve">种、农林有益动物 </w:t>
      </w:r>
      <w:r>
        <w:rPr>
          <w:rFonts w:hint="default" w:ascii="Times New Roman" w:hAnsi="Times New Roman" w:eastAsia="宋体" w:cs="Times New Roman"/>
          <w:sz w:val="24"/>
          <w:szCs w:val="24"/>
        </w:rPr>
        <w:t>130种、观赏动物25种，其中受国家保护的动物有大鲵、原麝、香獐、小灵猫、金钱豹、白冠长尾雉、白颈长尾雉等。</w:t>
      </w:r>
    </w:p>
    <w:p>
      <w:pPr>
        <w:pStyle w:val="40"/>
        <w:keepNext w:val="0"/>
        <w:keepLines w:val="0"/>
        <w:pageBreakBefore w:val="0"/>
        <w:widowControl w:val="0"/>
        <w:numPr>
          <w:ilvl w:val="0"/>
          <w:numId w:val="0"/>
        </w:numPr>
        <w:tabs>
          <w:tab w:val="left" w:pos="1320"/>
        </w:tabs>
        <w:kinsoku/>
        <w:wordWrap/>
        <w:overflowPunct/>
        <w:topLinePunct w:val="0"/>
        <w:autoSpaceDE/>
        <w:autoSpaceDN/>
        <w:bidi w:val="0"/>
        <w:adjustRightInd/>
        <w:snapToGrid/>
        <w:spacing w:before="0" w:after="0" w:line="360" w:lineRule="auto"/>
        <w:ind w:left="0" w:leftChars="0" w:right="0" w:rightChars="0" w:firstLine="0" w:firstLineChars="0"/>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矿产资源</w:t>
      </w:r>
    </w:p>
    <w:p>
      <w:pPr>
        <w:pStyle w:val="12"/>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sz w:val="24"/>
          <w:szCs w:val="24"/>
          <w:lang w:eastAsia="zh-CN"/>
        </w:rPr>
        <w:sectPr>
          <w:headerReference r:id="rId8" w:type="default"/>
          <w:pgSz w:w="11910" w:h="16840"/>
          <w:pgMar w:top="1220" w:right="860" w:bottom="1640" w:left="1180" w:header="877" w:footer="1448" w:gutter="0"/>
          <w:pgBorders>
            <w:top w:val="none" w:sz="0" w:space="0"/>
            <w:left w:val="none" w:sz="0" w:space="0"/>
            <w:bottom w:val="none" w:sz="0" w:space="0"/>
            <w:right w:val="none" w:sz="0" w:space="0"/>
          </w:pgBorders>
          <w:cols w:space="720" w:num="1"/>
        </w:sectPr>
      </w:pPr>
      <w:r>
        <w:rPr>
          <w:rFonts w:hint="default" w:ascii="Times New Roman" w:hAnsi="Times New Roman" w:eastAsia="宋体" w:cs="Times New Roman"/>
          <w:sz w:val="24"/>
          <w:szCs w:val="24"/>
        </w:rPr>
        <w:t>六安市在地质构造上属秦岭造</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pacing w:val="-7"/>
          <w:sz w:val="24"/>
          <w:szCs w:val="24"/>
        </w:rPr>
        <w:t>带东段，是地壳运动比较活跃的地区，也是成旷条</w:t>
      </w:r>
      <w:r>
        <w:rPr>
          <w:rFonts w:hint="default" w:ascii="Times New Roman" w:hAnsi="Times New Roman" w:eastAsia="宋体" w:cs="Times New Roman"/>
          <w:spacing w:val="-9"/>
          <w:sz w:val="24"/>
          <w:szCs w:val="24"/>
        </w:rPr>
        <w:t xml:space="preserve">件较好的区域。矿产资源的特点是总量大，品种多。已发现矿藏 </w:t>
      </w:r>
      <w:r>
        <w:rPr>
          <w:rFonts w:hint="default" w:ascii="Times New Roman" w:hAnsi="Times New Roman" w:eastAsia="宋体" w:cs="Times New Roman"/>
          <w:sz w:val="24"/>
          <w:szCs w:val="24"/>
        </w:rPr>
        <w:t>40</w:t>
      </w:r>
      <w:r>
        <w:rPr>
          <w:rFonts w:hint="default" w:ascii="Times New Roman" w:hAnsi="Times New Roman" w:eastAsia="宋体" w:cs="Times New Roman"/>
          <w:spacing w:val="-7"/>
          <w:sz w:val="24"/>
          <w:szCs w:val="24"/>
        </w:rPr>
        <w:t>多种，探明储量</w:t>
      </w:r>
      <w:r>
        <w:rPr>
          <w:rFonts w:hint="default" w:ascii="Times New Roman" w:hAnsi="Times New Roman" w:eastAsia="宋体" w:cs="Times New Roman"/>
          <w:sz w:val="24"/>
          <w:szCs w:val="24"/>
        </w:rPr>
        <w:t>30</w:t>
      </w:r>
      <w:r>
        <w:rPr>
          <w:rFonts w:hint="default" w:ascii="Times New Roman" w:hAnsi="Times New Roman" w:eastAsia="宋体" w:cs="Times New Roman"/>
          <w:spacing w:val="-13"/>
          <w:sz w:val="24"/>
          <w:szCs w:val="24"/>
        </w:rPr>
        <w:t>多种，石油、天然气也有较好的找矿前景。目前开采利用的有金、银、铅、锌、橄榄岩、</w:t>
      </w:r>
      <w:r>
        <w:rPr>
          <w:rFonts w:hint="default" w:ascii="Times New Roman" w:hAnsi="Times New Roman" w:eastAsia="宋体" w:cs="Times New Roman"/>
          <w:spacing w:val="-5"/>
          <w:sz w:val="24"/>
          <w:szCs w:val="24"/>
        </w:rPr>
        <w:t>明矾石、花岗岩、大理石、石英石、瓷石、膨润土、钾长石、石灰岩、磁铁矿砂、各</w:t>
      </w:r>
      <w:r>
        <w:rPr>
          <w:rFonts w:hint="default" w:ascii="Times New Roman" w:hAnsi="Times New Roman" w:eastAsia="宋体" w:cs="Times New Roman"/>
          <w:spacing w:val="-2"/>
          <w:sz w:val="24"/>
          <w:szCs w:val="24"/>
        </w:rPr>
        <w:t>建筑砂石、矿泉水、温泉水等</w:t>
      </w:r>
      <w:r>
        <w:rPr>
          <w:rFonts w:hint="default" w:ascii="Times New Roman" w:hAnsi="Times New Roman" w:eastAsia="宋体" w:cs="Times New Roman"/>
          <w:sz w:val="24"/>
          <w:szCs w:val="24"/>
        </w:rPr>
        <w:t>20多种。铁矿：霍邱周集铁矿是国内罕见的大型鞍</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pacing w:val="-15"/>
          <w:sz w:val="24"/>
          <w:szCs w:val="24"/>
        </w:rPr>
        <w:t>式</w:t>
      </w:r>
      <w:r>
        <w:rPr>
          <w:rFonts w:hint="default" w:ascii="Times New Roman" w:hAnsi="Times New Roman" w:eastAsia="宋体" w:cs="Times New Roman"/>
          <w:spacing w:val="-10"/>
          <w:sz w:val="24"/>
          <w:szCs w:val="24"/>
        </w:rPr>
        <w:t xml:space="preserve">铁矿，矿区地处淮河平原，由周集、张庄、周油坊、李楼、吴集等 </w:t>
      </w:r>
      <w:r>
        <w:rPr>
          <w:rFonts w:hint="default" w:ascii="Times New Roman" w:hAnsi="Times New Roman" w:eastAsia="宋体" w:cs="Times New Roman"/>
          <w:sz w:val="24"/>
          <w:szCs w:val="24"/>
        </w:rPr>
        <w:t>9</w:t>
      </w:r>
      <w:r>
        <w:rPr>
          <w:rFonts w:hint="default" w:ascii="Times New Roman" w:hAnsi="Times New Roman" w:eastAsia="宋体" w:cs="Times New Roman"/>
          <w:spacing w:val="-2"/>
          <w:sz w:val="24"/>
          <w:szCs w:val="24"/>
        </w:rPr>
        <w:t>个矿床组成，已探</w:t>
      </w:r>
      <w:r>
        <w:rPr>
          <w:rFonts w:hint="default" w:ascii="Times New Roman" w:hAnsi="Times New Roman" w:eastAsia="宋体" w:cs="Times New Roman"/>
          <w:spacing w:val="-17"/>
          <w:sz w:val="24"/>
          <w:szCs w:val="24"/>
        </w:rPr>
        <w:t xml:space="preserve">明储量 </w:t>
      </w:r>
      <w:r>
        <w:rPr>
          <w:rFonts w:hint="default" w:ascii="Times New Roman" w:hAnsi="Times New Roman" w:eastAsia="宋体" w:cs="Times New Roman"/>
          <w:sz w:val="24"/>
          <w:szCs w:val="24"/>
        </w:rPr>
        <w:t>16.5</w:t>
      </w:r>
      <w:r>
        <w:rPr>
          <w:rFonts w:hint="default" w:ascii="Times New Roman" w:hAnsi="Times New Roman" w:eastAsia="宋体" w:cs="Times New Roman"/>
          <w:spacing w:val="-12"/>
          <w:sz w:val="24"/>
          <w:szCs w:val="24"/>
        </w:rPr>
        <w:t>亿吨，居华东第一、全国第五。目前仅吴集铁矿部分开采。金矿：已探明有</w:t>
      </w:r>
      <w:r>
        <w:rPr>
          <w:rFonts w:hint="default" w:ascii="Times New Roman" w:hAnsi="Times New Roman" w:eastAsia="宋体" w:cs="Times New Roman"/>
          <w:sz w:val="24"/>
          <w:szCs w:val="24"/>
        </w:rPr>
        <w:t>霍</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pacing w:val="-2"/>
          <w:sz w:val="24"/>
          <w:szCs w:val="24"/>
        </w:rPr>
        <w:t>东溪、隆兴、南关岭金矿。东溪金矿矿体</w:t>
      </w:r>
      <w:r>
        <w:rPr>
          <w:rFonts w:hint="default" w:ascii="Times New Roman" w:hAnsi="Times New Roman" w:eastAsia="宋体" w:cs="Times New Roman"/>
          <w:sz w:val="24"/>
          <w:szCs w:val="24"/>
        </w:rPr>
        <w:t>10</w:t>
      </w:r>
      <w:r>
        <w:rPr>
          <w:rFonts w:hint="default" w:ascii="Times New Roman" w:hAnsi="Times New Roman" w:eastAsia="宋体" w:cs="Times New Roman"/>
          <w:spacing w:val="-1"/>
          <w:sz w:val="24"/>
          <w:szCs w:val="24"/>
        </w:rPr>
        <w:t>余个，金银储量均较可观，已开采利</w:t>
      </w:r>
      <w:r>
        <w:rPr>
          <w:rFonts w:hint="default" w:ascii="Times New Roman" w:hAnsi="Times New Roman" w:eastAsia="宋体" w:cs="Times New Roman"/>
          <w:spacing w:val="-8"/>
          <w:sz w:val="24"/>
          <w:szCs w:val="24"/>
        </w:rPr>
        <w:t>用。铅锌矿：主要分布于金寨县，已探明中型矿床</w:t>
      </w:r>
      <w:r>
        <w:rPr>
          <w:rFonts w:hint="default" w:ascii="Times New Roman" w:hAnsi="Times New Roman" w:eastAsia="宋体" w:cs="Times New Roman"/>
          <w:sz w:val="24"/>
          <w:szCs w:val="24"/>
        </w:rPr>
        <w:t>8</w:t>
      </w:r>
      <w:r>
        <w:rPr>
          <w:rFonts w:hint="default" w:ascii="Times New Roman" w:hAnsi="Times New Roman" w:eastAsia="宋体" w:cs="Times New Roman"/>
          <w:spacing w:val="-4"/>
          <w:sz w:val="24"/>
          <w:szCs w:val="24"/>
        </w:rPr>
        <w:t>处，其中汞洞冲、银</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pacing w:val="-5"/>
          <w:sz w:val="24"/>
          <w:szCs w:val="24"/>
        </w:rPr>
        <w:t>畈、银水寺</w:t>
      </w:r>
      <w:r>
        <w:rPr>
          <w:rFonts w:hint="default" w:ascii="Times New Roman" w:hAnsi="Times New Roman" w:eastAsia="宋体" w:cs="Times New Roman"/>
          <w:spacing w:val="-7"/>
          <w:sz w:val="24"/>
          <w:szCs w:val="24"/>
        </w:rPr>
        <w:t>等处已开采。建筑砂石：全市建筑砂石资源极为丰富，质量上乘，年开采量</w:t>
      </w:r>
      <w:r>
        <w:rPr>
          <w:rFonts w:hint="default" w:ascii="Times New Roman" w:hAnsi="Times New Roman" w:eastAsia="宋体" w:cs="Times New Roman"/>
          <w:sz w:val="24"/>
          <w:szCs w:val="24"/>
        </w:rPr>
        <w:t>350</w:t>
      </w:r>
      <w:r>
        <w:rPr>
          <w:rFonts w:hint="default" w:ascii="Times New Roman" w:hAnsi="Times New Roman" w:eastAsia="宋体" w:cs="Times New Roman"/>
          <w:spacing w:val="-5"/>
          <w:sz w:val="24"/>
          <w:szCs w:val="24"/>
        </w:rPr>
        <w:t>万吨以</w:t>
      </w:r>
      <w:r>
        <w:rPr>
          <w:rFonts w:hint="default" w:ascii="Times New Roman" w:hAnsi="Times New Roman" w:eastAsia="宋体" w:cs="Times New Roman"/>
          <w:spacing w:val="-9"/>
          <w:sz w:val="24"/>
          <w:szCs w:val="24"/>
        </w:rPr>
        <w:t>上，是合肥、芜湖、南京、上海等地建筑市场上的热销产品。水泥灰岩：主要分布在霍</w:t>
      </w:r>
      <w:r>
        <w:rPr>
          <w:rFonts w:hint="default" w:ascii="Times New Roman" w:hAnsi="Times New Roman" w:eastAsia="宋体" w:cs="Times New Roman"/>
          <w:sz w:val="24"/>
          <w:szCs w:val="24"/>
        </w:rPr>
        <w:t>邱四平</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z w:val="24"/>
          <w:szCs w:val="24"/>
        </w:rPr>
        <w:t>、寿县里洞</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pacing w:val="-4"/>
          <w:sz w:val="24"/>
          <w:szCs w:val="24"/>
        </w:rPr>
        <w:t>等地，共探明</w:t>
      </w:r>
      <w:r>
        <w:rPr>
          <w:rFonts w:hint="default" w:ascii="Times New Roman" w:hAnsi="Times New Roman" w:eastAsia="宋体" w:cs="Times New Roman"/>
          <w:sz w:val="24"/>
          <w:szCs w:val="24"/>
        </w:rPr>
        <w:t xml:space="preserve">6000 </w:t>
      </w:r>
      <w:r>
        <w:rPr>
          <w:rFonts w:hint="default" w:ascii="Times New Roman" w:hAnsi="Times New Roman" w:eastAsia="宋体" w:cs="Times New Roman"/>
          <w:spacing w:val="-1"/>
          <w:sz w:val="24"/>
          <w:szCs w:val="24"/>
        </w:rPr>
        <w:t>多万吨。现两处各建水泥厂一座，年开采矿</w:t>
      </w:r>
      <w:r>
        <w:rPr>
          <w:rFonts w:hint="default" w:ascii="Times New Roman" w:hAnsi="Times New Roman" w:eastAsia="宋体" w:cs="Times New Roman"/>
          <w:spacing w:val="-22"/>
          <w:sz w:val="24"/>
          <w:szCs w:val="24"/>
        </w:rPr>
        <w:t xml:space="preserve">石 </w:t>
      </w:r>
      <w:r>
        <w:rPr>
          <w:rFonts w:hint="default" w:ascii="Times New Roman" w:hAnsi="Times New Roman" w:eastAsia="宋体" w:cs="Times New Roman"/>
          <w:sz w:val="24"/>
          <w:szCs w:val="24"/>
        </w:rPr>
        <w:t>129</w:t>
      </w:r>
      <w:r>
        <w:rPr>
          <w:rFonts w:hint="default" w:ascii="Times New Roman" w:hAnsi="Times New Roman" w:eastAsia="宋体" w:cs="Times New Roman"/>
          <w:spacing w:val="-2"/>
          <w:sz w:val="24"/>
          <w:szCs w:val="24"/>
        </w:rPr>
        <w:t>万吨。地下热水和矿泉水：境内地热出露点已发现</w:t>
      </w:r>
      <w:r>
        <w:rPr>
          <w:rFonts w:hint="default" w:ascii="Times New Roman" w:hAnsi="Times New Roman" w:eastAsia="宋体" w:cs="Times New Roman"/>
          <w:sz w:val="24"/>
          <w:szCs w:val="24"/>
        </w:rPr>
        <w:t>19处，主要分布在霍</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pacing w:val="-7"/>
          <w:sz w:val="24"/>
          <w:szCs w:val="24"/>
        </w:rPr>
        <w:t>、舒</w:t>
      </w:r>
      <w:r>
        <w:rPr>
          <w:rFonts w:hint="default" w:ascii="Times New Roman" w:hAnsi="Times New Roman" w:eastAsia="宋体" w:cs="Times New Roman"/>
          <w:sz w:val="24"/>
          <w:szCs w:val="24"/>
        </w:rPr>
        <w:t>城境内。霍</w:t>
      </w:r>
      <w:r>
        <w:rPr>
          <w:rFonts w:hint="default" w:ascii="Times New Roman" w:hAnsi="Times New Roman" w:eastAsia="宋体" w:cs="Times New Roman"/>
          <w:sz w:val="24"/>
          <w:szCs w:val="24"/>
          <w:lang w:eastAsia="zh-CN"/>
        </w:rPr>
        <w:t>山</w:t>
      </w:r>
      <w:r>
        <w:rPr>
          <w:rFonts w:hint="default" w:ascii="Times New Roman" w:hAnsi="Times New Roman" w:eastAsia="宋体" w:cs="Times New Roman"/>
          <w:spacing w:val="-9"/>
          <w:sz w:val="24"/>
          <w:szCs w:val="24"/>
        </w:rPr>
        <w:t>陡沙河热泉有</w:t>
      </w:r>
      <w:r>
        <w:rPr>
          <w:rFonts w:hint="default" w:ascii="Times New Roman" w:hAnsi="Times New Roman" w:eastAsia="宋体" w:cs="Times New Roman"/>
          <w:spacing w:val="-5"/>
          <w:sz w:val="24"/>
          <w:szCs w:val="24"/>
        </w:rPr>
        <w:t>11</w:t>
      </w:r>
      <w:r>
        <w:rPr>
          <w:rFonts w:hint="default" w:ascii="Times New Roman" w:hAnsi="Times New Roman" w:eastAsia="宋体" w:cs="Times New Roman"/>
          <w:spacing w:val="-8"/>
          <w:sz w:val="24"/>
          <w:szCs w:val="24"/>
        </w:rPr>
        <w:t>个出露点，组成</w:t>
      </w:r>
      <w:r>
        <w:rPr>
          <w:rFonts w:hint="default" w:ascii="Times New Roman" w:hAnsi="Times New Roman" w:eastAsia="宋体" w:cs="Times New Roman"/>
          <w:sz w:val="24"/>
          <w:szCs w:val="24"/>
        </w:rPr>
        <w:t>1500米的南北两个</w:t>
      </w:r>
      <w:r>
        <w:rPr>
          <w:rFonts w:hint="default" w:ascii="Times New Roman" w:hAnsi="Times New Roman" w:eastAsia="宋体" w:cs="Times New Roman"/>
          <w:sz w:val="24"/>
          <w:szCs w:val="24"/>
          <w:lang w:eastAsia="zh-CN"/>
        </w:rPr>
        <w:t>。</w:t>
      </w:r>
    </w:p>
    <w:p>
      <w:pPr>
        <w:pStyle w:val="5"/>
        <w:rPr>
          <w:sz w:val="24"/>
          <w:szCs w:val="24"/>
        </w:rPr>
      </w:pPr>
      <w:bookmarkStart w:id="173" w:name="_Toc24043_WPSOffice_Level2"/>
      <w:r>
        <w:rPr>
          <w:sz w:val="24"/>
          <w:szCs w:val="24"/>
        </w:rPr>
        <w:t>3.2 环境质量现状调查与评价</w:t>
      </w:r>
      <w:bookmarkEnd w:id="172"/>
      <w:bookmarkEnd w:id="173"/>
    </w:p>
    <w:p>
      <w:pPr>
        <w:widowControl/>
        <w:adjustRightInd/>
        <w:rPr>
          <w:b/>
          <w:kern w:val="0"/>
          <w:sz w:val="24"/>
          <w:szCs w:val="24"/>
        </w:rPr>
      </w:pPr>
      <w:r>
        <w:rPr>
          <w:b/>
          <w:kern w:val="0"/>
          <w:sz w:val="24"/>
          <w:szCs w:val="24"/>
        </w:rPr>
        <w:t>3.2.1 环境空气质量现状监测与评价</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根据《环境影响评价技术导则 大气环境》（ HJ2.2-2018），本次评价基本污染物环境质量现状数据采用</w:t>
      </w:r>
      <w:r>
        <w:rPr>
          <w:rFonts w:hint="eastAsia" w:ascii="Times New Roman" w:hAnsi="Times New Roman" w:eastAsia="宋体" w:cs="Times New Roman"/>
          <w:kern w:val="0"/>
          <w:sz w:val="24"/>
          <w:szCs w:val="24"/>
          <w:lang w:eastAsia="zh-CN"/>
        </w:rPr>
        <w:t>六安市</w:t>
      </w:r>
      <w:r>
        <w:rPr>
          <w:rFonts w:hint="eastAsia" w:ascii="Times New Roman" w:hAnsi="Times New Roman" w:eastAsia="宋体" w:cs="Times New Roman"/>
          <w:kern w:val="0"/>
          <w:sz w:val="24"/>
          <w:szCs w:val="24"/>
        </w:rPr>
        <w:t>生态环境主管部门公开发布的环境空气质量现状数据。本项目位于</w:t>
      </w:r>
      <w:r>
        <w:rPr>
          <w:rFonts w:hint="eastAsia" w:ascii="Times New Roman" w:hAnsi="宋体" w:eastAsia="宋体" w:cs="Times New Roman"/>
          <w:kern w:val="0"/>
          <w:sz w:val="24"/>
          <w:szCs w:val="24"/>
          <w:lang w:eastAsia="zh-CN"/>
        </w:rPr>
        <w:t>六安市经济技术开发区内</w:t>
      </w:r>
      <w:r>
        <w:rPr>
          <w:rFonts w:hint="eastAsia" w:ascii="Times New Roman" w:hAnsi="Times New Roman" w:eastAsia="宋体" w:cs="Times New Roman"/>
          <w:kern w:val="0"/>
          <w:sz w:val="24"/>
          <w:szCs w:val="24"/>
        </w:rPr>
        <w:t>，根据六安市生态环境局发布的《2018年</w:t>
      </w:r>
      <w:r>
        <w:rPr>
          <w:rFonts w:hint="eastAsia" w:ascii="Times New Roman" w:hAnsi="Times New Roman" w:eastAsia="宋体" w:cs="Times New Roman"/>
          <w:kern w:val="0"/>
          <w:sz w:val="24"/>
          <w:szCs w:val="24"/>
          <w:lang w:eastAsia="zh-CN"/>
        </w:rPr>
        <w:t>六安市</w:t>
      </w:r>
      <w:r>
        <w:rPr>
          <w:rFonts w:hint="eastAsia" w:ascii="Times New Roman" w:hAnsi="Times New Roman" w:eastAsia="宋体" w:cs="Times New Roman"/>
          <w:kern w:val="0"/>
          <w:sz w:val="24"/>
          <w:szCs w:val="24"/>
        </w:rPr>
        <w:t>环境质量报告》中统计数据。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2018年，六安市环境空气质量总体保持良好，城区环境空气质量较2017年明显改善，空气质量优良天数比例（AQI优良率）为83.8%，较去年66.9%的占比，上升了16.9%。PM</w:t>
      </w:r>
      <w:r>
        <w:rPr>
          <w:rFonts w:hint="eastAsia" w:ascii="Times New Roman" w:hAnsi="Times New Roman" w:eastAsia="宋体" w:cs="Times New Roman"/>
          <w:kern w:val="2"/>
          <w:sz w:val="24"/>
          <w:szCs w:val="24"/>
          <w:vertAlign w:val="subscript"/>
          <w:lang w:val="en-US" w:eastAsia="zh-CN" w:bidi="ar-SA"/>
        </w:rPr>
        <w:t>10</w:t>
      </w:r>
      <w:r>
        <w:rPr>
          <w:rFonts w:hint="eastAsia" w:ascii="Times New Roman" w:hAnsi="Times New Roman" w:eastAsia="宋体" w:cs="Times New Roman"/>
          <w:kern w:val="2"/>
          <w:sz w:val="24"/>
          <w:szCs w:val="24"/>
          <w:lang w:val="en-US" w:eastAsia="zh-CN" w:bidi="ar-SA"/>
        </w:rPr>
        <w:t>年均浓度值为79</w:t>
      </w:r>
      <w:r>
        <w:rPr>
          <w:rFonts w:ascii="Times New Roman" w:hAnsi="Times New Roman" w:eastAsia="宋体" w:cs="Times New Roman"/>
          <w:bCs/>
          <w:kern w:val="0"/>
          <w:sz w:val="21"/>
          <w:szCs w:val="24"/>
          <w:lang w:val="en-US" w:eastAsia="zh-CN" w:bidi="ar-SA"/>
        </w:rPr>
        <w:t>μg/m</w:t>
      </w:r>
      <w:r>
        <w:rPr>
          <w:rFonts w:ascii="Times New Roman" w:hAnsi="Times New Roman" w:eastAsia="宋体" w:cs="Times New Roman"/>
          <w:bCs/>
          <w:kern w:val="0"/>
          <w:sz w:val="21"/>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，PM</w:t>
      </w:r>
      <w:r>
        <w:rPr>
          <w:rFonts w:hint="eastAsia" w:ascii="Times New Roman" w:hAnsi="Times New Roman" w:eastAsia="宋体" w:cs="Times New Roman"/>
          <w:kern w:val="2"/>
          <w:sz w:val="24"/>
          <w:szCs w:val="24"/>
          <w:vertAlign w:val="subscript"/>
          <w:lang w:val="en-US" w:eastAsia="zh-CN" w:bidi="ar-SA"/>
        </w:rPr>
        <w:t>2.5</w:t>
      </w:r>
      <w:r>
        <w:rPr>
          <w:rFonts w:hint="eastAsia" w:ascii="Times New Roman" w:hAnsi="Times New Roman" w:eastAsia="宋体" w:cs="Times New Roman"/>
          <w:kern w:val="2"/>
          <w:sz w:val="24"/>
          <w:szCs w:val="24"/>
          <w:lang w:val="en-US" w:eastAsia="zh-CN" w:bidi="ar-SA"/>
        </w:rPr>
        <w:t>年均浓度值为36</w:t>
      </w:r>
      <w:r>
        <w:rPr>
          <w:rFonts w:ascii="Times New Roman" w:hAnsi="Times New Roman" w:eastAsia="宋体" w:cs="Times New Roman"/>
          <w:bCs/>
          <w:kern w:val="0"/>
          <w:sz w:val="21"/>
          <w:szCs w:val="24"/>
          <w:lang w:val="en-US" w:eastAsia="zh-CN" w:bidi="ar-SA"/>
        </w:rPr>
        <w:t>μg/m</w:t>
      </w:r>
      <w:r>
        <w:rPr>
          <w:rFonts w:ascii="Times New Roman" w:hAnsi="Times New Roman" w:eastAsia="宋体" w:cs="Times New Roman"/>
          <w:bCs/>
          <w:kern w:val="0"/>
          <w:sz w:val="21"/>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，较去年分别下降了12</w:t>
      </w:r>
      <w:r>
        <w:rPr>
          <w:rFonts w:ascii="Times New Roman" w:hAnsi="Times New Roman" w:eastAsia="宋体" w:cs="Times New Roman"/>
          <w:bCs/>
          <w:kern w:val="0"/>
          <w:sz w:val="21"/>
          <w:szCs w:val="24"/>
          <w:lang w:val="en-US" w:eastAsia="zh-CN" w:bidi="ar-SA"/>
        </w:rPr>
        <w:t>μg/m</w:t>
      </w:r>
      <w:r>
        <w:rPr>
          <w:rFonts w:ascii="Times New Roman" w:hAnsi="Times New Roman" w:eastAsia="宋体" w:cs="Times New Roman"/>
          <w:bCs/>
          <w:kern w:val="0"/>
          <w:sz w:val="21"/>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、18</w:t>
      </w:r>
      <w:r>
        <w:rPr>
          <w:rFonts w:ascii="Times New Roman" w:hAnsi="Times New Roman" w:eastAsia="宋体" w:cs="Times New Roman"/>
          <w:bCs/>
          <w:kern w:val="0"/>
          <w:sz w:val="21"/>
          <w:szCs w:val="24"/>
          <w:lang w:val="en-US" w:eastAsia="zh-CN" w:bidi="ar-SA"/>
        </w:rPr>
        <w:t>μg/m</w:t>
      </w:r>
      <w:r>
        <w:rPr>
          <w:rFonts w:ascii="Times New Roman" w:hAnsi="Times New Roman" w:eastAsia="宋体" w:cs="Times New Roman"/>
          <w:bCs/>
          <w:kern w:val="0"/>
          <w:sz w:val="21"/>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Cs/>
          <w:kern w:val="0"/>
          <w:sz w:val="24"/>
          <w:szCs w:val="24"/>
        </w:rPr>
      </w:pPr>
      <w:r>
        <w:rPr>
          <w:rFonts w:hint="eastAsia" w:ascii="Times New Roman" w:hAnsi="Times New Roman" w:eastAsia="宋体" w:cs="Times New Roman"/>
          <w:bCs/>
          <w:kern w:val="0"/>
          <w:sz w:val="24"/>
          <w:szCs w:val="24"/>
        </w:rPr>
        <w:t>项目所在区域空气质量现状评价见下表：</w:t>
      </w:r>
    </w:p>
    <w:p>
      <w:pPr>
        <w:keepNext w:val="0"/>
        <w:keepLines w:val="0"/>
        <w:pageBreakBefore w:val="0"/>
        <w:widowControl/>
        <w:kinsoku/>
        <w:wordWrap/>
        <w:overflowPunct/>
        <w:topLinePunct w:val="0"/>
        <w:autoSpaceDE/>
        <w:autoSpaceDN/>
        <w:bidi w:val="0"/>
        <w:adjustRightInd w:val="0"/>
        <w:snapToGrid w:val="0"/>
        <w:spacing w:line="240" w:lineRule="auto"/>
        <w:ind w:firstLine="482" w:firstLineChars="200"/>
        <w:jc w:val="center"/>
        <w:textAlignment w:val="auto"/>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表3.2-1 区域空气质量现状评价表</w:t>
      </w:r>
    </w:p>
    <w:tbl>
      <w:tblPr>
        <w:tblStyle w:val="22"/>
        <w:tblW w:w="9273" w:type="dxa"/>
        <w:jc w:val="center"/>
        <w:tblInd w:w="-613"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39"/>
        <w:gridCol w:w="2378"/>
        <w:gridCol w:w="1227"/>
        <w:gridCol w:w="1780"/>
        <w:gridCol w:w="1503"/>
        <w:gridCol w:w="114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15" w:hRule="atLeast"/>
          <w:jc w:val="center"/>
        </w:trPr>
        <w:tc>
          <w:tcPr>
            <w:tcW w:w="1239"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污染物</w:t>
            </w:r>
          </w:p>
        </w:tc>
        <w:tc>
          <w:tcPr>
            <w:tcW w:w="2378"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年评价指标</w:t>
            </w:r>
          </w:p>
        </w:tc>
        <w:tc>
          <w:tcPr>
            <w:tcW w:w="1227"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现状浓度</w:t>
            </w:r>
          </w:p>
          <w:p>
            <w:pPr>
              <w:widowControl/>
              <w:spacing w:line="240" w:lineRule="auto"/>
              <w:ind w:firstLine="0" w:firstLineChars="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（μg/m</w:t>
            </w:r>
            <w:r>
              <w:rPr>
                <w:rFonts w:ascii="Times New Roman" w:hAnsi="Times New Roman" w:eastAsia="宋体" w:cs="Times New Roman"/>
                <w:bCs/>
                <w:kern w:val="0"/>
                <w:sz w:val="21"/>
                <w:szCs w:val="21"/>
                <w:vertAlign w:val="superscript"/>
              </w:rPr>
              <w:t>3</w:t>
            </w:r>
            <w:r>
              <w:rPr>
                <w:rFonts w:ascii="Times New Roman" w:hAnsi="Times New Roman" w:eastAsia="宋体" w:cs="Times New Roman"/>
                <w:bCs/>
                <w:kern w:val="0"/>
                <w:sz w:val="21"/>
                <w:szCs w:val="21"/>
              </w:rPr>
              <w:t>）</w:t>
            </w:r>
          </w:p>
        </w:tc>
        <w:tc>
          <w:tcPr>
            <w:tcW w:w="1780"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标准值</w:t>
            </w:r>
          </w:p>
          <w:p>
            <w:pPr>
              <w:widowControl/>
              <w:spacing w:line="240" w:lineRule="auto"/>
              <w:ind w:firstLine="0" w:firstLineChars="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（μg/m</w:t>
            </w:r>
            <w:r>
              <w:rPr>
                <w:rFonts w:ascii="Times New Roman" w:hAnsi="Times New Roman" w:eastAsia="宋体" w:cs="Times New Roman"/>
                <w:bCs/>
                <w:kern w:val="0"/>
                <w:sz w:val="21"/>
                <w:szCs w:val="21"/>
                <w:vertAlign w:val="superscript"/>
              </w:rPr>
              <w:t>3</w:t>
            </w:r>
            <w:r>
              <w:rPr>
                <w:rFonts w:ascii="Times New Roman" w:hAnsi="Times New Roman" w:eastAsia="宋体" w:cs="Times New Roman"/>
                <w:bCs/>
                <w:kern w:val="0"/>
                <w:sz w:val="21"/>
                <w:szCs w:val="21"/>
              </w:rPr>
              <w:t>）</w:t>
            </w:r>
          </w:p>
        </w:tc>
        <w:tc>
          <w:tcPr>
            <w:tcW w:w="1503"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占标率（%）</w:t>
            </w:r>
          </w:p>
        </w:tc>
        <w:tc>
          <w:tcPr>
            <w:tcW w:w="1146"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17" w:hRule="atLeast"/>
          <w:jc w:val="center"/>
        </w:trPr>
        <w:tc>
          <w:tcPr>
            <w:tcW w:w="1239"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SO</w:t>
            </w:r>
            <w:r>
              <w:rPr>
                <w:rFonts w:hint="eastAsia" w:ascii="Times New Roman" w:hAnsi="Times New Roman" w:eastAsia="宋体" w:cs="Times New Roman"/>
                <w:bCs/>
                <w:kern w:val="0"/>
                <w:sz w:val="21"/>
                <w:szCs w:val="21"/>
                <w:vertAlign w:val="subscript"/>
              </w:rPr>
              <w:t>2</w:t>
            </w:r>
          </w:p>
        </w:tc>
        <w:tc>
          <w:tcPr>
            <w:tcW w:w="2378"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年平均质量浓度</w:t>
            </w:r>
          </w:p>
        </w:tc>
        <w:tc>
          <w:tcPr>
            <w:tcW w:w="1227"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8</w:t>
            </w:r>
          </w:p>
        </w:tc>
        <w:tc>
          <w:tcPr>
            <w:tcW w:w="1780"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60</w:t>
            </w:r>
          </w:p>
        </w:tc>
        <w:tc>
          <w:tcPr>
            <w:tcW w:w="1503"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13.3</w:t>
            </w:r>
          </w:p>
        </w:tc>
        <w:tc>
          <w:tcPr>
            <w:tcW w:w="1146"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17" w:hRule="atLeast"/>
          <w:jc w:val="center"/>
        </w:trPr>
        <w:tc>
          <w:tcPr>
            <w:tcW w:w="1239"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NO</w:t>
            </w:r>
            <w:r>
              <w:rPr>
                <w:rFonts w:hint="eastAsia" w:ascii="Times New Roman" w:hAnsi="Times New Roman" w:eastAsia="宋体" w:cs="Times New Roman"/>
                <w:bCs/>
                <w:kern w:val="0"/>
                <w:sz w:val="21"/>
                <w:szCs w:val="21"/>
                <w:vertAlign w:val="subscript"/>
              </w:rPr>
              <w:t>2</w:t>
            </w:r>
          </w:p>
        </w:tc>
        <w:tc>
          <w:tcPr>
            <w:tcW w:w="2378"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年平均质量浓度</w:t>
            </w:r>
          </w:p>
        </w:tc>
        <w:tc>
          <w:tcPr>
            <w:tcW w:w="1227"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23</w:t>
            </w:r>
          </w:p>
        </w:tc>
        <w:tc>
          <w:tcPr>
            <w:tcW w:w="1780"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40</w:t>
            </w:r>
          </w:p>
        </w:tc>
        <w:tc>
          <w:tcPr>
            <w:tcW w:w="1503"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57.5</w:t>
            </w:r>
          </w:p>
        </w:tc>
        <w:tc>
          <w:tcPr>
            <w:tcW w:w="1146"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17" w:hRule="atLeast"/>
          <w:jc w:val="center"/>
        </w:trPr>
        <w:tc>
          <w:tcPr>
            <w:tcW w:w="1239"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PM</w:t>
            </w:r>
            <w:r>
              <w:rPr>
                <w:rFonts w:hint="eastAsia" w:ascii="Times New Roman" w:hAnsi="Times New Roman" w:eastAsia="宋体" w:cs="Times New Roman"/>
                <w:bCs/>
                <w:kern w:val="0"/>
                <w:sz w:val="21"/>
                <w:szCs w:val="21"/>
                <w:vertAlign w:val="subscript"/>
              </w:rPr>
              <w:t>10</w:t>
            </w:r>
          </w:p>
        </w:tc>
        <w:tc>
          <w:tcPr>
            <w:tcW w:w="2378"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年平均质量浓度</w:t>
            </w:r>
          </w:p>
        </w:tc>
        <w:tc>
          <w:tcPr>
            <w:tcW w:w="1227"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79</w:t>
            </w:r>
          </w:p>
        </w:tc>
        <w:tc>
          <w:tcPr>
            <w:tcW w:w="1780"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70</w:t>
            </w:r>
          </w:p>
        </w:tc>
        <w:tc>
          <w:tcPr>
            <w:tcW w:w="1503"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1.13</w:t>
            </w:r>
          </w:p>
        </w:tc>
        <w:tc>
          <w:tcPr>
            <w:tcW w:w="1146"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超标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17" w:hRule="atLeast"/>
          <w:jc w:val="center"/>
        </w:trPr>
        <w:tc>
          <w:tcPr>
            <w:tcW w:w="1239"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PM</w:t>
            </w:r>
            <w:r>
              <w:rPr>
                <w:rFonts w:hint="eastAsia" w:ascii="Times New Roman" w:hAnsi="Times New Roman" w:eastAsia="宋体" w:cs="Times New Roman"/>
                <w:bCs/>
                <w:kern w:val="0"/>
                <w:sz w:val="21"/>
                <w:szCs w:val="21"/>
                <w:vertAlign w:val="subscript"/>
              </w:rPr>
              <w:t>2.5</w:t>
            </w:r>
          </w:p>
        </w:tc>
        <w:tc>
          <w:tcPr>
            <w:tcW w:w="2378"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年平均质量浓度</w:t>
            </w:r>
          </w:p>
        </w:tc>
        <w:tc>
          <w:tcPr>
            <w:tcW w:w="1227"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36</w:t>
            </w:r>
          </w:p>
        </w:tc>
        <w:tc>
          <w:tcPr>
            <w:tcW w:w="1780"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35</w:t>
            </w:r>
          </w:p>
        </w:tc>
        <w:tc>
          <w:tcPr>
            <w:tcW w:w="1503"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1.03</w:t>
            </w:r>
          </w:p>
        </w:tc>
        <w:tc>
          <w:tcPr>
            <w:tcW w:w="1146"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超标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15" w:hRule="atLeast"/>
          <w:jc w:val="center"/>
        </w:trPr>
        <w:tc>
          <w:tcPr>
            <w:tcW w:w="1239"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CO</w:t>
            </w:r>
          </w:p>
        </w:tc>
        <w:tc>
          <w:tcPr>
            <w:tcW w:w="2378"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第95百分位数日平均质量浓度</w:t>
            </w:r>
          </w:p>
        </w:tc>
        <w:tc>
          <w:tcPr>
            <w:tcW w:w="1227"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0.6</w:t>
            </w:r>
          </w:p>
        </w:tc>
        <w:tc>
          <w:tcPr>
            <w:tcW w:w="1780"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4</w:t>
            </w:r>
          </w:p>
        </w:tc>
        <w:tc>
          <w:tcPr>
            <w:tcW w:w="1503"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0.15</w:t>
            </w:r>
          </w:p>
        </w:tc>
        <w:tc>
          <w:tcPr>
            <w:tcW w:w="1146"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34" w:hRule="atLeast"/>
          <w:jc w:val="center"/>
        </w:trPr>
        <w:tc>
          <w:tcPr>
            <w:tcW w:w="1239"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O</w:t>
            </w:r>
            <w:r>
              <w:rPr>
                <w:rFonts w:hint="eastAsia" w:ascii="Times New Roman" w:hAnsi="Times New Roman" w:eastAsia="宋体" w:cs="Times New Roman"/>
                <w:bCs/>
                <w:kern w:val="0"/>
                <w:sz w:val="21"/>
                <w:szCs w:val="21"/>
                <w:vertAlign w:val="subscript"/>
              </w:rPr>
              <w:t>3</w:t>
            </w:r>
          </w:p>
        </w:tc>
        <w:tc>
          <w:tcPr>
            <w:tcW w:w="2378"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第90百分位数日平均质量浓度</w:t>
            </w:r>
          </w:p>
        </w:tc>
        <w:tc>
          <w:tcPr>
            <w:tcW w:w="1227"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86</w:t>
            </w:r>
          </w:p>
        </w:tc>
        <w:tc>
          <w:tcPr>
            <w:tcW w:w="1780"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160</w:t>
            </w:r>
          </w:p>
        </w:tc>
        <w:tc>
          <w:tcPr>
            <w:tcW w:w="1503"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53.8</w:t>
            </w:r>
          </w:p>
        </w:tc>
        <w:tc>
          <w:tcPr>
            <w:tcW w:w="1146" w:type="dxa"/>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达标</w:t>
            </w:r>
          </w:p>
        </w:tc>
      </w:tr>
    </w:tbl>
    <w:p>
      <w:pPr>
        <w:widowControl/>
        <w:spacing w:line="480" w:lineRule="exact"/>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bCs/>
          <w:kern w:val="0"/>
          <w:sz w:val="24"/>
          <w:szCs w:val="24"/>
        </w:rPr>
        <w:t>根据质量公报监测结果统计，并结合</w:t>
      </w:r>
      <w:r>
        <w:rPr>
          <w:rFonts w:ascii="Times New Roman" w:hAnsi="Times New Roman" w:eastAsia="宋体" w:cs="Times New Roman"/>
          <w:kern w:val="0"/>
          <w:sz w:val="24"/>
          <w:szCs w:val="24"/>
        </w:rPr>
        <w:t>《环境空气质量标准》（GB3095-2012）及2018年修改单中二级标准</w:t>
      </w:r>
      <w:r>
        <w:rPr>
          <w:rFonts w:hint="eastAsia" w:ascii="Times New Roman" w:hAnsi="Times New Roman" w:eastAsia="宋体" w:cs="Times New Roman"/>
          <w:kern w:val="0"/>
          <w:sz w:val="24"/>
          <w:szCs w:val="24"/>
        </w:rPr>
        <w:t>评价可知，项目所在区域2018年PM</w:t>
      </w:r>
      <w:r>
        <w:rPr>
          <w:rFonts w:hint="eastAsia" w:ascii="Times New Roman" w:hAnsi="Times New Roman" w:eastAsia="宋体" w:cs="Times New Roman"/>
          <w:kern w:val="0"/>
          <w:sz w:val="24"/>
          <w:szCs w:val="24"/>
          <w:vertAlign w:val="subscript"/>
        </w:rPr>
        <w:t>10</w:t>
      </w:r>
      <w:r>
        <w:rPr>
          <w:rFonts w:hint="eastAsia" w:ascii="Times New Roman" w:hAnsi="Times New Roman" w:eastAsia="宋体" w:cs="Times New Roman"/>
          <w:kern w:val="0"/>
          <w:sz w:val="24"/>
          <w:szCs w:val="24"/>
        </w:rPr>
        <w:t>年平均质量浓度超标，超标倍数为0.13；PM</w:t>
      </w:r>
      <w:r>
        <w:rPr>
          <w:rFonts w:hint="eastAsia" w:ascii="Times New Roman" w:hAnsi="Times New Roman" w:eastAsia="宋体" w:cs="Times New Roman"/>
          <w:kern w:val="0"/>
          <w:sz w:val="24"/>
          <w:szCs w:val="24"/>
          <w:vertAlign w:val="subscript"/>
        </w:rPr>
        <w:t>2.5</w:t>
      </w:r>
      <w:r>
        <w:rPr>
          <w:rFonts w:hint="eastAsia" w:ascii="Times New Roman" w:hAnsi="Times New Roman" w:eastAsia="宋体" w:cs="Times New Roman"/>
          <w:kern w:val="0"/>
          <w:sz w:val="24"/>
          <w:szCs w:val="24"/>
        </w:rPr>
        <w:t>年平均质量浓度超标倍数为0.03；其他基本污染物均达标。根据《环境影响评价技术导则 大气环境》（HJ2.2-2018），项目所在区域判定为不达标区。</w:t>
      </w:r>
    </w:p>
    <w:p>
      <w:pPr>
        <w:widowControl/>
        <w:adjustRightInd/>
        <w:rPr>
          <w:b/>
          <w:kern w:val="0"/>
          <w:sz w:val="24"/>
          <w:szCs w:val="24"/>
        </w:rPr>
      </w:pPr>
      <w:r>
        <w:rPr>
          <w:b/>
          <w:kern w:val="0"/>
          <w:sz w:val="24"/>
          <w:szCs w:val="24"/>
        </w:rPr>
        <w:t>3.2.2 地表水环境质量现状调查与评价</w:t>
      </w:r>
    </w:p>
    <w:p>
      <w:pPr>
        <w:widowControl/>
        <w:spacing w:line="360" w:lineRule="auto"/>
        <w:ind w:firstLine="480" w:firstLineChars="200"/>
        <w:jc w:val="left"/>
        <w:rPr>
          <w:rFonts w:ascii="Times New Roman" w:hAnsi="Times New Roman" w:eastAsia="宋体" w:cs="Times New Roman"/>
          <w:kern w:val="0"/>
          <w:sz w:val="24"/>
          <w:szCs w:val="20"/>
        </w:rPr>
      </w:pPr>
      <w:r>
        <w:rPr>
          <w:rFonts w:hint="eastAsia" w:ascii="宋体" w:hAnsi="宋体" w:eastAsia="宋体" w:cs="宋体"/>
          <w:color w:val="000000"/>
          <w:kern w:val="0"/>
          <w:sz w:val="24"/>
          <w:szCs w:val="24"/>
        </w:rPr>
        <w:t>根据六安市环境监测中心站</w:t>
      </w:r>
      <w:r>
        <w:rPr>
          <w:rFonts w:ascii="TimesNewRomanPSMT" w:hAnsi="TimesNewRomanPSMT" w:eastAsia="TimesNewRomanPSMT" w:cs="TimesNewRomanPSMT"/>
          <w:color w:val="000000"/>
          <w:kern w:val="0"/>
          <w:sz w:val="24"/>
          <w:szCs w:val="24"/>
        </w:rPr>
        <w:t>2019</w:t>
      </w:r>
      <w:r>
        <w:rPr>
          <w:rFonts w:hint="eastAsia" w:ascii="宋体" w:hAnsi="宋体" w:eastAsia="宋体" w:cs="宋体"/>
          <w:color w:val="000000"/>
          <w:kern w:val="0"/>
          <w:sz w:val="24"/>
          <w:szCs w:val="24"/>
        </w:rPr>
        <w:t>年</w:t>
      </w:r>
      <w:r>
        <w:rPr>
          <w:rFonts w:hint="eastAsia" w:ascii="TimesNewRomanPSMT" w:hAnsi="TimesNewRomanPSMT" w:eastAsia="宋体" w:cs="TimesNewRomanPSMT"/>
          <w:color w:val="000000"/>
          <w:kern w:val="0"/>
          <w:sz w:val="24"/>
          <w:szCs w:val="24"/>
          <w:lang w:val="en-US" w:eastAsia="zh-CN"/>
        </w:rPr>
        <w:t>第二季度</w:t>
      </w:r>
      <w:r>
        <w:rPr>
          <w:rFonts w:hint="eastAsia" w:ascii="宋体" w:hAnsi="宋体" w:eastAsia="宋体" w:cs="宋体"/>
          <w:color w:val="000000"/>
          <w:kern w:val="0"/>
          <w:sz w:val="24"/>
          <w:szCs w:val="24"/>
        </w:rPr>
        <w:t>发布的</w:t>
      </w:r>
      <w:r>
        <w:rPr>
          <w:rFonts w:hint="eastAsia" w:ascii="宋体" w:hAnsi="宋体" w:eastAsia="宋体" w:cs="宋体"/>
          <w:color w:val="000000"/>
          <w:kern w:val="0"/>
          <w:sz w:val="24"/>
          <w:szCs w:val="24"/>
          <w:lang w:eastAsia="zh-CN"/>
        </w:rPr>
        <w:t>淠</w:t>
      </w:r>
      <w:r>
        <w:rPr>
          <w:rFonts w:hint="eastAsia" w:ascii="宋体" w:hAnsi="宋体" w:eastAsia="宋体" w:cs="宋体"/>
          <w:color w:val="000000"/>
          <w:kern w:val="0"/>
          <w:sz w:val="24"/>
          <w:szCs w:val="24"/>
        </w:rPr>
        <w:t>水质例行监测评价结果如下。</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kern w:val="0"/>
          <w:sz w:val="24"/>
          <w:szCs w:val="20"/>
        </w:rPr>
      </w:pPr>
      <w:r>
        <w:rPr>
          <w:rFonts w:hint="eastAsia" w:ascii="Times New Roman" w:hAnsi="Times New Roman" w:eastAsia="宋体" w:cs="Times New Roman"/>
          <w:b/>
          <w:bCs/>
          <w:kern w:val="0"/>
          <w:sz w:val="24"/>
          <w:szCs w:val="20"/>
        </w:rPr>
        <w:t>表3.2-</w:t>
      </w:r>
      <w:r>
        <w:rPr>
          <w:rFonts w:hint="eastAsia" w:cs="Times New Roman"/>
          <w:b/>
          <w:bCs/>
          <w:kern w:val="0"/>
          <w:sz w:val="24"/>
          <w:szCs w:val="20"/>
          <w:lang w:val="en-US" w:eastAsia="zh-CN"/>
        </w:rPr>
        <w:t>2</w:t>
      </w:r>
      <w:r>
        <w:rPr>
          <w:rFonts w:hint="eastAsia" w:ascii="Times New Roman" w:hAnsi="Times New Roman" w:eastAsia="宋体" w:cs="Times New Roman"/>
          <w:b/>
          <w:bCs/>
          <w:kern w:val="0"/>
          <w:sz w:val="24"/>
          <w:szCs w:val="20"/>
        </w:rPr>
        <w:t xml:space="preserve"> 地表水环境现状监测结果</w:t>
      </w:r>
    </w:p>
    <w:tbl>
      <w:tblPr>
        <w:tblStyle w:val="23"/>
        <w:tblW w:w="886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230"/>
        <w:gridCol w:w="1272"/>
        <w:gridCol w:w="1093"/>
        <w:gridCol w:w="1727"/>
        <w:gridCol w:w="27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80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rPr>
            </w:pPr>
            <w:r>
              <w:rPr>
                <w:rFonts w:ascii="Times New Roman" w:hAnsi="Times New Roman" w:eastAsia="宋体" w:cs="Times New Roman"/>
                <w:kern w:val="0"/>
                <w:sz w:val="21"/>
                <w:szCs w:val="21"/>
              </w:rPr>
              <w:t>河流名称</w:t>
            </w:r>
          </w:p>
        </w:tc>
        <w:tc>
          <w:tcPr>
            <w:tcW w:w="123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rPr>
            </w:pPr>
            <w:r>
              <w:rPr>
                <w:rFonts w:ascii="Times New Roman" w:hAnsi="Times New Roman" w:eastAsia="宋体" w:cs="Times New Roman"/>
                <w:kern w:val="0"/>
                <w:sz w:val="21"/>
                <w:szCs w:val="21"/>
              </w:rPr>
              <w:t>断面名称</w:t>
            </w:r>
          </w:p>
        </w:tc>
        <w:tc>
          <w:tcPr>
            <w:tcW w:w="4092"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rPr>
            </w:pPr>
            <w:r>
              <w:rPr>
                <w:rFonts w:ascii="Times New Roman" w:hAnsi="Times New Roman" w:eastAsia="宋体" w:cs="Times New Roman"/>
                <w:kern w:val="0"/>
                <w:sz w:val="21"/>
                <w:szCs w:val="21"/>
              </w:rPr>
              <w:t>水质综合评价</w:t>
            </w:r>
          </w:p>
        </w:tc>
        <w:tc>
          <w:tcPr>
            <w:tcW w:w="273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rPr>
            </w:pPr>
            <w:r>
              <w:rPr>
                <w:rFonts w:ascii="Times New Roman" w:hAnsi="Times New Roman" w:eastAsia="宋体" w:cs="Times New Roman"/>
                <w:kern w:val="0"/>
                <w:sz w:val="21"/>
                <w:szCs w:val="21"/>
              </w:rPr>
              <w:t>主要污染物及超标倍数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80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rPr>
            </w:pPr>
          </w:p>
        </w:tc>
        <w:tc>
          <w:tcPr>
            <w:tcW w:w="123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rPr>
            </w:pPr>
          </w:p>
        </w:tc>
        <w:tc>
          <w:tcPr>
            <w:tcW w:w="12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eastAsia="zh-CN"/>
              </w:rPr>
            </w:pPr>
            <w:r>
              <w:rPr>
                <w:rFonts w:ascii="Times New Roman" w:hAnsi="Times New Roman" w:eastAsia="宋体" w:cs="Times New Roman"/>
                <w:kern w:val="0"/>
                <w:sz w:val="21"/>
                <w:szCs w:val="21"/>
              </w:rPr>
              <w:t>本</w:t>
            </w:r>
            <w:r>
              <w:rPr>
                <w:rFonts w:hint="eastAsia" w:ascii="Times New Roman" w:hAnsi="Times New Roman" w:eastAsia="宋体" w:cs="Times New Roman"/>
                <w:kern w:val="0"/>
                <w:sz w:val="21"/>
                <w:szCs w:val="21"/>
                <w:lang w:eastAsia="zh-CN"/>
              </w:rPr>
              <w:t>季度</w:t>
            </w:r>
          </w:p>
        </w:tc>
        <w:tc>
          <w:tcPr>
            <w:tcW w:w="10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eastAsia="zh-CN"/>
              </w:rPr>
            </w:pPr>
            <w:r>
              <w:rPr>
                <w:rFonts w:ascii="Times New Roman" w:hAnsi="Times New Roman" w:eastAsia="宋体" w:cs="Times New Roman"/>
                <w:kern w:val="0"/>
                <w:sz w:val="21"/>
                <w:szCs w:val="21"/>
              </w:rPr>
              <w:t>上</w:t>
            </w:r>
            <w:r>
              <w:rPr>
                <w:rFonts w:hint="eastAsia" w:ascii="Times New Roman" w:hAnsi="Times New Roman" w:eastAsia="宋体" w:cs="Times New Roman"/>
                <w:kern w:val="0"/>
                <w:sz w:val="21"/>
                <w:szCs w:val="21"/>
                <w:lang w:eastAsia="zh-CN"/>
              </w:rPr>
              <w:t>季度</w:t>
            </w:r>
          </w:p>
        </w:tc>
        <w:tc>
          <w:tcPr>
            <w:tcW w:w="172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rPr>
            </w:pPr>
            <w:r>
              <w:rPr>
                <w:rFonts w:ascii="Times New Roman" w:hAnsi="Times New Roman" w:eastAsia="宋体" w:cs="Times New Roman"/>
                <w:kern w:val="0"/>
                <w:sz w:val="21"/>
                <w:szCs w:val="21"/>
              </w:rPr>
              <w:t>变化</w:t>
            </w:r>
          </w:p>
        </w:tc>
        <w:tc>
          <w:tcPr>
            <w:tcW w:w="273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80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淠河</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窑岗嘴</w:t>
            </w:r>
          </w:p>
        </w:tc>
        <w:tc>
          <w:tcPr>
            <w:tcW w:w="12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Ⅱ</w:t>
            </w:r>
          </w:p>
        </w:tc>
        <w:tc>
          <w:tcPr>
            <w:tcW w:w="10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Ⅱ</w:t>
            </w:r>
          </w:p>
        </w:tc>
        <w:tc>
          <w:tcPr>
            <w:tcW w:w="172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630" w:firstLineChars="300"/>
              <w:jc w:val="both"/>
              <w:textAlignment w:val="auto"/>
              <w:rPr>
                <w:rFonts w:ascii="Times New Roman" w:hAnsi="Times New Roman" w:eastAsia="宋体" w:cs="Times New Roman"/>
                <w:kern w:val="0"/>
                <w:sz w:val="21"/>
                <w:szCs w:val="21"/>
              </w:rPr>
            </w:pPr>
            <w:r>
              <w:rPr>
                <w:rFonts w:ascii="Times New Roman" w:hAnsi="Times New Roman" w:eastAsia="宋体" w:cs="Times New Roman"/>
                <w:kern w:val="0"/>
                <w:sz w:val="21"/>
                <w:szCs w:val="21"/>
              </w:rPr>
              <w:t>持平</w:t>
            </w:r>
          </w:p>
        </w:tc>
        <w:tc>
          <w:tcPr>
            <w:tcW w:w="27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80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0"/>
                <w:sz w:val="21"/>
                <w:szCs w:val="21"/>
              </w:rPr>
            </w:pP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新安渡口</w:t>
            </w:r>
          </w:p>
        </w:tc>
        <w:tc>
          <w:tcPr>
            <w:tcW w:w="12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Ⅱ</w:t>
            </w:r>
          </w:p>
        </w:tc>
        <w:tc>
          <w:tcPr>
            <w:tcW w:w="10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Ⅲ</w:t>
            </w:r>
          </w:p>
        </w:tc>
        <w:tc>
          <w:tcPr>
            <w:tcW w:w="172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630" w:firstLineChars="300"/>
              <w:textAlignment w:val="auto"/>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好转</w:t>
            </w:r>
          </w:p>
        </w:tc>
        <w:tc>
          <w:tcPr>
            <w:tcW w:w="27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1260" w:firstLineChars="600"/>
              <w:textAlignment w:val="auto"/>
              <w:rPr>
                <w:rFonts w:hint="eastAsia" w:ascii="Times New Roman" w:hAnsi="Times New Roman" w:eastAsia="微软雅黑" w:cs="Times New Roman"/>
                <w:kern w:val="0"/>
                <w:sz w:val="21"/>
                <w:szCs w:val="21"/>
                <w:lang w:eastAsia="zh-CN"/>
              </w:rPr>
            </w:pPr>
            <w:r>
              <w:rPr>
                <w:rFonts w:hint="eastAsia" w:ascii="Times New Roman" w:hAnsi="Times New Roman" w:eastAsia="微软雅黑" w:cs="Times New Roman"/>
                <w:color w:val="333333"/>
                <w:kern w:val="0"/>
                <w:sz w:val="21"/>
                <w:szCs w:val="21"/>
                <w:shd w:val="clear" w:color="auto" w:fill="FFFFFF"/>
                <w:lang w:val="en-US" w:eastAsia="zh-CN"/>
              </w:rPr>
              <w:t>/</w:t>
            </w:r>
          </w:p>
        </w:tc>
      </w:tr>
    </w:tbl>
    <w:p>
      <w:pPr>
        <w:widowControl/>
        <w:adjustRightInd/>
        <w:snapToGrid/>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现状</w:t>
      </w:r>
      <w:r>
        <w:rPr>
          <w:rFonts w:hint="eastAsia" w:ascii="宋体" w:hAnsi="宋体" w:eastAsia="宋体" w:cs="宋体"/>
          <w:color w:val="000000"/>
          <w:kern w:val="0"/>
          <w:sz w:val="24"/>
          <w:szCs w:val="24"/>
          <w:lang w:eastAsia="zh-CN"/>
        </w:rPr>
        <w:t>淠河</w:t>
      </w:r>
      <w:r>
        <w:rPr>
          <w:rFonts w:hint="eastAsia" w:ascii="宋体" w:hAnsi="宋体" w:eastAsia="宋体" w:cs="宋体"/>
          <w:color w:val="000000"/>
          <w:kern w:val="0"/>
          <w:sz w:val="24"/>
          <w:szCs w:val="24"/>
        </w:rPr>
        <w:t>水质满足《地表水环境质量标准》（</w:t>
      </w:r>
      <w:r>
        <w:rPr>
          <w:rFonts w:ascii="TimesNewRomanPSMT" w:hAnsi="TimesNewRomanPSMT" w:eastAsia="TimesNewRomanPSMT" w:cs="TimesNewRomanPSMT"/>
          <w:color w:val="000000"/>
          <w:kern w:val="0"/>
          <w:sz w:val="24"/>
          <w:szCs w:val="24"/>
        </w:rPr>
        <w:t>GB3838-2002</w:t>
      </w:r>
      <w:r>
        <w:rPr>
          <w:rFonts w:hint="eastAsia" w:ascii="宋体" w:hAnsi="宋体" w:eastAsia="宋体" w:cs="宋体"/>
          <w:color w:val="000000"/>
          <w:kern w:val="0"/>
          <w:sz w:val="24"/>
          <w:szCs w:val="24"/>
        </w:rPr>
        <w:t>）中的Ⅲ类水质标准要求。</w:t>
      </w:r>
    </w:p>
    <w:p>
      <w:pPr>
        <w:widowControl/>
        <w:adjustRightInd/>
        <w:snapToGrid/>
        <w:rPr>
          <w:b/>
          <w:kern w:val="0"/>
          <w:sz w:val="24"/>
          <w:szCs w:val="24"/>
        </w:rPr>
      </w:pPr>
      <w:r>
        <w:rPr>
          <w:b/>
          <w:kern w:val="0"/>
          <w:sz w:val="24"/>
          <w:szCs w:val="24"/>
        </w:rPr>
        <w:t>3.2.3 声环境质量现状监测与评价</w:t>
      </w:r>
    </w:p>
    <w:p>
      <w:pPr>
        <w:widowControl/>
        <w:adjustRightInd/>
        <w:ind w:firstLine="480" w:firstLineChars="200"/>
        <w:rPr>
          <w:kern w:val="0"/>
          <w:sz w:val="24"/>
          <w:szCs w:val="24"/>
        </w:rPr>
      </w:pPr>
      <w:r>
        <w:rPr>
          <w:kern w:val="0"/>
          <w:sz w:val="24"/>
          <w:szCs w:val="24"/>
        </w:rPr>
        <w:t>1、声环境质量现状监测</w:t>
      </w:r>
    </w:p>
    <w:p>
      <w:pPr>
        <w:widowControl/>
        <w:adjustRightInd/>
        <w:snapToGrid/>
        <w:ind w:firstLine="480" w:firstLineChars="200"/>
        <w:rPr>
          <w:kern w:val="0"/>
          <w:sz w:val="24"/>
          <w:szCs w:val="24"/>
        </w:rPr>
      </w:pPr>
      <w:r>
        <w:rPr>
          <w:kern w:val="0"/>
          <w:sz w:val="24"/>
          <w:szCs w:val="24"/>
        </w:rPr>
        <w:t>（1）监测点的布设</w:t>
      </w:r>
    </w:p>
    <w:p>
      <w:pPr>
        <w:widowControl/>
        <w:adjustRightInd/>
        <w:ind w:firstLine="480" w:firstLineChars="200"/>
        <w:rPr>
          <w:kern w:val="0"/>
          <w:sz w:val="24"/>
          <w:szCs w:val="24"/>
        </w:rPr>
      </w:pPr>
      <w:r>
        <w:rPr>
          <w:kern w:val="0"/>
          <w:sz w:val="24"/>
          <w:szCs w:val="24"/>
        </w:rPr>
        <w:t>依据开发区周边环境概况，本次共布设</w:t>
      </w:r>
      <w:r>
        <w:rPr>
          <w:rFonts w:hint="eastAsia"/>
          <w:kern w:val="0"/>
          <w:sz w:val="24"/>
          <w:szCs w:val="24"/>
          <w:lang w:val="en-US" w:eastAsia="zh-CN"/>
        </w:rPr>
        <w:t>4</w:t>
      </w:r>
      <w:r>
        <w:rPr>
          <w:kern w:val="0"/>
          <w:sz w:val="24"/>
          <w:szCs w:val="24"/>
        </w:rPr>
        <w:t>个噪声监测点，分别为项目的东、西、南、北边界。</w:t>
      </w:r>
    </w:p>
    <w:p>
      <w:pPr>
        <w:widowControl/>
        <w:adjustRightInd/>
        <w:ind w:firstLine="480" w:firstLineChars="200"/>
        <w:rPr>
          <w:kern w:val="0"/>
          <w:sz w:val="24"/>
          <w:szCs w:val="24"/>
        </w:rPr>
      </w:pPr>
      <w:r>
        <w:rPr>
          <w:kern w:val="0"/>
          <w:sz w:val="24"/>
          <w:szCs w:val="24"/>
        </w:rPr>
        <w:t>（2）监测频次</w:t>
      </w:r>
    </w:p>
    <w:p>
      <w:pPr>
        <w:widowControl/>
        <w:adjustRightInd/>
        <w:ind w:firstLine="480" w:firstLineChars="200"/>
        <w:rPr>
          <w:kern w:val="0"/>
          <w:sz w:val="24"/>
          <w:szCs w:val="24"/>
        </w:rPr>
      </w:pPr>
      <w:r>
        <w:rPr>
          <w:kern w:val="0"/>
          <w:sz w:val="24"/>
          <w:szCs w:val="24"/>
        </w:rPr>
        <w:t>连续监测2天，昼夜各1次。对各监测点进行昼间（06：00-22：00）和夜间（22：00-06：00）两个时段的监测。</w:t>
      </w:r>
    </w:p>
    <w:p>
      <w:pPr>
        <w:widowControl/>
        <w:adjustRightInd/>
        <w:ind w:firstLine="480" w:firstLineChars="200"/>
        <w:rPr>
          <w:kern w:val="0"/>
          <w:sz w:val="24"/>
          <w:szCs w:val="24"/>
        </w:rPr>
      </w:pPr>
      <w:r>
        <w:rPr>
          <w:kern w:val="0"/>
          <w:sz w:val="24"/>
          <w:szCs w:val="24"/>
        </w:rPr>
        <w:t>（3）监测方法</w:t>
      </w:r>
    </w:p>
    <w:p>
      <w:pPr>
        <w:widowControl/>
        <w:adjustRightInd/>
        <w:ind w:firstLine="480" w:firstLineChars="200"/>
        <w:rPr>
          <w:kern w:val="0"/>
          <w:sz w:val="24"/>
          <w:szCs w:val="24"/>
        </w:rPr>
      </w:pPr>
      <w:r>
        <w:rPr>
          <w:kern w:val="0"/>
          <w:sz w:val="24"/>
          <w:szCs w:val="24"/>
        </w:rPr>
        <w:t>参照《声环境质量标准》（GB3096-2008）中有关监测方法。</w:t>
      </w:r>
    </w:p>
    <w:p>
      <w:pPr>
        <w:widowControl/>
        <w:adjustRightInd/>
        <w:ind w:firstLine="480" w:firstLineChars="200"/>
        <w:rPr>
          <w:kern w:val="0"/>
          <w:sz w:val="24"/>
          <w:szCs w:val="24"/>
        </w:rPr>
      </w:pPr>
      <w:r>
        <w:rPr>
          <w:kern w:val="0"/>
          <w:sz w:val="24"/>
          <w:szCs w:val="24"/>
        </w:rPr>
        <w:t>（4）监测因子：连续等效A声级。</w:t>
      </w:r>
    </w:p>
    <w:p>
      <w:pPr>
        <w:widowControl/>
        <w:adjustRightInd/>
        <w:ind w:firstLine="480" w:firstLineChars="200"/>
        <w:rPr>
          <w:kern w:val="0"/>
          <w:sz w:val="24"/>
          <w:szCs w:val="24"/>
        </w:rPr>
      </w:pPr>
      <w:r>
        <w:rPr>
          <w:kern w:val="0"/>
          <w:sz w:val="24"/>
          <w:szCs w:val="24"/>
        </w:rPr>
        <w:t>2、评价标准及评价方法</w:t>
      </w:r>
    </w:p>
    <w:p>
      <w:pPr>
        <w:widowControl/>
        <w:adjustRightInd/>
        <w:snapToGrid/>
        <w:ind w:firstLine="480" w:firstLineChars="200"/>
        <w:rPr>
          <w:kern w:val="0"/>
          <w:sz w:val="24"/>
          <w:szCs w:val="24"/>
        </w:rPr>
      </w:pPr>
      <w:r>
        <w:rPr>
          <w:kern w:val="0"/>
          <w:sz w:val="24"/>
          <w:szCs w:val="24"/>
        </w:rPr>
        <w:t>声环境质量执行以下标准限值，具体限值见下表。</w:t>
      </w:r>
    </w:p>
    <w:p>
      <w:pPr>
        <w:widowControl/>
        <w:spacing w:line="240" w:lineRule="auto"/>
        <w:jc w:val="right"/>
        <w:rPr>
          <w:b/>
          <w:kern w:val="0"/>
          <w:sz w:val="24"/>
          <w:szCs w:val="24"/>
        </w:rPr>
      </w:pPr>
      <w:r>
        <w:rPr>
          <w:b/>
          <w:kern w:val="0"/>
          <w:sz w:val="24"/>
          <w:szCs w:val="24"/>
        </w:rPr>
        <w:t>表3.2-</w:t>
      </w:r>
      <w:r>
        <w:rPr>
          <w:rFonts w:hint="eastAsia"/>
          <w:b/>
          <w:kern w:val="0"/>
          <w:sz w:val="24"/>
          <w:szCs w:val="24"/>
          <w:lang w:val="en-US" w:eastAsia="zh-CN"/>
        </w:rPr>
        <w:t>3</w:t>
      </w:r>
      <w:r>
        <w:rPr>
          <w:b/>
          <w:kern w:val="0"/>
          <w:sz w:val="24"/>
          <w:szCs w:val="24"/>
        </w:rPr>
        <w:t xml:space="preserve">  声环境质量标准限值        </w:t>
      </w:r>
      <w:r>
        <w:rPr>
          <w:kern w:val="0"/>
          <w:sz w:val="24"/>
          <w:szCs w:val="24"/>
        </w:rPr>
        <w:t xml:space="preserve">  单位：dB（A）</w:t>
      </w:r>
    </w:p>
    <w:tbl>
      <w:tblPr>
        <w:tblStyle w:val="22"/>
        <w:tblW w:w="970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3433"/>
        <w:gridCol w:w="34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2" w:type="dxa"/>
            <w:vMerge w:val="restart"/>
            <w:vAlign w:val="center"/>
          </w:tcPr>
          <w:p>
            <w:pPr>
              <w:widowControl/>
              <w:spacing w:line="240" w:lineRule="auto"/>
              <w:jc w:val="center"/>
              <w:rPr>
                <w:bCs/>
                <w:kern w:val="0"/>
              </w:rPr>
            </w:pPr>
            <w:r>
              <w:rPr>
                <w:bCs/>
                <w:kern w:val="0"/>
              </w:rPr>
              <w:t>声环境功能区类别</w:t>
            </w:r>
          </w:p>
        </w:tc>
        <w:tc>
          <w:tcPr>
            <w:tcW w:w="6864" w:type="dxa"/>
            <w:gridSpan w:val="2"/>
            <w:vAlign w:val="center"/>
          </w:tcPr>
          <w:p>
            <w:pPr>
              <w:widowControl/>
              <w:spacing w:line="240" w:lineRule="auto"/>
              <w:jc w:val="center"/>
              <w:rPr>
                <w:bCs/>
                <w:kern w:val="0"/>
              </w:rPr>
            </w:pPr>
            <w:r>
              <w:rPr>
                <w:bCs/>
                <w:kern w:val="0"/>
              </w:rPr>
              <w:t>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2" w:type="dxa"/>
            <w:vMerge w:val="continue"/>
            <w:vAlign w:val="center"/>
          </w:tcPr>
          <w:p>
            <w:pPr>
              <w:widowControl/>
              <w:spacing w:line="240" w:lineRule="auto"/>
              <w:jc w:val="center"/>
              <w:rPr>
                <w:bCs/>
                <w:kern w:val="0"/>
              </w:rPr>
            </w:pPr>
          </w:p>
        </w:tc>
        <w:tc>
          <w:tcPr>
            <w:tcW w:w="3433" w:type="dxa"/>
            <w:vAlign w:val="center"/>
          </w:tcPr>
          <w:p>
            <w:pPr>
              <w:widowControl/>
              <w:spacing w:line="240" w:lineRule="auto"/>
              <w:jc w:val="center"/>
              <w:rPr>
                <w:bCs/>
                <w:kern w:val="0"/>
              </w:rPr>
            </w:pPr>
            <w:r>
              <w:rPr>
                <w:bCs/>
                <w:kern w:val="0"/>
              </w:rPr>
              <w:t>昼间</w:t>
            </w:r>
          </w:p>
        </w:tc>
        <w:tc>
          <w:tcPr>
            <w:tcW w:w="3431" w:type="dxa"/>
            <w:vAlign w:val="center"/>
          </w:tcPr>
          <w:p>
            <w:pPr>
              <w:widowControl/>
              <w:spacing w:line="240" w:lineRule="auto"/>
              <w:jc w:val="center"/>
              <w:rPr>
                <w:bCs/>
                <w:kern w:val="0"/>
              </w:rPr>
            </w:pPr>
            <w:r>
              <w:rPr>
                <w:bCs/>
                <w:kern w:val="0"/>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2" w:type="dxa"/>
            <w:vAlign w:val="center"/>
          </w:tcPr>
          <w:p>
            <w:pPr>
              <w:widowControl/>
              <w:spacing w:line="240" w:lineRule="auto"/>
              <w:jc w:val="center"/>
              <w:rPr>
                <w:kern w:val="0"/>
              </w:rPr>
            </w:pPr>
            <w:r>
              <w:rPr>
                <w:rFonts w:hint="eastAsia"/>
                <w:kern w:val="0"/>
                <w:lang w:val="en-US" w:eastAsia="zh-CN"/>
              </w:rPr>
              <w:t>3</w:t>
            </w:r>
            <w:r>
              <w:rPr>
                <w:kern w:val="0"/>
              </w:rPr>
              <w:t>类区</w:t>
            </w:r>
          </w:p>
        </w:tc>
        <w:tc>
          <w:tcPr>
            <w:tcW w:w="3433" w:type="dxa"/>
            <w:vAlign w:val="center"/>
          </w:tcPr>
          <w:p>
            <w:pPr>
              <w:widowControl/>
              <w:spacing w:line="240" w:lineRule="auto"/>
              <w:jc w:val="center"/>
              <w:rPr>
                <w:rFonts w:hint="default" w:eastAsia="宋体"/>
                <w:kern w:val="0"/>
                <w:lang w:val="en-US" w:eastAsia="zh-CN"/>
              </w:rPr>
            </w:pPr>
            <w:r>
              <w:rPr>
                <w:rFonts w:hint="eastAsia"/>
                <w:kern w:val="0"/>
                <w:lang w:val="en-US" w:eastAsia="zh-CN"/>
              </w:rPr>
              <w:t>65</w:t>
            </w:r>
          </w:p>
        </w:tc>
        <w:tc>
          <w:tcPr>
            <w:tcW w:w="3431" w:type="dxa"/>
            <w:vAlign w:val="center"/>
          </w:tcPr>
          <w:p>
            <w:pPr>
              <w:widowControl/>
              <w:spacing w:line="240" w:lineRule="auto"/>
              <w:jc w:val="center"/>
              <w:rPr>
                <w:rFonts w:hint="default" w:eastAsia="宋体"/>
                <w:kern w:val="0"/>
                <w:lang w:val="en-US" w:eastAsia="zh-CN"/>
              </w:rPr>
            </w:pPr>
            <w:r>
              <w:rPr>
                <w:rFonts w:hint="eastAsia"/>
                <w:kern w:val="0"/>
                <w:lang w:val="en-US" w:eastAsia="zh-CN"/>
              </w:rPr>
              <w:t>55</w:t>
            </w:r>
          </w:p>
        </w:tc>
      </w:tr>
    </w:tbl>
    <w:p>
      <w:pPr>
        <w:widowControl/>
        <w:adjustRightInd/>
        <w:spacing w:line="480" w:lineRule="exact"/>
        <w:ind w:firstLine="480" w:firstLineChars="200"/>
        <w:rPr>
          <w:kern w:val="0"/>
          <w:sz w:val="24"/>
          <w:szCs w:val="24"/>
        </w:rPr>
      </w:pPr>
      <w:r>
        <w:rPr>
          <w:kern w:val="0"/>
          <w:sz w:val="24"/>
          <w:szCs w:val="24"/>
        </w:rPr>
        <w:t>3、监测结果与评价结果</w:t>
      </w:r>
    </w:p>
    <w:p>
      <w:pPr>
        <w:widowControl/>
        <w:adjustRightInd/>
        <w:snapToGrid/>
        <w:spacing w:line="480" w:lineRule="exact"/>
        <w:ind w:firstLine="480" w:firstLineChars="200"/>
        <w:rPr>
          <w:kern w:val="0"/>
          <w:sz w:val="24"/>
          <w:szCs w:val="24"/>
          <w:highlight w:val="none"/>
        </w:rPr>
      </w:pPr>
      <w:r>
        <w:rPr>
          <w:rFonts w:hint="eastAsia"/>
          <w:sz w:val="24"/>
          <w:szCs w:val="24"/>
          <w:highlight w:val="none"/>
          <w:lang w:eastAsia="zh-CN"/>
        </w:rPr>
        <w:t>安徽川达检测科技有限公司</w:t>
      </w:r>
      <w:r>
        <w:rPr>
          <w:kern w:val="0"/>
          <w:sz w:val="24"/>
          <w:szCs w:val="24"/>
          <w:highlight w:val="none"/>
        </w:rPr>
        <w:t>于2019年</w:t>
      </w:r>
      <w:r>
        <w:rPr>
          <w:rFonts w:hint="eastAsia"/>
          <w:kern w:val="0"/>
          <w:sz w:val="24"/>
          <w:szCs w:val="24"/>
          <w:highlight w:val="none"/>
          <w:lang w:val="en-US" w:eastAsia="zh-CN"/>
        </w:rPr>
        <w:t>10</w:t>
      </w:r>
      <w:r>
        <w:rPr>
          <w:kern w:val="0"/>
          <w:sz w:val="24"/>
          <w:szCs w:val="24"/>
          <w:highlight w:val="none"/>
        </w:rPr>
        <w:t>月</w:t>
      </w:r>
      <w:r>
        <w:rPr>
          <w:rFonts w:hint="eastAsia"/>
          <w:kern w:val="0"/>
          <w:sz w:val="24"/>
          <w:szCs w:val="24"/>
          <w:highlight w:val="none"/>
          <w:lang w:val="en-US" w:eastAsia="zh-CN"/>
        </w:rPr>
        <w:t>11日-12日</w:t>
      </w:r>
      <w:r>
        <w:rPr>
          <w:kern w:val="0"/>
          <w:sz w:val="24"/>
          <w:szCs w:val="24"/>
          <w:highlight w:val="none"/>
        </w:rPr>
        <w:t>对各监测点进行了现场监测，监测结果见下表。</w:t>
      </w:r>
    </w:p>
    <w:p>
      <w:pPr>
        <w:widowControl/>
        <w:spacing w:line="480" w:lineRule="exact"/>
        <w:jc w:val="center"/>
        <w:rPr>
          <w:b/>
          <w:kern w:val="0"/>
          <w:sz w:val="24"/>
          <w:szCs w:val="24"/>
          <w:highlight w:val="none"/>
        </w:rPr>
      </w:pPr>
      <w:r>
        <w:rPr>
          <w:b/>
          <w:kern w:val="0"/>
          <w:sz w:val="24"/>
          <w:szCs w:val="24"/>
          <w:highlight w:val="none"/>
        </w:rPr>
        <w:t>表3.2-</w:t>
      </w:r>
      <w:r>
        <w:rPr>
          <w:rFonts w:hint="eastAsia"/>
          <w:b/>
          <w:kern w:val="0"/>
          <w:sz w:val="24"/>
          <w:szCs w:val="24"/>
          <w:highlight w:val="none"/>
          <w:lang w:val="en-US" w:eastAsia="zh-CN"/>
        </w:rPr>
        <w:t>4</w:t>
      </w:r>
      <w:r>
        <w:rPr>
          <w:b/>
          <w:kern w:val="0"/>
          <w:sz w:val="24"/>
          <w:szCs w:val="24"/>
          <w:highlight w:val="none"/>
        </w:rPr>
        <w:t xml:space="preserve"> 声环境质量现状监测结果</w:t>
      </w:r>
    </w:p>
    <w:tbl>
      <w:tblPr>
        <w:tblStyle w:val="22"/>
        <w:tblW w:w="970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2210"/>
        <w:gridCol w:w="1100"/>
        <w:gridCol w:w="1546"/>
        <w:gridCol w:w="1100"/>
        <w:gridCol w:w="1545"/>
        <w:gridCol w:w="11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1092" w:type="dxa"/>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监测</w:t>
            </w:r>
          </w:p>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日期</w:t>
            </w:r>
          </w:p>
        </w:tc>
        <w:tc>
          <w:tcPr>
            <w:tcW w:w="2210" w:type="dxa"/>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监测点位</w:t>
            </w:r>
          </w:p>
        </w:tc>
        <w:tc>
          <w:tcPr>
            <w:tcW w:w="1100" w:type="dxa"/>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监测</w:t>
            </w:r>
          </w:p>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项目</w:t>
            </w:r>
          </w:p>
        </w:tc>
        <w:tc>
          <w:tcPr>
            <w:tcW w:w="5304" w:type="dxa"/>
            <w:gridSpan w:val="4"/>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监测结果dB（A）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1092"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2210"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1100"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1546"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时间</w:t>
            </w:r>
          </w:p>
        </w:tc>
        <w:tc>
          <w:tcPr>
            <w:tcW w:w="110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Leq</w:t>
            </w:r>
          </w:p>
        </w:tc>
        <w:tc>
          <w:tcPr>
            <w:tcW w:w="154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时间</w:t>
            </w:r>
          </w:p>
        </w:tc>
        <w:tc>
          <w:tcPr>
            <w:tcW w:w="111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Leq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092" w:type="dxa"/>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rFonts w:hint="eastAsia"/>
                <w:sz w:val="21"/>
                <w:szCs w:val="21"/>
                <w:highlight w:val="none"/>
                <w:lang w:val="en-US" w:eastAsia="zh-CN"/>
              </w:rPr>
              <w:t>10</w:t>
            </w:r>
            <w:r>
              <w:rPr>
                <w:sz w:val="21"/>
                <w:szCs w:val="21"/>
                <w:highlight w:val="none"/>
              </w:rPr>
              <w:t>月</w:t>
            </w:r>
          </w:p>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rFonts w:hint="eastAsia"/>
                <w:sz w:val="21"/>
                <w:szCs w:val="21"/>
                <w:highlight w:val="none"/>
                <w:lang w:val="en-US" w:eastAsia="zh-CN"/>
              </w:rPr>
              <w:t>11</w:t>
            </w:r>
            <w:r>
              <w:rPr>
                <w:sz w:val="21"/>
                <w:szCs w:val="21"/>
                <w:highlight w:val="none"/>
              </w:rPr>
              <w:t>日</w:t>
            </w:r>
          </w:p>
        </w:tc>
        <w:tc>
          <w:tcPr>
            <w:tcW w:w="22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N1</w:t>
            </w:r>
          </w:p>
        </w:tc>
        <w:tc>
          <w:tcPr>
            <w:tcW w:w="1100" w:type="dxa"/>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噪声</w:t>
            </w:r>
          </w:p>
        </w:tc>
        <w:tc>
          <w:tcPr>
            <w:tcW w:w="1546" w:type="dxa"/>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昼间</w:t>
            </w:r>
          </w:p>
        </w:tc>
        <w:tc>
          <w:tcPr>
            <w:tcW w:w="11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highlight w:val="none"/>
              </w:rPr>
            </w:pPr>
            <w:r>
              <w:rPr>
                <w:rFonts w:hint="eastAsia" w:cs="Times New Roman"/>
                <w:b w:val="0"/>
                <w:bCs/>
                <w:sz w:val="21"/>
                <w:szCs w:val="21"/>
                <w:lang w:val="en-US" w:eastAsia="zh-CN"/>
              </w:rPr>
              <w:t>61.6</w:t>
            </w:r>
          </w:p>
        </w:tc>
        <w:tc>
          <w:tcPr>
            <w:tcW w:w="1545" w:type="dxa"/>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夜间</w:t>
            </w: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highlight w:val="none"/>
              </w:rPr>
            </w:pPr>
            <w:r>
              <w:rPr>
                <w:rFonts w:hint="eastAsia" w:cs="Times New Roman"/>
                <w:b w:val="0"/>
                <w:bCs/>
                <w:sz w:val="21"/>
                <w:szCs w:val="21"/>
                <w:lang w:val="en-US" w:eastAsia="zh-CN"/>
              </w:rPr>
              <w:t>50.9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92"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22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N2</w:t>
            </w:r>
          </w:p>
        </w:tc>
        <w:tc>
          <w:tcPr>
            <w:tcW w:w="1100"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1546"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11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highlight w:val="none"/>
              </w:rPr>
            </w:pPr>
            <w:r>
              <w:rPr>
                <w:rFonts w:hint="eastAsia" w:cs="Times New Roman"/>
                <w:b w:val="0"/>
                <w:bCs/>
                <w:sz w:val="21"/>
                <w:szCs w:val="21"/>
                <w:lang w:val="en-US" w:eastAsia="zh-CN"/>
              </w:rPr>
              <w:t>61.3</w:t>
            </w:r>
          </w:p>
        </w:tc>
        <w:tc>
          <w:tcPr>
            <w:tcW w:w="1545"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highlight w:val="none"/>
              </w:rPr>
            </w:pPr>
            <w:r>
              <w:rPr>
                <w:rFonts w:hint="eastAsia" w:cs="Times New Roman"/>
                <w:b w:val="0"/>
                <w:bCs/>
                <w:sz w:val="21"/>
                <w:szCs w:val="21"/>
                <w:lang w:val="en-US" w:eastAsia="zh-CN"/>
              </w:rPr>
              <w:t>50.8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092"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22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N3</w:t>
            </w:r>
          </w:p>
        </w:tc>
        <w:tc>
          <w:tcPr>
            <w:tcW w:w="1100"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1546"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11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highlight w:val="none"/>
              </w:rPr>
            </w:pPr>
            <w:r>
              <w:rPr>
                <w:rFonts w:hint="eastAsia" w:cs="Times New Roman"/>
                <w:b w:val="0"/>
                <w:bCs/>
                <w:sz w:val="21"/>
                <w:szCs w:val="21"/>
                <w:lang w:val="en-US" w:eastAsia="zh-CN"/>
              </w:rPr>
              <w:t>63.2</w:t>
            </w:r>
          </w:p>
        </w:tc>
        <w:tc>
          <w:tcPr>
            <w:tcW w:w="1545"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highlight w:val="none"/>
              </w:rPr>
            </w:pPr>
            <w:r>
              <w:rPr>
                <w:rFonts w:hint="eastAsia" w:cs="Times New Roman"/>
                <w:b w:val="0"/>
                <w:bCs/>
                <w:sz w:val="21"/>
                <w:szCs w:val="21"/>
                <w:lang w:val="en-US" w:eastAsia="zh-CN"/>
              </w:rPr>
              <w:t>50.5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1092"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22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N4</w:t>
            </w:r>
          </w:p>
        </w:tc>
        <w:tc>
          <w:tcPr>
            <w:tcW w:w="1100"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1546"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11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highlight w:val="none"/>
              </w:rPr>
            </w:pPr>
            <w:r>
              <w:rPr>
                <w:rFonts w:hint="eastAsia" w:cs="Times New Roman"/>
                <w:b w:val="0"/>
                <w:bCs/>
                <w:sz w:val="21"/>
                <w:szCs w:val="21"/>
                <w:lang w:val="en-US" w:eastAsia="zh-CN"/>
              </w:rPr>
              <w:t>61.1</w:t>
            </w:r>
          </w:p>
        </w:tc>
        <w:tc>
          <w:tcPr>
            <w:tcW w:w="1545"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highlight w:val="none"/>
              </w:rPr>
            </w:pPr>
            <w:r>
              <w:rPr>
                <w:rFonts w:hint="eastAsia" w:cs="Times New Roman"/>
                <w:b w:val="0"/>
                <w:bCs/>
                <w:sz w:val="21"/>
                <w:szCs w:val="21"/>
                <w:lang w:val="en-US" w:eastAsia="zh-CN"/>
              </w:rPr>
              <w:t>49.0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092" w:type="dxa"/>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rFonts w:hint="eastAsia"/>
                <w:sz w:val="21"/>
                <w:szCs w:val="21"/>
                <w:highlight w:val="none"/>
                <w:lang w:val="en-US" w:eastAsia="zh-CN"/>
              </w:rPr>
              <w:t>10</w:t>
            </w:r>
            <w:r>
              <w:rPr>
                <w:sz w:val="21"/>
                <w:szCs w:val="21"/>
                <w:highlight w:val="none"/>
              </w:rPr>
              <w:t>月</w:t>
            </w:r>
          </w:p>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rFonts w:hint="eastAsia"/>
                <w:sz w:val="21"/>
                <w:szCs w:val="21"/>
                <w:highlight w:val="none"/>
                <w:lang w:val="en-US" w:eastAsia="zh-CN"/>
              </w:rPr>
              <w:t>12</w:t>
            </w:r>
            <w:r>
              <w:rPr>
                <w:sz w:val="21"/>
                <w:szCs w:val="21"/>
                <w:highlight w:val="none"/>
              </w:rPr>
              <w:t>日</w:t>
            </w:r>
          </w:p>
        </w:tc>
        <w:tc>
          <w:tcPr>
            <w:tcW w:w="22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N1</w:t>
            </w:r>
          </w:p>
        </w:tc>
        <w:tc>
          <w:tcPr>
            <w:tcW w:w="1100" w:type="dxa"/>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噪声</w:t>
            </w:r>
          </w:p>
        </w:tc>
        <w:tc>
          <w:tcPr>
            <w:tcW w:w="1546" w:type="dxa"/>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昼间</w:t>
            </w:r>
          </w:p>
        </w:tc>
        <w:tc>
          <w:tcPr>
            <w:tcW w:w="11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highlight w:val="none"/>
              </w:rPr>
            </w:pPr>
            <w:r>
              <w:rPr>
                <w:rFonts w:hint="eastAsia" w:cs="Times New Roman"/>
                <w:b w:val="0"/>
                <w:bCs/>
                <w:sz w:val="21"/>
                <w:szCs w:val="21"/>
                <w:lang w:val="en-US" w:eastAsia="zh-CN"/>
              </w:rPr>
              <w:t>62.9</w:t>
            </w:r>
          </w:p>
        </w:tc>
        <w:tc>
          <w:tcPr>
            <w:tcW w:w="1545" w:type="dxa"/>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夜间</w:t>
            </w: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highlight w:val="none"/>
              </w:rPr>
            </w:pPr>
            <w:r>
              <w:rPr>
                <w:rFonts w:hint="eastAsia" w:cs="Times New Roman"/>
                <w:b w:val="0"/>
                <w:bCs/>
                <w:sz w:val="21"/>
                <w:szCs w:val="21"/>
                <w:lang w:val="en-US" w:eastAsia="zh-CN"/>
              </w:rPr>
              <w:t>52.8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092"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22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N2</w:t>
            </w:r>
          </w:p>
        </w:tc>
        <w:tc>
          <w:tcPr>
            <w:tcW w:w="1100"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1546"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11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highlight w:val="none"/>
              </w:rPr>
            </w:pPr>
            <w:r>
              <w:rPr>
                <w:rFonts w:hint="eastAsia" w:cs="Times New Roman"/>
                <w:b w:val="0"/>
                <w:bCs/>
                <w:sz w:val="21"/>
                <w:szCs w:val="21"/>
                <w:lang w:val="en-US" w:eastAsia="zh-CN"/>
              </w:rPr>
              <w:t>61.5</w:t>
            </w:r>
          </w:p>
        </w:tc>
        <w:tc>
          <w:tcPr>
            <w:tcW w:w="1545"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highlight w:val="none"/>
              </w:rPr>
            </w:pPr>
            <w:r>
              <w:rPr>
                <w:rFonts w:hint="eastAsia" w:cs="Times New Roman"/>
                <w:b w:val="0"/>
                <w:bCs/>
                <w:sz w:val="21"/>
                <w:szCs w:val="21"/>
                <w:lang w:val="en-US" w:eastAsia="zh-CN"/>
              </w:rPr>
              <w:t>52.7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092"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22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N3</w:t>
            </w:r>
          </w:p>
        </w:tc>
        <w:tc>
          <w:tcPr>
            <w:tcW w:w="1100"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1546"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11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highlight w:val="none"/>
              </w:rPr>
            </w:pPr>
            <w:r>
              <w:rPr>
                <w:rFonts w:hint="eastAsia" w:cs="Times New Roman"/>
                <w:b w:val="0"/>
                <w:bCs/>
                <w:sz w:val="21"/>
                <w:szCs w:val="21"/>
                <w:lang w:val="en-US" w:eastAsia="zh-CN"/>
              </w:rPr>
              <w:t>63.8</w:t>
            </w:r>
          </w:p>
        </w:tc>
        <w:tc>
          <w:tcPr>
            <w:tcW w:w="1545"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highlight w:val="none"/>
              </w:rPr>
            </w:pPr>
            <w:r>
              <w:rPr>
                <w:rFonts w:hint="eastAsia" w:cs="Times New Roman"/>
                <w:b w:val="0"/>
                <w:bCs/>
                <w:sz w:val="21"/>
                <w:szCs w:val="21"/>
                <w:lang w:val="en-US" w:eastAsia="zh-CN"/>
              </w:rPr>
              <w:t>50.8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092"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22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r>
              <w:rPr>
                <w:sz w:val="21"/>
                <w:szCs w:val="21"/>
                <w:highlight w:val="none"/>
              </w:rPr>
              <w:t>N4</w:t>
            </w:r>
          </w:p>
        </w:tc>
        <w:tc>
          <w:tcPr>
            <w:tcW w:w="1100"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1546"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11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highlight w:val="none"/>
              </w:rPr>
            </w:pPr>
            <w:r>
              <w:rPr>
                <w:rFonts w:hint="eastAsia" w:cs="Times New Roman"/>
                <w:b w:val="0"/>
                <w:bCs/>
                <w:sz w:val="21"/>
                <w:szCs w:val="21"/>
                <w:lang w:val="en-US" w:eastAsia="zh-CN"/>
              </w:rPr>
              <w:t>62.2</w:t>
            </w:r>
          </w:p>
        </w:tc>
        <w:tc>
          <w:tcPr>
            <w:tcW w:w="1545"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sz w:val="21"/>
                <w:szCs w:val="21"/>
                <w:highlight w:val="none"/>
              </w:rPr>
            </w:pP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highlight w:val="none"/>
              </w:rPr>
            </w:pPr>
            <w:r>
              <w:rPr>
                <w:rFonts w:hint="eastAsia" w:cs="Times New Roman"/>
                <w:b w:val="0"/>
                <w:bCs/>
                <w:sz w:val="21"/>
                <w:szCs w:val="21"/>
                <w:lang w:val="en-US" w:eastAsia="zh-CN"/>
              </w:rPr>
              <w:t>51.7</w:t>
            </w:r>
          </w:p>
        </w:tc>
      </w:tr>
    </w:tbl>
    <w:p>
      <w:pPr>
        <w:widowControl/>
        <w:adjustRightInd/>
        <w:snapToGrid/>
        <w:ind w:firstLine="480" w:firstLineChars="200"/>
        <w:rPr>
          <w:kern w:val="0"/>
          <w:sz w:val="24"/>
          <w:szCs w:val="24"/>
          <w:highlight w:val="none"/>
        </w:rPr>
      </w:pPr>
      <w:r>
        <w:rPr>
          <w:kern w:val="0"/>
          <w:sz w:val="24"/>
          <w:szCs w:val="24"/>
          <w:highlight w:val="none"/>
        </w:rPr>
        <w:t>现状监测结果表明，项目厂界周边声环境质量满足声环境功能</w:t>
      </w:r>
      <w:r>
        <w:rPr>
          <w:rFonts w:hint="eastAsia"/>
          <w:kern w:val="0"/>
          <w:sz w:val="24"/>
          <w:szCs w:val="24"/>
          <w:highlight w:val="none"/>
          <w:lang w:val="en-US" w:eastAsia="zh-CN"/>
        </w:rPr>
        <w:t>3</w:t>
      </w:r>
      <w:r>
        <w:rPr>
          <w:kern w:val="0"/>
          <w:sz w:val="24"/>
          <w:szCs w:val="24"/>
          <w:highlight w:val="none"/>
        </w:rPr>
        <w:t>类区的要求。</w:t>
      </w:r>
    </w:p>
    <w:p>
      <w:pPr>
        <w:widowControl/>
        <w:adjustRightInd/>
        <w:snapToGrid/>
        <w:rPr>
          <w:b/>
          <w:kern w:val="0"/>
          <w:sz w:val="24"/>
          <w:szCs w:val="24"/>
        </w:rPr>
      </w:pPr>
      <w:r>
        <w:rPr>
          <w:b/>
          <w:kern w:val="0"/>
          <w:sz w:val="24"/>
          <w:szCs w:val="24"/>
        </w:rPr>
        <w:t>3.2.</w:t>
      </w:r>
      <w:r>
        <w:rPr>
          <w:rFonts w:hint="eastAsia"/>
          <w:b/>
          <w:kern w:val="0"/>
          <w:sz w:val="24"/>
          <w:szCs w:val="24"/>
          <w:lang w:val="en-US" w:eastAsia="zh-CN"/>
        </w:rPr>
        <w:t>4</w:t>
      </w:r>
      <w:r>
        <w:rPr>
          <w:b/>
          <w:kern w:val="0"/>
          <w:sz w:val="24"/>
          <w:szCs w:val="24"/>
        </w:rPr>
        <w:t xml:space="preserve"> </w:t>
      </w:r>
      <w:r>
        <w:rPr>
          <w:rFonts w:hint="eastAsia"/>
          <w:b/>
          <w:kern w:val="0"/>
          <w:sz w:val="24"/>
          <w:szCs w:val="24"/>
          <w:lang w:eastAsia="zh-CN"/>
        </w:rPr>
        <w:t>地下水</w:t>
      </w:r>
      <w:r>
        <w:rPr>
          <w:b/>
          <w:kern w:val="0"/>
          <w:sz w:val="24"/>
          <w:szCs w:val="24"/>
        </w:rPr>
        <w:t>环境质量现状监测与评价</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为了解项目区地下水环境质量现状，本次评价</w:t>
      </w:r>
      <w:r>
        <w:rPr>
          <w:rFonts w:hint="eastAsia" w:ascii="Times New Roman" w:hAnsi="Times New Roman" w:eastAsia="宋体" w:cs="Times New Roman"/>
          <w:kern w:val="0"/>
          <w:sz w:val="24"/>
          <w:szCs w:val="24"/>
          <w:lang w:eastAsia="zh-CN"/>
        </w:rPr>
        <w:t>引用“安徽亿美新材料科技有限公司一次性输液瓶（袋）处理高值化利用项目”于</w:t>
      </w:r>
      <w:r>
        <w:rPr>
          <w:rFonts w:hint="eastAsia" w:ascii="Times New Roman" w:hAnsi="Times New Roman" w:eastAsia="宋体" w:cs="Times New Roman"/>
          <w:kern w:val="0"/>
          <w:sz w:val="24"/>
          <w:szCs w:val="24"/>
          <w:lang w:val="en-US" w:eastAsia="zh-CN"/>
        </w:rPr>
        <w:t>2019年8月14日-20开展的</w:t>
      </w:r>
      <w:r>
        <w:rPr>
          <w:rFonts w:hint="eastAsia" w:ascii="Times New Roman" w:hAnsi="Times New Roman" w:eastAsia="宋体" w:cs="Times New Roman"/>
          <w:kern w:val="0"/>
          <w:sz w:val="24"/>
          <w:szCs w:val="24"/>
          <w:lang w:eastAsia="zh-CN"/>
        </w:rPr>
        <w:t>地下水现状监测数据进行评</w:t>
      </w:r>
      <w:r>
        <w:rPr>
          <w:rFonts w:hint="eastAsia"/>
          <w:sz w:val="24"/>
          <w:szCs w:val="24"/>
          <w:lang w:eastAsia="zh-CN"/>
        </w:rPr>
        <w:t>价，安徽亿美新材料科技有限公司位于本项目西北侧</w:t>
      </w:r>
      <w:r>
        <w:rPr>
          <w:rFonts w:hint="eastAsia"/>
          <w:sz w:val="24"/>
          <w:szCs w:val="24"/>
          <w:lang w:val="en-US" w:eastAsia="zh-CN"/>
        </w:rPr>
        <w:t xml:space="preserve">692m，且满足3年时效性，故引用可行。                          </w:t>
      </w:r>
      <w:r>
        <w:rPr>
          <w:sz w:val="24"/>
          <w:szCs w:val="24"/>
        </w:rPr>
        <w:t>1</w:t>
      </w:r>
      <w:r>
        <w:rPr>
          <w:rFonts w:hint="eastAsia"/>
          <w:sz w:val="24"/>
          <w:szCs w:val="24"/>
        </w:rPr>
        <w:t>、</w:t>
      </w:r>
      <w:r>
        <w:rPr>
          <w:sz w:val="24"/>
          <w:szCs w:val="24"/>
        </w:rPr>
        <w:t>监测内容</w:t>
      </w:r>
    </w:p>
    <w:p>
      <w:pPr>
        <w:spacing w:line="360" w:lineRule="auto"/>
        <w:ind w:firstLine="480" w:firstLineChars="200"/>
        <w:rPr>
          <w:rFonts w:ascii="Times New Roman" w:hAnsi="Times New Roman" w:eastAsia="宋体" w:cs="Times New Roman"/>
          <w:kern w:val="0"/>
          <w:sz w:val="24"/>
          <w:szCs w:val="20"/>
        </w:rPr>
      </w:pPr>
      <w:r>
        <w:rPr>
          <w:rFonts w:ascii="Times New Roman" w:hAnsi="宋体" w:eastAsia="宋体" w:cs="Times New Roman"/>
          <w:kern w:val="0"/>
          <w:sz w:val="24"/>
          <w:szCs w:val="20"/>
        </w:rPr>
        <w:t>（</w:t>
      </w:r>
      <w:r>
        <w:rPr>
          <w:rFonts w:ascii="Times New Roman" w:hAnsi="Times New Roman" w:eastAsia="宋体" w:cs="Times New Roman"/>
          <w:kern w:val="0"/>
          <w:sz w:val="24"/>
          <w:szCs w:val="20"/>
        </w:rPr>
        <w:t>1</w:t>
      </w:r>
      <w:r>
        <w:rPr>
          <w:rFonts w:ascii="Times New Roman" w:hAnsi="宋体" w:eastAsia="宋体" w:cs="Times New Roman"/>
          <w:kern w:val="0"/>
          <w:sz w:val="24"/>
          <w:szCs w:val="20"/>
        </w:rPr>
        <w:t>）监测因子及监测频率</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ascii="Times New Roman" w:hAnsi="Times New Roman" w:eastAsia="宋体" w:cs="Times New Roman"/>
          <w:kern w:val="0"/>
          <w:sz w:val="24"/>
          <w:szCs w:val="20"/>
        </w:rPr>
      </w:pPr>
      <w:r>
        <w:rPr>
          <w:rFonts w:ascii="Times New Roman" w:hAnsi="宋体" w:eastAsia="宋体" w:cs="Times New Roman"/>
          <w:kern w:val="0"/>
          <w:sz w:val="24"/>
          <w:szCs w:val="20"/>
        </w:rPr>
        <w:t>监测因子：</w:t>
      </w:r>
      <w:r>
        <w:rPr>
          <w:rFonts w:hint="default" w:ascii="Times New Roman" w:hAnsi="Times New Roman" w:eastAsia="宋体" w:cs="Times New Roman"/>
          <w:kern w:val="2"/>
          <w:sz w:val="24"/>
          <w:szCs w:val="24"/>
          <w:lang w:val="en-US" w:eastAsia="zh-CN" w:bidi="ar-SA"/>
        </w:rPr>
        <w:t>pH、氨氮、硝酸盐、亚硝酸盐、挥发性酚类、氰化物、砷、汞、铬（六价）、总硬度、铅、氟、镉、铁、锰、溶解性总固体、耗氧量、硫酸盐、氯化物。</w:t>
      </w:r>
    </w:p>
    <w:p>
      <w:pPr>
        <w:spacing w:line="360" w:lineRule="auto"/>
        <w:ind w:firstLine="480" w:firstLineChars="200"/>
        <w:rPr>
          <w:rFonts w:ascii="Times New Roman" w:hAnsi="Times New Roman" w:eastAsia="宋体" w:cs="Times New Roman"/>
          <w:kern w:val="0"/>
          <w:sz w:val="24"/>
          <w:szCs w:val="20"/>
        </w:rPr>
      </w:pPr>
      <w:r>
        <w:rPr>
          <w:rFonts w:ascii="Times New Roman" w:hAnsi="宋体" w:eastAsia="宋体" w:cs="Times New Roman"/>
          <w:kern w:val="0"/>
          <w:sz w:val="24"/>
          <w:szCs w:val="20"/>
        </w:rPr>
        <w:t>（</w:t>
      </w:r>
      <w:r>
        <w:rPr>
          <w:rFonts w:ascii="Times New Roman" w:hAnsi="Times New Roman" w:eastAsia="宋体" w:cs="Times New Roman"/>
          <w:kern w:val="0"/>
          <w:sz w:val="24"/>
          <w:szCs w:val="20"/>
        </w:rPr>
        <w:t>2</w:t>
      </w:r>
      <w:r>
        <w:rPr>
          <w:rFonts w:ascii="Times New Roman" w:hAnsi="宋体" w:eastAsia="宋体" w:cs="Times New Roman"/>
          <w:kern w:val="0"/>
          <w:sz w:val="24"/>
          <w:szCs w:val="20"/>
        </w:rPr>
        <w:t>）监测方法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宋体" w:eastAsia="宋体" w:cs="Times New Roman"/>
          <w:kern w:val="0"/>
          <w:sz w:val="24"/>
          <w:szCs w:val="20"/>
        </w:rPr>
      </w:pPr>
      <w:r>
        <w:rPr>
          <w:rFonts w:ascii="Times New Roman" w:hAnsi="宋体" w:eastAsia="宋体" w:cs="Times New Roman"/>
          <w:kern w:val="0"/>
          <w:sz w:val="24"/>
          <w:szCs w:val="20"/>
        </w:rPr>
        <w:t>采用泵充分抽汲井水，水样瓶冲洗3~4 次后再取样。</w:t>
      </w:r>
      <w:r>
        <w:rPr>
          <w:rFonts w:hint="default" w:ascii="Times New Roman" w:hAnsi="Times New Roman" w:eastAsia="宋体" w:cs="Times New Roman"/>
          <w:sz w:val="24"/>
          <w:szCs w:val="24"/>
          <w:lang w:eastAsia="zh-CN"/>
        </w:rPr>
        <w:t>地下</w:t>
      </w:r>
      <w:r>
        <w:rPr>
          <w:rFonts w:hint="default" w:ascii="Times New Roman" w:hAnsi="Times New Roman" w:eastAsia="宋体" w:cs="Times New Roman"/>
          <w:kern w:val="2"/>
          <w:sz w:val="24"/>
          <w:szCs w:val="24"/>
          <w:lang w:val="en-US" w:eastAsia="zh-CN" w:bidi="ar-SA"/>
        </w:rPr>
        <w:t>水样的保存和送检按《地下水质量标准》(GB/T14848-2017)中地下水样品保存和送检要求执行；分析方法采用《地下水质量标准》(GB/T14848-2017)中“地下水质量检测指标推荐分析方法”进行。</w:t>
      </w:r>
    </w:p>
    <w:p>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w:t>
      </w:r>
      <w:r>
        <w:rPr>
          <w:rFonts w:ascii="Times New Roman" w:hAnsi="Times New Roman" w:eastAsia="宋体" w:cs="Times New Roman"/>
          <w:kern w:val="0"/>
          <w:sz w:val="24"/>
          <w:szCs w:val="24"/>
        </w:rPr>
        <w:t>监测结果</w:t>
      </w:r>
    </w:p>
    <w:p>
      <w:pPr>
        <w:spacing w:line="480" w:lineRule="exact"/>
        <w:jc w:val="center"/>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表</w:t>
      </w:r>
      <w:r>
        <w:rPr>
          <w:rFonts w:ascii="Times New Roman" w:hAnsi="Times New Roman" w:eastAsia="宋体" w:cs="Times New Roman"/>
          <w:b/>
          <w:spacing w:val="-52"/>
          <w:kern w:val="0"/>
          <w:sz w:val="24"/>
          <w:szCs w:val="24"/>
        </w:rPr>
        <w:t xml:space="preserve"> </w:t>
      </w:r>
      <w:r>
        <w:rPr>
          <w:rFonts w:ascii="Times New Roman" w:hAnsi="Times New Roman" w:eastAsia="Times New Roman" w:cs="Times New Roman"/>
          <w:b/>
          <w:kern w:val="0"/>
          <w:sz w:val="24"/>
          <w:szCs w:val="24"/>
        </w:rPr>
        <w:t>3.2-</w:t>
      </w:r>
      <w:r>
        <w:rPr>
          <w:rFonts w:hint="eastAsia" w:cs="Times New Roman"/>
          <w:b/>
          <w:kern w:val="0"/>
          <w:sz w:val="24"/>
          <w:szCs w:val="24"/>
          <w:lang w:val="en-US" w:eastAsia="zh-CN"/>
        </w:rPr>
        <w:t>5</w:t>
      </w:r>
      <w:r>
        <w:rPr>
          <w:rFonts w:hint="eastAsia" w:ascii="Times New Roman" w:hAnsi="Times New Roman" w:eastAsia="宋体" w:cs="Times New Roman"/>
          <w:b/>
          <w:kern w:val="0"/>
          <w:sz w:val="24"/>
          <w:szCs w:val="24"/>
        </w:rPr>
        <w:t xml:space="preserve">  </w:t>
      </w:r>
      <w:r>
        <w:rPr>
          <w:rFonts w:ascii="Times New Roman" w:hAnsi="Times New Roman" w:eastAsia="宋体" w:cs="Times New Roman"/>
          <w:b/>
          <w:kern w:val="0"/>
          <w:sz w:val="24"/>
          <w:szCs w:val="24"/>
        </w:rPr>
        <w:t>地下水环境</w:t>
      </w:r>
      <w:r>
        <w:rPr>
          <w:rFonts w:ascii="Times New Roman" w:hAnsi="Times New Roman" w:eastAsia="宋体" w:cs="Times New Roman"/>
          <w:b/>
          <w:spacing w:val="-3"/>
          <w:kern w:val="0"/>
          <w:sz w:val="24"/>
          <w:szCs w:val="24"/>
        </w:rPr>
        <w:t>现</w:t>
      </w:r>
      <w:r>
        <w:rPr>
          <w:rFonts w:ascii="Times New Roman" w:hAnsi="Times New Roman" w:eastAsia="宋体" w:cs="Times New Roman"/>
          <w:b/>
          <w:kern w:val="0"/>
          <w:sz w:val="24"/>
          <w:szCs w:val="24"/>
        </w:rPr>
        <w:t>状监测结果一览表</w:t>
      </w:r>
    </w:p>
    <w:tbl>
      <w:tblPr>
        <w:tblStyle w:val="22"/>
        <w:tblW w:w="966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265"/>
        <w:gridCol w:w="1961"/>
        <w:gridCol w:w="2063"/>
        <w:gridCol w:w="237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jc w:val="center"/>
        </w:trPr>
        <w:tc>
          <w:tcPr>
            <w:tcW w:w="326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w:t>
            </w:r>
          </w:p>
        </w:tc>
        <w:tc>
          <w:tcPr>
            <w:tcW w:w="639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地下水各项指标指数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jc w:val="center"/>
        </w:trPr>
        <w:tc>
          <w:tcPr>
            <w:tcW w:w="32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eastAsia="zh-CN"/>
              </w:rPr>
              <w:t>①</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eastAsia="zh-CN"/>
              </w:rPr>
              <w:t>②</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eastAsia="zh-CN"/>
              </w:rPr>
              <w:t>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9" w:hRule="atLeast"/>
          <w:jc w:val="center"/>
        </w:trPr>
        <w:tc>
          <w:tcPr>
            <w:tcW w:w="3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pH</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0.23 </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0.27 </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0.23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8" w:hRule="atLeast"/>
          <w:jc w:val="center"/>
        </w:trPr>
        <w:tc>
          <w:tcPr>
            <w:tcW w:w="3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总硬度（以CaCO</w:t>
            </w:r>
            <w:r>
              <w:rPr>
                <w:rFonts w:hint="default" w:ascii="Times New Roman" w:hAnsi="Times New Roman" w:cs="Times New Roman"/>
                <w:color w:val="auto"/>
                <w:kern w:val="0"/>
                <w:szCs w:val="21"/>
                <w:vertAlign w:val="subscript"/>
              </w:rPr>
              <w:t>3</w:t>
            </w:r>
            <w:r>
              <w:rPr>
                <w:rFonts w:hint="default" w:ascii="Times New Roman" w:hAnsi="Times New Roman" w:cs="Times New Roman"/>
                <w:color w:val="auto"/>
                <w:kern w:val="0"/>
                <w:szCs w:val="21"/>
              </w:rPr>
              <w:t>计）</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0.05 </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0.04 </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0.04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3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溶解性总固体</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0.04 </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0.08 </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0.02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jc w:val="center"/>
        </w:trPr>
        <w:tc>
          <w:tcPr>
            <w:tcW w:w="3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硫酸盐</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0.01 </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0.01 </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0.01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jc w:val="center"/>
        </w:trPr>
        <w:tc>
          <w:tcPr>
            <w:tcW w:w="3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氯化物</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0.02 </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0.01 </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0.02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jc w:val="center"/>
        </w:trPr>
        <w:tc>
          <w:tcPr>
            <w:tcW w:w="3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铁（Fe）</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0.28 </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0.11 </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highlight w:val="none"/>
                <w:shd w:val="pct10" w:color="auto" w:fill="FFFFFF"/>
                <w:lang w:val="en-US" w:eastAsia="zh-CN"/>
              </w:rPr>
              <w:t>1.03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jc w:val="center"/>
        </w:trPr>
        <w:tc>
          <w:tcPr>
            <w:tcW w:w="3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锰（Mn）</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0.60 </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0.08 </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0.19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jc w:val="center"/>
        </w:trPr>
        <w:tc>
          <w:tcPr>
            <w:tcW w:w="3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铜（Cu）</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0.00 </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&lt;0.001</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jc w:val="center"/>
        </w:trPr>
        <w:tc>
          <w:tcPr>
            <w:tcW w:w="3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锌（Zn）</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0.11 </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0.01 </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0.22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69" w:hRule="atLeast"/>
          <w:jc w:val="center"/>
        </w:trPr>
        <w:tc>
          <w:tcPr>
            <w:tcW w:w="3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挥发性酚</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&lt;1</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&lt;1</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9" w:hRule="atLeast"/>
          <w:jc w:val="center"/>
        </w:trPr>
        <w:tc>
          <w:tcPr>
            <w:tcW w:w="3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硝酸盐（以N计）</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0.01 </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0.01 </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0.01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4" w:hRule="atLeast"/>
          <w:jc w:val="center"/>
        </w:trPr>
        <w:tc>
          <w:tcPr>
            <w:tcW w:w="3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亚硝酸盐（以N计）</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0.21 </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0.03 </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0.26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jc w:val="center"/>
        </w:trPr>
        <w:tc>
          <w:tcPr>
            <w:tcW w:w="3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氨氮（NH</w:t>
            </w:r>
            <w:r>
              <w:rPr>
                <w:rFonts w:hint="default" w:ascii="Times New Roman" w:hAnsi="Times New Roman" w:cs="Times New Roman"/>
                <w:color w:val="auto"/>
                <w:kern w:val="0"/>
                <w:szCs w:val="21"/>
                <w:vertAlign w:val="superscript"/>
              </w:rPr>
              <w:t>4</w:t>
            </w:r>
            <w:r>
              <w:rPr>
                <w:rFonts w:hint="default" w:ascii="Times New Roman" w:hAnsi="Times New Roman" w:cs="Times New Roman"/>
                <w:color w:val="auto"/>
                <w:kern w:val="0"/>
                <w:szCs w:val="21"/>
              </w:rPr>
              <w:t>）</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&lt;0.25</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&lt;0.25</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jc w:val="center"/>
        </w:trPr>
        <w:tc>
          <w:tcPr>
            <w:tcW w:w="3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氟化物</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0.16 </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0.18 </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0.14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jc w:val="center"/>
        </w:trPr>
        <w:tc>
          <w:tcPr>
            <w:tcW w:w="3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氰化物</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&lt;0.04</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&lt;0.04</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jc w:val="center"/>
        </w:trPr>
        <w:tc>
          <w:tcPr>
            <w:tcW w:w="3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汞（Hg）</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&lt;0.1</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&lt;0.1</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jc w:val="center"/>
        </w:trPr>
        <w:tc>
          <w:tcPr>
            <w:tcW w:w="3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砷（As）</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&lt;0.1</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&lt;0.1</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jc w:val="center"/>
        </w:trPr>
        <w:tc>
          <w:tcPr>
            <w:tcW w:w="3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镉（Cd）</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&lt;0.1</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&lt;0.1</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6" w:hRule="atLeast"/>
          <w:jc w:val="center"/>
        </w:trPr>
        <w:tc>
          <w:tcPr>
            <w:tcW w:w="3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铬（六价）（Cr</w:t>
            </w:r>
            <w:r>
              <w:rPr>
                <w:rFonts w:hint="default" w:ascii="Times New Roman" w:hAnsi="Times New Roman" w:cs="Times New Roman"/>
                <w:color w:val="auto"/>
                <w:kern w:val="0"/>
                <w:szCs w:val="21"/>
                <w:vertAlign w:val="superscript"/>
              </w:rPr>
              <w:t>6+</w:t>
            </w:r>
            <w:r>
              <w:rPr>
                <w:rFonts w:hint="default" w:ascii="Times New Roman" w:hAnsi="Times New Roman" w:cs="Times New Roman"/>
                <w:color w:val="auto"/>
                <w:kern w:val="0"/>
                <w:szCs w:val="21"/>
              </w:rPr>
              <w:t>）</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&lt;0.2</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&lt;0.2</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jc w:val="center"/>
        </w:trPr>
        <w:tc>
          <w:tcPr>
            <w:tcW w:w="3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铅（Pb）</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&lt;0.2</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&lt;0.2</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6" w:hRule="atLeast"/>
          <w:jc w:val="center"/>
        </w:trPr>
        <w:tc>
          <w:tcPr>
            <w:tcW w:w="3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eastAsia="zh-CN"/>
              </w:rPr>
              <w:t>耗氧量</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0.34</w:t>
            </w:r>
          </w:p>
        </w:tc>
        <w:tc>
          <w:tcPr>
            <w:tcW w:w="20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0.30</w:t>
            </w:r>
          </w:p>
        </w:tc>
        <w:tc>
          <w:tcPr>
            <w:tcW w:w="23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0.25</w:t>
            </w:r>
          </w:p>
        </w:tc>
      </w:tr>
    </w:tbl>
    <w:p>
      <w:pPr>
        <w:widowControl/>
        <w:adjustRightInd/>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w:t>
      </w:r>
      <w:r>
        <w:rPr>
          <w:rFonts w:ascii="Times New Roman" w:hAnsi="宋体" w:eastAsia="宋体" w:cs="Times New Roman"/>
          <w:kern w:val="0"/>
          <w:sz w:val="24"/>
          <w:szCs w:val="24"/>
        </w:rPr>
        <w:t>地下水现状评价</w:t>
      </w:r>
    </w:p>
    <w:p>
      <w:pPr>
        <w:spacing w:line="360" w:lineRule="auto"/>
        <w:ind w:firstLine="480" w:firstLineChars="200"/>
        <w:rPr>
          <w:rFonts w:ascii="Times New Roman" w:hAnsi="宋体" w:eastAsia="宋体" w:cs="Times New Roman"/>
          <w:kern w:val="0"/>
          <w:sz w:val="24"/>
          <w:szCs w:val="24"/>
        </w:rPr>
      </w:pPr>
      <w:r>
        <w:rPr>
          <w:rFonts w:hint="eastAsia" w:ascii="Times New Roman" w:hAnsi="宋体" w:eastAsia="宋体" w:cs="Times New Roman"/>
          <w:kern w:val="0"/>
          <w:sz w:val="24"/>
          <w:szCs w:val="24"/>
        </w:rPr>
        <w:t>（1）</w:t>
      </w:r>
      <w:r>
        <w:rPr>
          <w:rFonts w:ascii="Times New Roman" w:hAnsi="宋体" w:eastAsia="宋体" w:cs="Times New Roman"/>
          <w:kern w:val="0"/>
          <w:sz w:val="24"/>
          <w:szCs w:val="24"/>
        </w:rPr>
        <w:t>评价标准</w:t>
      </w:r>
    </w:p>
    <w:p>
      <w:pPr>
        <w:spacing w:line="360" w:lineRule="auto"/>
        <w:ind w:firstLine="480" w:firstLineChars="200"/>
        <w:rPr>
          <w:rFonts w:ascii="Times New Roman" w:hAnsi="Times New Roman" w:eastAsia="宋体" w:cs="Times New Roman"/>
          <w:b/>
          <w:kern w:val="0"/>
          <w:sz w:val="24"/>
          <w:szCs w:val="24"/>
        </w:rPr>
      </w:pPr>
      <w:r>
        <w:rPr>
          <w:rFonts w:ascii="Times New Roman" w:hAnsi="宋体" w:eastAsia="宋体" w:cs="Times New Roman"/>
          <w:kern w:val="0"/>
          <w:sz w:val="24"/>
          <w:szCs w:val="24"/>
          <w:highlight w:val="none"/>
        </w:rPr>
        <w:t>评价区地下水执行《地下水质量标准》(GB/T14848-</w:t>
      </w:r>
      <w:r>
        <w:rPr>
          <w:rFonts w:hint="eastAsia" w:ascii="Times New Roman" w:hAnsi="宋体" w:eastAsia="宋体" w:cs="Times New Roman"/>
          <w:kern w:val="0"/>
          <w:sz w:val="24"/>
          <w:szCs w:val="24"/>
          <w:highlight w:val="none"/>
          <w:lang w:val="en-US" w:eastAsia="zh-CN"/>
        </w:rPr>
        <w:t>2017</w:t>
      </w:r>
      <w:r>
        <w:rPr>
          <w:rFonts w:ascii="Times New Roman" w:hAnsi="宋体" w:eastAsia="宋体" w:cs="Times New Roman"/>
          <w:kern w:val="0"/>
          <w:sz w:val="24"/>
          <w:szCs w:val="24"/>
          <w:highlight w:val="none"/>
        </w:rPr>
        <w:t>)中Ⅲ类标准，</w:t>
      </w:r>
      <w:r>
        <w:rPr>
          <w:rFonts w:ascii="Times New Roman" w:hAnsi="宋体" w:eastAsia="宋体" w:cs="Times New Roman"/>
          <w:kern w:val="0"/>
          <w:sz w:val="24"/>
          <w:szCs w:val="24"/>
        </w:rPr>
        <w:t>各污染物标准值列于</w:t>
      </w:r>
      <w:r>
        <w:rPr>
          <w:rFonts w:hint="eastAsia" w:ascii="Times New Roman" w:hAnsi="宋体" w:eastAsia="宋体" w:cs="Times New Roman"/>
          <w:kern w:val="0"/>
          <w:sz w:val="24"/>
          <w:szCs w:val="24"/>
        </w:rPr>
        <w:t>下表</w:t>
      </w:r>
      <w:r>
        <w:rPr>
          <w:rFonts w:ascii="Times New Roman" w:hAnsi="宋体" w:eastAsia="宋体" w:cs="Times New Roman"/>
          <w:kern w:val="0"/>
          <w:sz w:val="24"/>
          <w:szCs w:val="24"/>
        </w:rPr>
        <w:t>。石油类监测因子目前国内尚无相关的地下水标准，因此不对石油类进行评价，仅将监测结果作为现状本底值。</w:t>
      </w:r>
    </w:p>
    <w:p>
      <w:pPr>
        <w:keepNext w:val="0"/>
        <w:keepLines w:val="0"/>
        <w:pageBreakBefore w:val="0"/>
        <w:widowControl w:val="0"/>
        <w:tabs>
          <w:tab w:val="left" w:pos="4294"/>
        </w:tabs>
        <w:kinsoku/>
        <w:wordWrap/>
        <w:overflowPunct/>
        <w:topLinePunct w:val="0"/>
        <w:autoSpaceDE/>
        <w:autoSpaceDN/>
        <w:bidi w:val="0"/>
        <w:adjustRightInd w:val="0"/>
        <w:snapToGrid w:val="0"/>
        <w:spacing w:line="240" w:lineRule="auto"/>
        <w:ind w:firstLine="482" w:firstLineChars="200"/>
        <w:jc w:val="center"/>
        <w:textAlignment w:val="auto"/>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表</w:t>
      </w:r>
      <w:r>
        <w:rPr>
          <w:rFonts w:ascii="Times New Roman" w:hAnsi="Times New Roman" w:eastAsia="宋体" w:cs="Times New Roman"/>
          <w:b/>
          <w:spacing w:val="-52"/>
          <w:kern w:val="0"/>
          <w:sz w:val="24"/>
          <w:szCs w:val="24"/>
        </w:rPr>
        <w:t xml:space="preserve"> </w:t>
      </w:r>
      <w:r>
        <w:rPr>
          <w:rFonts w:ascii="Times New Roman" w:hAnsi="Times New Roman" w:eastAsia="Times New Roman" w:cs="Times New Roman"/>
          <w:b/>
          <w:kern w:val="0"/>
          <w:sz w:val="24"/>
          <w:szCs w:val="24"/>
        </w:rPr>
        <w:t>3.2</w:t>
      </w:r>
      <w:r>
        <w:rPr>
          <w:rFonts w:hint="eastAsia" w:ascii="Times New Roman" w:hAnsi="Times New Roman" w:eastAsia="宋体" w:cs="Times New Roman"/>
          <w:b/>
          <w:kern w:val="0"/>
          <w:sz w:val="24"/>
          <w:szCs w:val="24"/>
        </w:rPr>
        <w:t>-</w:t>
      </w:r>
      <w:r>
        <w:rPr>
          <w:rFonts w:hint="eastAsia" w:cs="Times New Roman"/>
          <w:b/>
          <w:kern w:val="0"/>
          <w:sz w:val="24"/>
          <w:szCs w:val="24"/>
          <w:lang w:val="en-US" w:eastAsia="zh-CN"/>
        </w:rPr>
        <w:t>6</w:t>
      </w:r>
      <w:r>
        <w:rPr>
          <w:rFonts w:hint="eastAsia" w:ascii="Times New Roman" w:hAnsi="Times New Roman" w:eastAsia="宋体" w:cs="Times New Roman"/>
          <w:b/>
          <w:kern w:val="0"/>
          <w:sz w:val="24"/>
          <w:szCs w:val="24"/>
          <w:lang w:val="en-US" w:eastAsia="zh-CN"/>
        </w:rPr>
        <w:t xml:space="preserve"> </w:t>
      </w:r>
      <w:r>
        <w:rPr>
          <w:rFonts w:ascii="Times New Roman" w:hAnsi="Times New Roman" w:eastAsia="宋体" w:cs="Times New Roman"/>
          <w:b/>
          <w:kern w:val="0"/>
          <w:sz w:val="24"/>
          <w:szCs w:val="24"/>
        </w:rPr>
        <w:t>地下水</w:t>
      </w:r>
      <w:r>
        <w:rPr>
          <w:rFonts w:ascii="Times New Roman" w:hAnsi="Times New Roman" w:eastAsia="宋体" w:cs="Times New Roman"/>
          <w:b/>
          <w:spacing w:val="-3"/>
          <w:kern w:val="0"/>
          <w:sz w:val="24"/>
          <w:szCs w:val="24"/>
        </w:rPr>
        <w:t>质</w:t>
      </w:r>
      <w:r>
        <w:rPr>
          <w:rFonts w:ascii="Times New Roman" w:hAnsi="Times New Roman" w:eastAsia="宋体" w:cs="Times New Roman"/>
          <w:b/>
          <w:kern w:val="0"/>
          <w:sz w:val="24"/>
          <w:szCs w:val="24"/>
        </w:rPr>
        <w:t>量评价标准</w:t>
      </w:r>
    </w:p>
    <w:tbl>
      <w:tblPr>
        <w:tblStyle w:val="22"/>
        <w:tblW w:w="9500"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2741"/>
        <w:gridCol w:w="3856"/>
        <w:gridCol w:w="290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Ⅲ类标准值(mg/L)</w:t>
            </w:r>
          </w:p>
        </w:tc>
        <w:tc>
          <w:tcPr>
            <w:tcW w:w="2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标准来源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cs="Times New Roman"/>
                <w:color w:val="auto"/>
                <w:kern w:val="0"/>
                <w:szCs w:val="21"/>
              </w:rPr>
              <w:t>pH</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6.5-8.5</w:t>
            </w:r>
          </w:p>
        </w:tc>
        <w:tc>
          <w:tcPr>
            <w:tcW w:w="290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kern w:val="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《地下水质量标准》</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（GB/T14848-</w:t>
            </w:r>
            <w:r>
              <w:rPr>
                <w:rFonts w:hint="eastAsia" w:ascii="Times New Roman" w:hAnsi="Times New Roman" w:eastAsia="宋体" w:cs="Times New Roman"/>
                <w:kern w:val="0"/>
                <w:sz w:val="21"/>
                <w:szCs w:val="21"/>
                <w:lang w:val="en-US" w:eastAsia="zh-CN"/>
              </w:rPr>
              <w:t>2017</w:t>
            </w:r>
            <w:r>
              <w:rPr>
                <w:rFonts w:hint="default" w:ascii="Times New Roman" w:hAnsi="Times New Roman" w:eastAsia="宋体" w:cs="Times New Roman"/>
                <w:kern w:val="0"/>
                <w:sz w:val="21"/>
                <w:szCs w:val="21"/>
              </w:rPr>
              <w:t>）中Ⅲ类水质标准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cs="Times New Roman"/>
                <w:color w:val="auto"/>
                <w:kern w:val="0"/>
                <w:szCs w:val="21"/>
              </w:rPr>
              <w:t>总硬度（以CaCO</w:t>
            </w:r>
            <w:r>
              <w:rPr>
                <w:rFonts w:hint="default" w:ascii="Times New Roman" w:hAnsi="Times New Roman" w:cs="Times New Roman"/>
                <w:color w:val="auto"/>
                <w:kern w:val="0"/>
                <w:szCs w:val="21"/>
                <w:vertAlign w:val="subscript"/>
              </w:rPr>
              <w:t>3</w:t>
            </w:r>
            <w:r>
              <w:rPr>
                <w:rFonts w:hint="default" w:ascii="Times New Roman" w:hAnsi="Times New Roman" w:cs="Times New Roman"/>
                <w:color w:val="auto"/>
                <w:kern w:val="0"/>
                <w:szCs w:val="21"/>
              </w:rPr>
              <w:t>计）</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≤450</w:t>
            </w:r>
          </w:p>
        </w:tc>
        <w:tc>
          <w:tcPr>
            <w:tcW w:w="2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lang w:eastAsia="zh-CN"/>
              </w:rPr>
            </w:pPr>
            <w:r>
              <w:rPr>
                <w:rFonts w:hint="default" w:ascii="Times New Roman" w:hAnsi="Times New Roman" w:cs="Times New Roman"/>
                <w:color w:val="auto"/>
                <w:kern w:val="0"/>
                <w:szCs w:val="21"/>
              </w:rPr>
              <w:t>溶解性总固体</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1000</w:t>
            </w:r>
          </w:p>
        </w:tc>
        <w:tc>
          <w:tcPr>
            <w:tcW w:w="2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lang w:eastAsia="zh-CN"/>
              </w:rPr>
            </w:pPr>
            <w:r>
              <w:rPr>
                <w:rFonts w:hint="default" w:ascii="Times New Roman" w:hAnsi="Times New Roman" w:cs="Times New Roman"/>
                <w:color w:val="auto"/>
                <w:kern w:val="0"/>
                <w:szCs w:val="21"/>
              </w:rPr>
              <w:t>硫酸盐</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≤250</w:t>
            </w:r>
          </w:p>
        </w:tc>
        <w:tc>
          <w:tcPr>
            <w:tcW w:w="2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cs="Times New Roman"/>
                <w:color w:val="auto"/>
                <w:kern w:val="0"/>
                <w:szCs w:val="21"/>
              </w:rPr>
              <w:t>氯化物</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250</w:t>
            </w:r>
          </w:p>
        </w:tc>
        <w:tc>
          <w:tcPr>
            <w:tcW w:w="2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lang w:eastAsia="zh-CN"/>
              </w:rPr>
            </w:pPr>
            <w:r>
              <w:rPr>
                <w:rFonts w:hint="default" w:ascii="Times New Roman" w:hAnsi="Times New Roman" w:cs="Times New Roman"/>
                <w:color w:val="auto"/>
                <w:kern w:val="0"/>
                <w:szCs w:val="21"/>
              </w:rPr>
              <w:t>铁（Fe）</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0.3</w:t>
            </w:r>
          </w:p>
        </w:tc>
        <w:tc>
          <w:tcPr>
            <w:tcW w:w="2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lang w:eastAsia="zh-CN"/>
              </w:rPr>
            </w:pPr>
            <w:r>
              <w:rPr>
                <w:rFonts w:hint="default" w:ascii="Times New Roman" w:hAnsi="Times New Roman" w:cs="Times New Roman"/>
                <w:color w:val="auto"/>
                <w:kern w:val="0"/>
                <w:szCs w:val="21"/>
              </w:rPr>
              <w:t>锰（Mn）</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0.1</w:t>
            </w:r>
          </w:p>
        </w:tc>
        <w:tc>
          <w:tcPr>
            <w:tcW w:w="2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lang w:eastAsia="zh-CN"/>
              </w:rPr>
            </w:pPr>
            <w:r>
              <w:rPr>
                <w:rFonts w:hint="default" w:ascii="Times New Roman" w:hAnsi="Times New Roman" w:cs="Times New Roman"/>
                <w:color w:val="auto"/>
                <w:kern w:val="0"/>
                <w:szCs w:val="21"/>
              </w:rPr>
              <w:t>铜（Cu）</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1.00</w:t>
            </w:r>
          </w:p>
        </w:tc>
        <w:tc>
          <w:tcPr>
            <w:tcW w:w="2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lang w:eastAsia="zh-CN"/>
              </w:rPr>
            </w:pPr>
            <w:r>
              <w:rPr>
                <w:rFonts w:hint="default" w:ascii="Times New Roman" w:hAnsi="Times New Roman" w:cs="Times New Roman"/>
                <w:color w:val="auto"/>
                <w:kern w:val="0"/>
                <w:szCs w:val="21"/>
              </w:rPr>
              <w:t>锌（Zn）</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lang w:val="en-US"/>
              </w:rPr>
            </w:pPr>
            <w:r>
              <w:rPr>
                <w:rFonts w:hint="default"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1.00</w:t>
            </w:r>
          </w:p>
        </w:tc>
        <w:tc>
          <w:tcPr>
            <w:tcW w:w="2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lang w:eastAsia="zh-CN"/>
              </w:rPr>
            </w:pPr>
            <w:r>
              <w:rPr>
                <w:rFonts w:hint="default" w:ascii="Times New Roman" w:hAnsi="Times New Roman" w:cs="Times New Roman"/>
                <w:color w:val="auto"/>
                <w:kern w:val="0"/>
                <w:szCs w:val="21"/>
              </w:rPr>
              <w:t>挥发性酚</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0.002</w:t>
            </w:r>
          </w:p>
        </w:tc>
        <w:tc>
          <w:tcPr>
            <w:tcW w:w="2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lang w:eastAsia="zh-CN"/>
              </w:rPr>
            </w:pPr>
            <w:r>
              <w:rPr>
                <w:rFonts w:hint="default" w:ascii="Times New Roman" w:hAnsi="Times New Roman" w:cs="Times New Roman"/>
                <w:color w:val="auto"/>
                <w:kern w:val="0"/>
                <w:szCs w:val="21"/>
              </w:rPr>
              <w:t>硝酸盐（以N计）</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20.0</w:t>
            </w:r>
          </w:p>
        </w:tc>
        <w:tc>
          <w:tcPr>
            <w:tcW w:w="2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lang w:eastAsia="zh-CN"/>
              </w:rPr>
            </w:pPr>
            <w:r>
              <w:rPr>
                <w:rFonts w:hint="default" w:ascii="Times New Roman" w:hAnsi="Times New Roman" w:cs="Times New Roman"/>
                <w:color w:val="auto"/>
                <w:kern w:val="0"/>
                <w:szCs w:val="21"/>
              </w:rPr>
              <w:t>亚硝酸盐（以N计）</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1.00</w:t>
            </w:r>
          </w:p>
        </w:tc>
        <w:tc>
          <w:tcPr>
            <w:tcW w:w="2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lang w:eastAsia="zh-CN"/>
              </w:rPr>
            </w:pPr>
            <w:r>
              <w:rPr>
                <w:rFonts w:hint="default" w:ascii="Times New Roman" w:hAnsi="Times New Roman" w:cs="Times New Roman"/>
                <w:color w:val="auto"/>
                <w:kern w:val="0"/>
                <w:szCs w:val="21"/>
              </w:rPr>
              <w:t>氨氮（NH</w:t>
            </w:r>
            <w:r>
              <w:rPr>
                <w:rFonts w:hint="default" w:ascii="Times New Roman" w:hAnsi="Times New Roman" w:cs="Times New Roman"/>
                <w:color w:val="auto"/>
                <w:kern w:val="0"/>
                <w:szCs w:val="21"/>
                <w:vertAlign w:val="superscript"/>
              </w:rPr>
              <w:t>4</w:t>
            </w:r>
            <w:r>
              <w:rPr>
                <w:rFonts w:hint="default" w:ascii="Times New Roman" w:hAnsi="Times New Roman" w:cs="Times New Roman"/>
                <w:color w:val="auto"/>
                <w:kern w:val="0"/>
                <w:szCs w:val="21"/>
              </w:rPr>
              <w:t>）</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0.5</w:t>
            </w:r>
          </w:p>
        </w:tc>
        <w:tc>
          <w:tcPr>
            <w:tcW w:w="2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lang w:eastAsia="zh-CN"/>
              </w:rPr>
            </w:pPr>
            <w:r>
              <w:rPr>
                <w:rFonts w:hint="default" w:ascii="Times New Roman" w:hAnsi="Times New Roman" w:cs="Times New Roman"/>
                <w:color w:val="auto"/>
                <w:kern w:val="0"/>
                <w:szCs w:val="21"/>
              </w:rPr>
              <w:t>氟化物</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1.0</w:t>
            </w:r>
          </w:p>
        </w:tc>
        <w:tc>
          <w:tcPr>
            <w:tcW w:w="2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lang w:eastAsia="zh-CN"/>
              </w:rPr>
            </w:pPr>
            <w:r>
              <w:rPr>
                <w:rFonts w:hint="default" w:ascii="Times New Roman" w:hAnsi="Times New Roman" w:cs="Times New Roman"/>
                <w:color w:val="auto"/>
                <w:kern w:val="0"/>
                <w:szCs w:val="21"/>
              </w:rPr>
              <w:t>氰化物</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0.05</w:t>
            </w:r>
          </w:p>
        </w:tc>
        <w:tc>
          <w:tcPr>
            <w:tcW w:w="2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lang w:eastAsia="zh-CN"/>
              </w:rPr>
            </w:pPr>
            <w:r>
              <w:rPr>
                <w:rFonts w:hint="default" w:ascii="Times New Roman" w:hAnsi="Times New Roman" w:cs="Times New Roman"/>
                <w:color w:val="auto"/>
                <w:kern w:val="0"/>
                <w:szCs w:val="21"/>
              </w:rPr>
              <w:t>汞（Hg）</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0.001</w:t>
            </w:r>
          </w:p>
        </w:tc>
        <w:tc>
          <w:tcPr>
            <w:tcW w:w="2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lang w:eastAsia="zh-CN"/>
              </w:rPr>
            </w:pPr>
            <w:r>
              <w:rPr>
                <w:rFonts w:hint="default" w:ascii="Times New Roman" w:hAnsi="Times New Roman" w:cs="Times New Roman"/>
                <w:color w:val="auto"/>
                <w:kern w:val="0"/>
                <w:szCs w:val="21"/>
              </w:rPr>
              <w:t>砷（As）</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0.01</w:t>
            </w:r>
          </w:p>
        </w:tc>
        <w:tc>
          <w:tcPr>
            <w:tcW w:w="2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lang w:eastAsia="zh-CN"/>
              </w:rPr>
            </w:pPr>
            <w:r>
              <w:rPr>
                <w:rFonts w:hint="default" w:ascii="Times New Roman" w:hAnsi="Times New Roman" w:cs="Times New Roman"/>
                <w:color w:val="auto"/>
                <w:kern w:val="0"/>
                <w:szCs w:val="21"/>
              </w:rPr>
              <w:t>镉（Cd）</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0.005</w:t>
            </w:r>
          </w:p>
        </w:tc>
        <w:tc>
          <w:tcPr>
            <w:tcW w:w="2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lang w:eastAsia="zh-CN"/>
              </w:rPr>
            </w:pPr>
            <w:r>
              <w:rPr>
                <w:rFonts w:hint="default" w:ascii="Times New Roman" w:hAnsi="Times New Roman" w:cs="Times New Roman"/>
                <w:color w:val="auto"/>
                <w:kern w:val="0"/>
                <w:szCs w:val="21"/>
              </w:rPr>
              <w:t>铬（六价）（Cr</w:t>
            </w:r>
            <w:r>
              <w:rPr>
                <w:rFonts w:hint="default" w:ascii="Times New Roman" w:hAnsi="Times New Roman" w:cs="Times New Roman"/>
                <w:color w:val="auto"/>
                <w:kern w:val="0"/>
                <w:szCs w:val="21"/>
                <w:vertAlign w:val="superscript"/>
              </w:rPr>
              <w:t>6+</w:t>
            </w:r>
            <w:r>
              <w:rPr>
                <w:rFonts w:hint="default" w:ascii="Times New Roman" w:hAnsi="Times New Roman" w:cs="Times New Roman"/>
                <w:color w:val="auto"/>
                <w:kern w:val="0"/>
                <w:szCs w:val="21"/>
              </w:rPr>
              <w:t>）</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0.05</w:t>
            </w:r>
          </w:p>
        </w:tc>
        <w:tc>
          <w:tcPr>
            <w:tcW w:w="2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lang w:eastAsia="zh-CN"/>
              </w:rPr>
            </w:pPr>
            <w:r>
              <w:rPr>
                <w:rFonts w:hint="default" w:ascii="Times New Roman" w:hAnsi="Times New Roman" w:cs="Times New Roman"/>
                <w:color w:val="auto"/>
                <w:kern w:val="0"/>
                <w:szCs w:val="21"/>
              </w:rPr>
              <w:t>铅（Pb）</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0.01</w:t>
            </w:r>
          </w:p>
        </w:tc>
        <w:tc>
          <w:tcPr>
            <w:tcW w:w="2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jc w:val="center"/>
        </w:trPr>
        <w:tc>
          <w:tcPr>
            <w:tcW w:w="2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lang w:eastAsia="zh-CN"/>
              </w:rPr>
            </w:pPr>
            <w:r>
              <w:rPr>
                <w:rFonts w:hint="eastAsia" w:ascii="Times New Roman" w:hAnsi="Times New Roman" w:cs="Times New Roman"/>
                <w:color w:val="auto"/>
                <w:kern w:val="0"/>
                <w:szCs w:val="21"/>
                <w:lang w:eastAsia="zh-CN"/>
              </w:rPr>
              <w:t>耗氧量</w:t>
            </w:r>
          </w:p>
        </w:tc>
        <w:tc>
          <w:tcPr>
            <w:tcW w:w="3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3.0</w:t>
            </w:r>
          </w:p>
        </w:tc>
        <w:tc>
          <w:tcPr>
            <w:tcW w:w="2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kern w:val="0"/>
                <w:sz w:val="21"/>
                <w:szCs w:val="21"/>
              </w:rPr>
            </w:pPr>
          </w:p>
        </w:tc>
      </w:tr>
    </w:tbl>
    <w:p>
      <w:pPr>
        <w:spacing w:line="360" w:lineRule="auto"/>
        <w:ind w:left="0" w:leftChars="0" w:firstLine="480" w:firstLineChars="200"/>
        <w:rPr>
          <w:rFonts w:ascii="Times New Roman" w:hAnsi="宋体" w:eastAsia="宋体" w:cs="Times New Roman"/>
          <w:kern w:val="0"/>
          <w:sz w:val="24"/>
          <w:szCs w:val="24"/>
        </w:rPr>
      </w:pPr>
      <w:r>
        <w:rPr>
          <w:rFonts w:hint="eastAsia" w:ascii="Times New Roman" w:hAnsi="宋体" w:eastAsia="宋体" w:cs="Times New Roman"/>
          <w:kern w:val="0"/>
          <w:sz w:val="24"/>
          <w:szCs w:val="24"/>
          <w:lang w:eastAsia="zh-CN"/>
        </w:rPr>
        <w:t>（</w:t>
      </w:r>
      <w:r>
        <w:rPr>
          <w:rFonts w:hint="eastAsia" w:ascii="Times New Roman" w:hAnsi="宋体" w:eastAsia="宋体" w:cs="Times New Roman"/>
          <w:kern w:val="0"/>
          <w:sz w:val="24"/>
          <w:szCs w:val="24"/>
          <w:lang w:val="en-US" w:eastAsia="zh-CN"/>
        </w:rPr>
        <w:t>2</w:t>
      </w:r>
      <w:r>
        <w:rPr>
          <w:rFonts w:hint="eastAsia" w:ascii="Times New Roman" w:hAnsi="宋体" w:eastAsia="宋体" w:cs="Times New Roman"/>
          <w:kern w:val="0"/>
          <w:sz w:val="24"/>
          <w:szCs w:val="24"/>
          <w:lang w:eastAsia="zh-CN"/>
        </w:rPr>
        <w:t>）</w:t>
      </w:r>
      <w:r>
        <w:rPr>
          <w:rFonts w:hint="eastAsia" w:ascii="Times New Roman" w:hAnsi="宋体" w:eastAsia="宋体" w:cs="Times New Roman"/>
          <w:kern w:val="0"/>
          <w:sz w:val="24"/>
          <w:szCs w:val="24"/>
        </w:rPr>
        <w:t>评价方法</w:t>
      </w:r>
    </w:p>
    <w:p>
      <w:pPr>
        <w:spacing w:line="360" w:lineRule="auto"/>
        <w:ind w:firstLine="480" w:firstLineChars="200"/>
        <w:rPr>
          <w:rFonts w:ascii="Times New Roman" w:hAnsi="Times New Roman" w:eastAsia="宋体" w:cs="Times New Roman"/>
          <w:kern w:val="0"/>
          <w:sz w:val="24"/>
          <w:szCs w:val="24"/>
        </w:rPr>
      </w:pPr>
      <w:r>
        <w:rPr>
          <w:rFonts w:ascii="Times New Roman" w:hAnsi="宋体" w:eastAsia="宋体" w:cs="Times New Roman"/>
          <w:kern w:val="0"/>
          <w:sz w:val="24"/>
          <w:szCs w:val="24"/>
        </w:rPr>
        <w:t>采用单因子标准指数法</w:t>
      </w:r>
    </w:p>
    <w:p>
      <w:pPr>
        <w:spacing w:line="360" w:lineRule="auto"/>
        <w:ind w:firstLine="480" w:firstLineChars="200"/>
        <w:rPr>
          <w:rFonts w:ascii="Times New Roman" w:hAnsi="Times New Roman" w:eastAsia="宋体" w:cs="Times New Roman"/>
          <w:kern w:val="0"/>
          <w:sz w:val="24"/>
          <w:szCs w:val="24"/>
        </w:rPr>
      </w:pPr>
      <w:r>
        <w:rPr>
          <w:rFonts w:ascii="Times New Roman" w:hAnsi="宋体" w:eastAsia="宋体" w:cs="Times New Roman"/>
          <w:kern w:val="0"/>
          <w:sz w:val="24"/>
          <w:szCs w:val="24"/>
        </w:rPr>
        <w:t>各评价因子（除</w:t>
      </w:r>
      <w:r>
        <w:rPr>
          <w:rFonts w:ascii="Times New Roman" w:hAnsi="Times New Roman" w:eastAsia="宋体" w:cs="Times New Roman"/>
          <w:kern w:val="0"/>
          <w:sz w:val="24"/>
          <w:szCs w:val="24"/>
        </w:rPr>
        <w:t>pH</w:t>
      </w:r>
      <w:r>
        <w:rPr>
          <w:rFonts w:ascii="Times New Roman" w:hAnsi="宋体" w:eastAsia="宋体" w:cs="Times New Roman"/>
          <w:kern w:val="0"/>
          <w:sz w:val="24"/>
          <w:szCs w:val="24"/>
        </w:rPr>
        <w:t>值）的标准指数计算公式：</w:t>
      </w:r>
    </w:p>
    <w:p>
      <w:pPr>
        <w:spacing w:line="360" w:lineRule="auto"/>
        <w:ind w:firstLine="480" w:firstLineChars="20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object>
          <v:shape id="_x0000_i1025" o:spt="75" type="#_x0000_t75" style="height:34.5pt;width:45pt;" o:ole="t" filled="f" o:preferrelative="t" stroked="f" coordsize="21600,21600">
            <v:path/>
            <v:fill on="f" focussize="0,0"/>
            <v:stroke on="f" joinstyle="miter"/>
            <v:imagedata r:id="rId24" o:title=""/>
            <o:lock v:ext="edit" aspectratio="t"/>
            <w10:wrap type="none"/>
            <w10:anchorlock/>
          </v:shape>
          <o:OLEObject Type="Embed" ProgID="Equation.3" ShapeID="_x0000_i1025" DrawAspect="Content" ObjectID="_1468075725" r:id="rId23">
            <o:LockedField>false</o:LockedField>
          </o:OLEObject>
        </w:object>
      </w:r>
    </w:p>
    <w:p>
      <w:pPr>
        <w:spacing w:line="360" w:lineRule="auto"/>
        <w:ind w:firstLine="480" w:firstLineChars="200"/>
        <w:rPr>
          <w:rFonts w:ascii="Times New Roman" w:hAnsi="Times New Roman" w:eastAsia="宋体" w:cs="Times New Roman"/>
          <w:kern w:val="0"/>
          <w:sz w:val="24"/>
          <w:szCs w:val="24"/>
        </w:rPr>
      </w:pPr>
      <w:r>
        <w:rPr>
          <w:rFonts w:ascii="Times New Roman" w:hAnsi="宋体" w:eastAsia="宋体" w:cs="Times New Roman"/>
          <w:kern w:val="0"/>
          <w:sz w:val="24"/>
          <w:szCs w:val="24"/>
        </w:rPr>
        <w:t>式中：</w:t>
      </w:r>
      <w:r>
        <w:rPr>
          <w:rFonts w:ascii="Times New Roman" w:hAnsi="Times New Roman" w:eastAsia="宋体" w:cs="Times New Roman"/>
          <w:kern w:val="0"/>
          <w:sz w:val="24"/>
          <w:szCs w:val="24"/>
        </w:rPr>
        <w:t>Si——</w:t>
      </w:r>
      <w:r>
        <w:rPr>
          <w:rFonts w:ascii="Times New Roman" w:hAnsi="宋体" w:eastAsia="宋体" w:cs="Times New Roman"/>
          <w:kern w:val="0"/>
          <w:sz w:val="24"/>
          <w:szCs w:val="24"/>
        </w:rPr>
        <w:t>第</w:t>
      </w:r>
      <w:r>
        <w:rPr>
          <w:rFonts w:ascii="Times New Roman" w:hAnsi="Times New Roman" w:eastAsia="宋体" w:cs="Times New Roman"/>
          <w:kern w:val="0"/>
          <w:sz w:val="24"/>
          <w:szCs w:val="24"/>
        </w:rPr>
        <w:t>i</w:t>
      </w:r>
      <w:r>
        <w:rPr>
          <w:rFonts w:ascii="Times New Roman" w:hAnsi="宋体" w:eastAsia="宋体" w:cs="Times New Roman"/>
          <w:kern w:val="0"/>
          <w:sz w:val="24"/>
          <w:szCs w:val="24"/>
        </w:rPr>
        <w:t>项评价因子的单因子标准指数；</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      Ci——</w:t>
      </w:r>
      <w:r>
        <w:rPr>
          <w:rFonts w:ascii="Times New Roman" w:hAnsi="宋体" w:eastAsia="宋体" w:cs="Times New Roman"/>
          <w:kern w:val="0"/>
          <w:sz w:val="24"/>
          <w:szCs w:val="24"/>
        </w:rPr>
        <w:t>第</w:t>
      </w:r>
      <w:r>
        <w:rPr>
          <w:rFonts w:ascii="Times New Roman" w:hAnsi="Times New Roman" w:eastAsia="宋体" w:cs="Times New Roman"/>
          <w:kern w:val="0"/>
          <w:sz w:val="24"/>
          <w:szCs w:val="24"/>
        </w:rPr>
        <w:t>i</w:t>
      </w:r>
      <w:r>
        <w:rPr>
          <w:rFonts w:ascii="Times New Roman" w:hAnsi="宋体" w:eastAsia="宋体" w:cs="Times New Roman"/>
          <w:kern w:val="0"/>
          <w:sz w:val="24"/>
          <w:szCs w:val="24"/>
        </w:rPr>
        <w:t>项评价因子的实测浓度值，</w:t>
      </w:r>
      <w:r>
        <w:rPr>
          <w:rFonts w:ascii="Times New Roman" w:hAnsi="Times New Roman" w:eastAsia="宋体" w:cs="Times New Roman"/>
          <w:kern w:val="0"/>
          <w:sz w:val="24"/>
          <w:szCs w:val="24"/>
        </w:rPr>
        <w:t>mg/L</w:t>
      </w:r>
      <w:r>
        <w:rPr>
          <w:rFonts w:ascii="Times New Roman" w:hAnsi="宋体" w:eastAsia="宋体" w:cs="Times New Roman"/>
          <w:kern w:val="0"/>
          <w:sz w:val="24"/>
          <w:szCs w:val="24"/>
        </w:rPr>
        <w:t>；</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      Coi——</w:t>
      </w:r>
      <w:r>
        <w:rPr>
          <w:rFonts w:ascii="Times New Roman" w:hAnsi="宋体" w:eastAsia="宋体" w:cs="Times New Roman"/>
          <w:kern w:val="0"/>
          <w:sz w:val="24"/>
          <w:szCs w:val="24"/>
        </w:rPr>
        <w:t>第</w:t>
      </w:r>
      <w:r>
        <w:rPr>
          <w:rFonts w:ascii="Times New Roman" w:hAnsi="Times New Roman" w:eastAsia="宋体" w:cs="Times New Roman"/>
          <w:kern w:val="0"/>
          <w:sz w:val="24"/>
          <w:szCs w:val="24"/>
        </w:rPr>
        <w:t>i</w:t>
      </w:r>
      <w:r>
        <w:rPr>
          <w:rFonts w:ascii="Times New Roman" w:hAnsi="宋体" w:eastAsia="宋体" w:cs="Times New Roman"/>
          <w:kern w:val="0"/>
          <w:sz w:val="24"/>
          <w:szCs w:val="24"/>
        </w:rPr>
        <w:t>项评价因子的环境质量标准值，</w:t>
      </w:r>
      <w:r>
        <w:rPr>
          <w:rFonts w:ascii="Times New Roman" w:hAnsi="Times New Roman" w:eastAsia="宋体" w:cs="Times New Roman"/>
          <w:kern w:val="0"/>
          <w:sz w:val="24"/>
          <w:szCs w:val="24"/>
        </w:rPr>
        <w:t>mg/L</w:t>
      </w:r>
      <w:r>
        <w:rPr>
          <w:rFonts w:ascii="Times New Roman" w:hAnsi="宋体" w:eastAsia="宋体" w:cs="Times New Roman"/>
          <w:kern w:val="0"/>
          <w:sz w:val="24"/>
          <w:szCs w:val="24"/>
        </w:rPr>
        <w:t>。</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pH</w:t>
      </w:r>
      <w:r>
        <w:rPr>
          <w:rFonts w:ascii="Times New Roman" w:hAnsi="宋体" w:eastAsia="宋体" w:cs="Times New Roman"/>
          <w:kern w:val="0"/>
          <w:sz w:val="24"/>
          <w:szCs w:val="24"/>
        </w:rPr>
        <w:t>值的标准指数用下式计算：</w:t>
      </w:r>
    </w:p>
    <w:p>
      <w:pPr>
        <w:spacing w:line="360" w:lineRule="auto"/>
        <w:ind w:firstLine="480" w:firstLineChars="20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object>
          <v:shape id="_x0000_i1026" o:spt="75" type="#_x0000_t75" style="height:36pt;width:205.5pt;" o:ole="t" filled="f" o:preferrelative="t" stroked="f" coordsize="21600,21600">
            <v:path/>
            <v:fill on="f" focussize="0,0"/>
            <v:stroke on="f" joinstyle="miter"/>
            <v:imagedata r:id="rId26" o:title=""/>
            <o:lock v:ext="edit" aspectratio="t"/>
            <w10:wrap type="none"/>
            <w10:anchorlock/>
          </v:shape>
          <o:OLEObject Type="Embed" ProgID="Equation.3" ShapeID="_x0000_i1026" DrawAspect="Content" ObjectID="_1468075726" r:id="rId25">
            <o:LockedField>false</o:LockedField>
          </o:OLEObject>
        </w:object>
      </w:r>
    </w:p>
    <w:p>
      <w:pPr>
        <w:spacing w:line="360" w:lineRule="auto"/>
        <w:ind w:firstLine="480" w:firstLineChars="20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object>
          <v:shape id="_x0000_i1027" o:spt="75" type="#_x0000_t75" style="height:36pt;width:201pt;" o:ole="t" filled="f" o:preferrelative="t" stroked="f" coordsize="21600,21600">
            <v:path/>
            <v:fill on="f" focussize="0,0"/>
            <v:stroke on="f" joinstyle="miter"/>
            <v:imagedata r:id="rId28" o:title=""/>
            <o:lock v:ext="edit" aspectratio="t"/>
            <w10:wrap type="none"/>
            <w10:anchorlock/>
          </v:shape>
          <o:OLEObject Type="Embed" ProgID="Equation.3" ShapeID="_x0000_i1027" DrawAspect="Content" ObjectID="_1468075727" r:id="rId27">
            <o:LockedField>false</o:LockedField>
          </o:OLEObject>
        </w:object>
      </w:r>
    </w:p>
    <w:p>
      <w:pPr>
        <w:spacing w:line="360" w:lineRule="auto"/>
        <w:ind w:firstLine="480" w:firstLineChars="200"/>
        <w:rPr>
          <w:rFonts w:ascii="Times New Roman" w:hAnsi="Times New Roman" w:eastAsia="宋体" w:cs="Times New Roman"/>
          <w:kern w:val="0"/>
          <w:sz w:val="24"/>
          <w:szCs w:val="24"/>
        </w:rPr>
      </w:pPr>
      <w:r>
        <w:rPr>
          <w:rFonts w:ascii="Times New Roman" w:hAnsi="宋体" w:eastAsia="宋体" w:cs="Times New Roman"/>
          <w:kern w:val="0"/>
          <w:sz w:val="24"/>
          <w:szCs w:val="24"/>
        </w:rPr>
        <w:t>式中：</w:t>
      </w:r>
      <w:r>
        <w:rPr>
          <w:rFonts w:ascii="Times New Roman" w:hAnsi="Times New Roman" w:eastAsia="宋体" w:cs="Times New Roman"/>
          <w:kern w:val="0"/>
          <w:sz w:val="24"/>
          <w:szCs w:val="24"/>
        </w:rPr>
        <w:t>S</w:t>
      </w:r>
      <w:r>
        <w:rPr>
          <w:rFonts w:ascii="Times New Roman" w:hAnsi="Times New Roman" w:eastAsia="宋体" w:cs="Times New Roman"/>
          <w:kern w:val="0"/>
          <w:sz w:val="24"/>
          <w:szCs w:val="24"/>
          <w:vertAlign w:val="subscript"/>
        </w:rPr>
        <w:t>pH</w:t>
      </w:r>
      <w:r>
        <w:rPr>
          <w:rFonts w:ascii="Times New Roman" w:hAnsi="宋体" w:eastAsia="宋体" w:cs="Times New Roman"/>
          <w:kern w:val="0"/>
          <w:sz w:val="24"/>
          <w:szCs w:val="24"/>
          <w:vertAlign w:val="subscript"/>
        </w:rPr>
        <w:t>，</w:t>
      </w:r>
      <w:r>
        <w:rPr>
          <w:rFonts w:ascii="Times New Roman" w:hAnsi="Times New Roman" w:eastAsia="宋体" w:cs="Times New Roman"/>
          <w:kern w:val="0"/>
          <w:sz w:val="24"/>
          <w:szCs w:val="24"/>
          <w:vertAlign w:val="subscript"/>
        </w:rPr>
        <w:t>j</w:t>
      </w:r>
      <w:r>
        <w:rPr>
          <w:rFonts w:ascii="Times New Roman" w:hAnsi="Times New Roman" w:eastAsia="宋体" w:cs="Times New Roman"/>
          <w:kern w:val="0"/>
          <w:sz w:val="24"/>
          <w:szCs w:val="24"/>
        </w:rPr>
        <w:t>——</w:t>
      </w:r>
      <w:r>
        <w:rPr>
          <w:rFonts w:ascii="Times New Roman" w:hAnsi="宋体" w:eastAsia="宋体" w:cs="Times New Roman"/>
          <w:kern w:val="0"/>
          <w:sz w:val="24"/>
          <w:szCs w:val="24"/>
        </w:rPr>
        <w:t>第</w:t>
      </w:r>
      <w:r>
        <w:rPr>
          <w:rFonts w:ascii="Times New Roman" w:hAnsi="Times New Roman" w:eastAsia="宋体" w:cs="Times New Roman"/>
          <w:kern w:val="0"/>
          <w:sz w:val="24"/>
          <w:szCs w:val="24"/>
        </w:rPr>
        <w:t>j</w:t>
      </w:r>
      <w:r>
        <w:rPr>
          <w:rFonts w:ascii="Times New Roman" w:hAnsi="宋体" w:eastAsia="宋体" w:cs="Times New Roman"/>
          <w:kern w:val="0"/>
          <w:sz w:val="24"/>
          <w:szCs w:val="24"/>
        </w:rPr>
        <w:t>点的</w:t>
      </w:r>
      <w:r>
        <w:rPr>
          <w:rFonts w:ascii="Times New Roman" w:hAnsi="Times New Roman" w:eastAsia="宋体" w:cs="Times New Roman"/>
          <w:kern w:val="0"/>
          <w:sz w:val="24"/>
          <w:szCs w:val="24"/>
        </w:rPr>
        <w:t>pH</w:t>
      </w:r>
      <w:r>
        <w:rPr>
          <w:rFonts w:ascii="Times New Roman" w:hAnsi="宋体" w:eastAsia="宋体" w:cs="Times New Roman"/>
          <w:kern w:val="0"/>
          <w:sz w:val="24"/>
          <w:szCs w:val="24"/>
        </w:rPr>
        <w:t>值标准指数；</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      pH</w:t>
      </w:r>
      <w:r>
        <w:rPr>
          <w:rFonts w:ascii="Times New Roman" w:hAnsi="Times New Roman" w:eastAsia="宋体" w:cs="Times New Roman"/>
          <w:kern w:val="0"/>
          <w:sz w:val="24"/>
          <w:szCs w:val="24"/>
          <w:vertAlign w:val="subscript"/>
        </w:rPr>
        <w:t>sd</w:t>
      </w:r>
      <w:r>
        <w:rPr>
          <w:rFonts w:ascii="Times New Roman" w:hAnsi="Times New Roman" w:eastAsia="宋体" w:cs="Times New Roman"/>
          <w:kern w:val="0"/>
          <w:sz w:val="24"/>
          <w:szCs w:val="24"/>
        </w:rPr>
        <w:t>——</w:t>
      </w:r>
      <w:r>
        <w:rPr>
          <w:rFonts w:ascii="Times New Roman" w:hAnsi="宋体" w:eastAsia="宋体" w:cs="Times New Roman"/>
          <w:kern w:val="0"/>
          <w:sz w:val="24"/>
          <w:szCs w:val="24"/>
        </w:rPr>
        <w:t>水质标准中</w:t>
      </w:r>
      <w:r>
        <w:rPr>
          <w:rFonts w:ascii="Times New Roman" w:hAnsi="Times New Roman" w:eastAsia="宋体" w:cs="Times New Roman"/>
          <w:kern w:val="0"/>
          <w:sz w:val="24"/>
          <w:szCs w:val="24"/>
        </w:rPr>
        <w:t>pH</w:t>
      </w:r>
      <w:r>
        <w:rPr>
          <w:rFonts w:ascii="Times New Roman" w:hAnsi="宋体" w:eastAsia="宋体" w:cs="Times New Roman"/>
          <w:kern w:val="0"/>
          <w:sz w:val="24"/>
          <w:szCs w:val="24"/>
        </w:rPr>
        <w:t>值的下限；</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      pH</w:t>
      </w:r>
      <w:r>
        <w:rPr>
          <w:rFonts w:ascii="Times New Roman" w:hAnsi="Times New Roman" w:eastAsia="宋体" w:cs="Times New Roman"/>
          <w:kern w:val="0"/>
          <w:sz w:val="24"/>
          <w:szCs w:val="24"/>
          <w:vertAlign w:val="subscript"/>
        </w:rPr>
        <w:t>su</w:t>
      </w:r>
      <w:r>
        <w:rPr>
          <w:rFonts w:ascii="Times New Roman" w:hAnsi="Times New Roman" w:eastAsia="宋体" w:cs="Times New Roman"/>
          <w:kern w:val="0"/>
          <w:sz w:val="24"/>
          <w:szCs w:val="24"/>
        </w:rPr>
        <w:t>——</w:t>
      </w:r>
      <w:r>
        <w:rPr>
          <w:rFonts w:ascii="Times New Roman" w:hAnsi="宋体" w:eastAsia="宋体" w:cs="Times New Roman"/>
          <w:kern w:val="0"/>
          <w:sz w:val="24"/>
          <w:szCs w:val="24"/>
        </w:rPr>
        <w:t>水质标准中</w:t>
      </w:r>
      <w:r>
        <w:rPr>
          <w:rFonts w:ascii="Times New Roman" w:hAnsi="Times New Roman" w:eastAsia="宋体" w:cs="Times New Roman"/>
          <w:kern w:val="0"/>
          <w:sz w:val="24"/>
          <w:szCs w:val="24"/>
        </w:rPr>
        <w:t>pH</w:t>
      </w:r>
      <w:r>
        <w:rPr>
          <w:rFonts w:ascii="Times New Roman" w:hAnsi="宋体" w:eastAsia="宋体" w:cs="Times New Roman"/>
          <w:kern w:val="0"/>
          <w:sz w:val="24"/>
          <w:szCs w:val="24"/>
        </w:rPr>
        <w:t>值的上限；</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      pH</w:t>
      </w:r>
      <w:r>
        <w:rPr>
          <w:rFonts w:ascii="Times New Roman" w:hAnsi="Times New Roman" w:eastAsia="宋体" w:cs="Times New Roman"/>
          <w:kern w:val="0"/>
          <w:sz w:val="24"/>
          <w:szCs w:val="24"/>
          <w:vertAlign w:val="subscript"/>
        </w:rPr>
        <w:t>j</w:t>
      </w:r>
      <w:r>
        <w:rPr>
          <w:rFonts w:ascii="Times New Roman" w:hAnsi="Times New Roman" w:eastAsia="宋体" w:cs="Times New Roman"/>
          <w:kern w:val="0"/>
          <w:sz w:val="24"/>
          <w:szCs w:val="24"/>
        </w:rPr>
        <w:t>——</w:t>
      </w:r>
      <w:r>
        <w:rPr>
          <w:rFonts w:ascii="Times New Roman" w:hAnsi="宋体" w:eastAsia="宋体" w:cs="Times New Roman"/>
          <w:kern w:val="0"/>
          <w:sz w:val="24"/>
          <w:szCs w:val="24"/>
        </w:rPr>
        <w:t>第</w:t>
      </w:r>
      <w:r>
        <w:rPr>
          <w:rFonts w:ascii="Times New Roman" w:hAnsi="Times New Roman" w:eastAsia="宋体" w:cs="Times New Roman"/>
          <w:kern w:val="0"/>
          <w:sz w:val="24"/>
          <w:szCs w:val="24"/>
        </w:rPr>
        <w:t>j</w:t>
      </w:r>
      <w:r>
        <w:rPr>
          <w:rFonts w:ascii="Times New Roman" w:hAnsi="宋体" w:eastAsia="宋体" w:cs="Times New Roman"/>
          <w:kern w:val="0"/>
          <w:sz w:val="24"/>
          <w:szCs w:val="24"/>
        </w:rPr>
        <w:t>点的</w:t>
      </w:r>
      <w:r>
        <w:rPr>
          <w:rFonts w:ascii="Times New Roman" w:hAnsi="Times New Roman" w:eastAsia="宋体" w:cs="Times New Roman"/>
          <w:kern w:val="0"/>
          <w:sz w:val="24"/>
          <w:szCs w:val="24"/>
        </w:rPr>
        <w:t>pH</w:t>
      </w:r>
      <w:r>
        <w:rPr>
          <w:rFonts w:ascii="Times New Roman" w:hAnsi="宋体" w:eastAsia="宋体" w:cs="Times New Roman"/>
          <w:kern w:val="0"/>
          <w:sz w:val="24"/>
          <w:szCs w:val="24"/>
        </w:rPr>
        <w:t>值实测值。</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0"/>
          <w:sz w:val="24"/>
          <w:szCs w:val="24"/>
        </w:rPr>
      </w:pPr>
      <w:r>
        <w:rPr>
          <w:rFonts w:ascii="Times New Roman" w:hAnsi="宋体" w:eastAsia="宋体" w:cs="Times New Roman"/>
          <w:kern w:val="0"/>
          <w:sz w:val="24"/>
          <w:szCs w:val="24"/>
        </w:rPr>
        <w:t>评价因子的标准指数小于等于</w:t>
      </w:r>
      <w:r>
        <w:rPr>
          <w:rFonts w:ascii="Times New Roman" w:hAnsi="Times New Roman" w:eastAsia="宋体" w:cs="Times New Roman"/>
          <w:kern w:val="0"/>
          <w:sz w:val="24"/>
          <w:szCs w:val="24"/>
        </w:rPr>
        <w:t>1</w:t>
      </w:r>
      <w:r>
        <w:rPr>
          <w:rFonts w:ascii="Times New Roman" w:hAnsi="宋体" w:eastAsia="宋体" w:cs="Times New Roman"/>
          <w:kern w:val="0"/>
          <w:sz w:val="24"/>
          <w:szCs w:val="24"/>
        </w:rPr>
        <w:t>，则符合地下水质的标准要求；评价因子的标准指数大于</w:t>
      </w:r>
      <w:r>
        <w:rPr>
          <w:rFonts w:ascii="Times New Roman" w:hAnsi="Times New Roman" w:eastAsia="宋体" w:cs="Times New Roman"/>
          <w:kern w:val="0"/>
          <w:sz w:val="24"/>
          <w:szCs w:val="24"/>
        </w:rPr>
        <w:t>1</w:t>
      </w:r>
      <w:r>
        <w:rPr>
          <w:rFonts w:ascii="Times New Roman" w:hAnsi="宋体" w:eastAsia="宋体" w:cs="Times New Roman"/>
          <w:kern w:val="0"/>
          <w:sz w:val="24"/>
          <w:szCs w:val="24"/>
        </w:rPr>
        <w:t>，则为超标，说明该地下水的水质已超过规定标准，将会对人体健康产生危害。</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0"/>
          <w:sz w:val="24"/>
          <w:szCs w:val="24"/>
        </w:rPr>
      </w:pPr>
      <w:r>
        <w:rPr>
          <w:rFonts w:hint="eastAsia" w:ascii="Times New Roman" w:hAnsi="宋体" w:eastAsia="宋体" w:cs="Times New Roman"/>
          <w:kern w:val="0"/>
          <w:sz w:val="24"/>
          <w:szCs w:val="24"/>
          <w:lang w:val="en-US" w:eastAsia="zh-CN"/>
        </w:rPr>
        <w:t>4</w:t>
      </w:r>
      <w:r>
        <w:rPr>
          <w:rFonts w:hint="eastAsia" w:ascii="Times New Roman" w:hAnsi="宋体" w:eastAsia="宋体" w:cs="Times New Roman"/>
          <w:kern w:val="0"/>
          <w:sz w:val="24"/>
          <w:szCs w:val="24"/>
        </w:rPr>
        <w:t>、</w:t>
      </w:r>
      <w:r>
        <w:rPr>
          <w:rFonts w:ascii="Times New Roman" w:hAnsi="宋体" w:eastAsia="宋体" w:cs="Times New Roman"/>
          <w:kern w:val="0"/>
          <w:sz w:val="24"/>
          <w:szCs w:val="24"/>
        </w:rPr>
        <w:t>评价结果</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0"/>
          <w:sz w:val="24"/>
          <w:szCs w:val="20"/>
        </w:rPr>
      </w:pPr>
      <w:r>
        <w:rPr>
          <w:rFonts w:ascii="Times New Roman" w:hAnsi="宋体" w:eastAsia="宋体" w:cs="Times New Roman"/>
          <w:bCs/>
          <w:kern w:val="0"/>
          <w:sz w:val="24"/>
          <w:szCs w:val="24"/>
        </w:rPr>
        <w:t>根据上述单项标准指数计算公式和相应环境质量评价标准值，</w:t>
      </w:r>
      <w:r>
        <w:rPr>
          <w:rFonts w:ascii="Times New Roman" w:hAnsi="Times New Roman" w:eastAsia="宋体" w:cs="Times New Roman"/>
          <w:kern w:val="0"/>
          <w:sz w:val="24"/>
          <w:szCs w:val="20"/>
        </w:rPr>
        <w:t>评价区域内地下水各污染因子监测浓度均符合《地下水质量标准》</w:t>
      </w:r>
      <w:r>
        <w:rPr>
          <w:rFonts w:hint="eastAsia" w:ascii="Times New Roman" w:hAnsi="Times New Roman" w:eastAsia="宋体" w:cs="Times New Roman"/>
          <w:kern w:val="0"/>
          <w:sz w:val="24"/>
          <w:szCs w:val="20"/>
        </w:rPr>
        <w:t>（</w:t>
      </w:r>
      <w:r>
        <w:rPr>
          <w:rFonts w:ascii="Times New Roman" w:hAnsi="Times New Roman" w:eastAsia="宋体" w:cs="Times New Roman"/>
          <w:kern w:val="0"/>
          <w:sz w:val="24"/>
          <w:szCs w:val="20"/>
        </w:rPr>
        <w:t>GB/T14848-2017</w:t>
      </w:r>
      <w:r>
        <w:rPr>
          <w:rFonts w:hint="eastAsia" w:ascii="Times New Roman" w:hAnsi="Times New Roman" w:eastAsia="宋体" w:cs="Times New Roman"/>
          <w:kern w:val="0"/>
          <w:sz w:val="24"/>
          <w:szCs w:val="20"/>
        </w:rPr>
        <w:t>）</w:t>
      </w:r>
      <w:r>
        <w:rPr>
          <w:rFonts w:ascii="Times New Roman" w:hAnsi="Times New Roman" w:eastAsia="宋体" w:cs="Times New Roman"/>
          <w:kern w:val="0"/>
          <w:sz w:val="24"/>
          <w:szCs w:val="20"/>
        </w:rPr>
        <w:t>中</w:t>
      </w:r>
      <w:r>
        <w:rPr>
          <w:rFonts w:hint="eastAsia" w:ascii="宋体" w:hAnsi="宋体" w:eastAsia="宋体" w:cs="宋体"/>
          <w:kern w:val="0"/>
          <w:sz w:val="24"/>
          <w:szCs w:val="20"/>
        </w:rPr>
        <w:t>Ⅲ</w:t>
      </w:r>
      <w:r>
        <w:rPr>
          <w:rFonts w:ascii="Times New Roman" w:hAnsi="Times New Roman" w:eastAsia="宋体" w:cs="Times New Roman"/>
          <w:kern w:val="0"/>
          <w:sz w:val="24"/>
          <w:szCs w:val="20"/>
        </w:rPr>
        <w:t>类标准，区域地下水质量现状良好。</w:t>
      </w:r>
    </w:p>
    <w:p>
      <w:pPr>
        <w:pStyle w:val="2"/>
        <w:ind w:firstLine="0" w:firstLineChars="0"/>
      </w:pPr>
    </w:p>
    <w:p>
      <w:pPr>
        <w:pStyle w:val="5"/>
        <w:rPr>
          <w:rFonts w:eastAsia="黑体"/>
          <w:sz w:val="36"/>
          <w:szCs w:val="36"/>
        </w:rPr>
      </w:pPr>
      <w:bookmarkStart w:id="174" w:name="_Toc532395318"/>
    </w:p>
    <w:p>
      <w:pPr>
        <w:rPr>
          <w:rFonts w:eastAsia="黑体"/>
          <w:sz w:val="36"/>
          <w:szCs w:val="36"/>
        </w:rPr>
      </w:pPr>
    </w:p>
    <w:p>
      <w:pPr>
        <w:rPr>
          <w:rFonts w:eastAsia="黑体"/>
          <w:sz w:val="36"/>
          <w:szCs w:val="36"/>
        </w:rPr>
      </w:pPr>
      <w:r>
        <w:rPr>
          <w:rFonts w:eastAsia="黑体"/>
          <w:sz w:val="36"/>
          <w:szCs w:val="36"/>
        </w:rPr>
        <w:br w:type="page"/>
      </w:r>
    </w:p>
    <w:p>
      <w:pPr>
        <w:pStyle w:val="5"/>
        <w:ind w:firstLine="2168" w:firstLineChars="600"/>
        <w:rPr>
          <w:rFonts w:eastAsia="黑体"/>
          <w:sz w:val="36"/>
          <w:szCs w:val="36"/>
        </w:rPr>
      </w:pPr>
      <w:bookmarkStart w:id="175" w:name="_Toc17844_WPSOffice_Level1"/>
      <w:r>
        <w:rPr>
          <w:rFonts w:eastAsia="黑体"/>
          <w:sz w:val="36"/>
          <w:szCs w:val="36"/>
        </w:rPr>
        <w:t>第四章  环境影响预测与评价</w:t>
      </w:r>
      <w:bookmarkEnd w:id="174"/>
      <w:bookmarkEnd w:id="175"/>
    </w:p>
    <w:p>
      <w:pPr>
        <w:pStyle w:val="5"/>
        <w:rPr>
          <w:sz w:val="24"/>
          <w:szCs w:val="24"/>
        </w:rPr>
      </w:pPr>
      <w:bookmarkStart w:id="176" w:name="_Toc13389_WPSOffice_Level2"/>
      <w:bookmarkStart w:id="177" w:name="_Toc532395319"/>
      <w:r>
        <w:rPr>
          <w:sz w:val="24"/>
          <w:szCs w:val="24"/>
        </w:rPr>
        <w:t>4.1 施工期环境影响分析</w:t>
      </w:r>
      <w:bookmarkEnd w:id="176"/>
      <w:bookmarkEnd w:id="177"/>
    </w:p>
    <w:p>
      <w:pPr>
        <w:autoSpaceDE w:val="0"/>
        <w:autoSpaceDN w:val="0"/>
        <w:rPr>
          <w:b/>
          <w:sz w:val="24"/>
          <w:szCs w:val="24"/>
          <w:lang w:val="zh-CN"/>
        </w:rPr>
      </w:pPr>
      <w:r>
        <w:rPr>
          <w:b/>
          <w:sz w:val="24"/>
          <w:szCs w:val="24"/>
          <w:lang w:val="zh-CN"/>
        </w:rPr>
        <w:t>4.1.1施工期大气环境影响分析</w:t>
      </w:r>
    </w:p>
    <w:p>
      <w:pPr>
        <w:autoSpaceDE w:val="0"/>
        <w:autoSpaceDN w:val="0"/>
        <w:ind w:firstLine="482"/>
        <w:rPr>
          <w:sz w:val="24"/>
          <w:szCs w:val="24"/>
          <w:lang w:val="zh-CN"/>
        </w:rPr>
      </w:pPr>
      <w:r>
        <w:rPr>
          <w:sz w:val="24"/>
          <w:szCs w:val="24"/>
          <w:lang w:val="zh-CN"/>
        </w:rPr>
        <w:t>施工期间对大气环境的影响主要表现为施工期扬尘与运输扬尘以及装修过程中的有机气体污染。其中扬尘最为关注，其要产生在以下环节：</w:t>
      </w:r>
    </w:p>
    <w:p>
      <w:pPr>
        <w:autoSpaceDE w:val="0"/>
        <w:autoSpaceDN w:val="0"/>
        <w:ind w:firstLine="482"/>
        <w:rPr>
          <w:sz w:val="24"/>
          <w:szCs w:val="24"/>
          <w:lang w:val="zh-CN"/>
        </w:rPr>
      </w:pPr>
      <w:r>
        <w:rPr>
          <w:sz w:val="24"/>
          <w:szCs w:val="24"/>
          <w:lang w:val="zh-CN"/>
        </w:rPr>
        <w:t>土方挖掘和现场堆放扬尘；</w:t>
      </w:r>
    </w:p>
    <w:p>
      <w:pPr>
        <w:autoSpaceDE w:val="0"/>
        <w:autoSpaceDN w:val="0"/>
        <w:ind w:firstLine="482"/>
        <w:rPr>
          <w:sz w:val="24"/>
          <w:szCs w:val="24"/>
          <w:lang w:val="zh-CN"/>
        </w:rPr>
      </w:pPr>
      <w:r>
        <w:rPr>
          <w:sz w:val="24"/>
          <w:szCs w:val="24"/>
          <w:lang w:val="zh-CN"/>
        </w:rPr>
        <w:t>建筑材料（白灰、水泥、砂子、石子和砖等）的搬运及堆放扬尘；</w:t>
      </w:r>
    </w:p>
    <w:p>
      <w:pPr>
        <w:autoSpaceDE w:val="0"/>
        <w:autoSpaceDN w:val="0"/>
        <w:ind w:firstLine="482"/>
        <w:rPr>
          <w:sz w:val="24"/>
          <w:szCs w:val="24"/>
          <w:lang w:val="zh-CN"/>
        </w:rPr>
      </w:pPr>
      <w:r>
        <w:rPr>
          <w:sz w:val="24"/>
          <w:szCs w:val="24"/>
          <w:lang w:val="zh-CN"/>
        </w:rPr>
        <w:t>施工垃圾的清理及堆放扬尘；</w:t>
      </w:r>
    </w:p>
    <w:p>
      <w:pPr>
        <w:autoSpaceDE w:val="0"/>
        <w:autoSpaceDN w:val="0"/>
        <w:ind w:firstLine="482"/>
        <w:rPr>
          <w:sz w:val="24"/>
          <w:szCs w:val="24"/>
          <w:lang w:val="zh-CN"/>
        </w:rPr>
      </w:pPr>
      <w:r>
        <w:rPr>
          <w:sz w:val="24"/>
          <w:szCs w:val="24"/>
          <w:lang w:val="zh-CN"/>
        </w:rPr>
        <w:t>物料运输车辆造成的道路扬尘（包括施工区内和施工区外道路扬尘）。</w:t>
      </w:r>
    </w:p>
    <w:p>
      <w:pPr>
        <w:ind w:firstLine="588" w:firstLineChars="245"/>
        <w:rPr>
          <w:sz w:val="24"/>
          <w:szCs w:val="24"/>
        </w:rPr>
      </w:pPr>
      <w:r>
        <w:rPr>
          <w:sz w:val="24"/>
          <w:szCs w:val="24"/>
        </w:rPr>
        <w:t>1、扬尘污染</w:t>
      </w:r>
    </w:p>
    <w:p>
      <w:pPr>
        <w:ind w:firstLine="480" w:firstLineChars="200"/>
        <w:rPr>
          <w:sz w:val="24"/>
          <w:szCs w:val="24"/>
          <w:lang w:val="zh-CN"/>
        </w:rPr>
      </w:pPr>
      <w:r>
        <w:rPr>
          <w:sz w:val="24"/>
          <w:szCs w:val="24"/>
          <w:lang w:val="zh-CN"/>
        </w:rPr>
        <w:t>根据国内外的有关研究资料，施工扬尘的起尘量与许多因素有关，挖土机等在工作时的起尘量与挖坑深度、挖土机抓斗与地面的相对高度、风速、土壤的颗粒度、土壤含水量等有关。在不采取任何防治措施的情况下，不同的风速和稳定度下，挖土的扬尘对环境的浓度贡献都较大，特别是近距离大气中的TSP浓度会超过二级标准几倍，个别情况下可达到10倍以上，但随着距离的增加，浓度贡献衰减很快，至300米左右基本上满足二级标准。在采取一定的防护措施（如定期洒水降尘）后，在不同的风速和稳定度下，施工扬尘的浓度贡献值大幅下降。施工扬尘影响较大的区域一般在施工现场50米以内，在施工现场50米以外基本上满足二级标准。</w:t>
      </w:r>
    </w:p>
    <w:p>
      <w:pPr>
        <w:ind w:firstLine="480" w:firstLineChars="200"/>
        <w:rPr>
          <w:sz w:val="24"/>
          <w:szCs w:val="24"/>
          <w:lang w:val="zh-CN"/>
        </w:rPr>
      </w:pPr>
      <w:r>
        <w:rPr>
          <w:sz w:val="24"/>
          <w:szCs w:val="24"/>
          <w:lang w:val="zh-CN"/>
        </w:rPr>
        <w:t>项目施工采用商用混凝土，施工所需要的混凝土通过混凝土搅拌运输车从厂家直接运输到工地，因此本项目不存在搅拌混凝土扬尘影响。</w:t>
      </w:r>
    </w:p>
    <w:p>
      <w:pPr>
        <w:ind w:firstLine="480" w:firstLineChars="200"/>
        <w:rPr>
          <w:sz w:val="24"/>
          <w:szCs w:val="24"/>
          <w:lang w:val="zh-CN"/>
        </w:rPr>
      </w:pPr>
      <w:r>
        <w:rPr>
          <w:sz w:val="24"/>
          <w:szCs w:val="24"/>
          <w:lang w:val="zh-CN"/>
        </w:rPr>
        <w:t>工地道路扬尘强度与道路路面有关，颗粒物浓度最低的是水泥地面，其次是坚硬的土路，再次是一般土路，浓度最高的是浮土多的土路，由于以上路面的不同，其颗粒物浓度监测值比值依次为1:1.17:2.06:2.29，其超标倍数依次为2.9、3.6、7.1和8.0。在尘源30m以内颗粒物浓度均为上风向对照点2倍以上，其影响范围主要是道路两侧各50m的区域。</w:t>
      </w:r>
    </w:p>
    <w:p>
      <w:pPr>
        <w:ind w:firstLine="480" w:firstLineChars="200"/>
        <w:rPr>
          <w:sz w:val="24"/>
          <w:szCs w:val="24"/>
          <w:lang w:val="zh-CN"/>
        </w:rPr>
      </w:pPr>
      <w:r>
        <w:rPr>
          <w:sz w:val="24"/>
          <w:szCs w:val="24"/>
          <w:lang w:val="zh-CN"/>
        </w:rPr>
        <w:t>总的来说，建筑工地扬尘对大气的影响范围主要在工地围墙外100m以内。由于距离的不同，其污染影响程度亦不同。在扬尘点下风向0～50m为重污染带，50～100m为较重污染带，100～200m为轻污染带，200m以外对大气影响甚微。</w:t>
      </w:r>
    </w:p>
    <w:p>
      <w:pPr>
        <w:ind w:firstLine="480" w:firstLineChars="200"/>
        <w:rPr>
          <w:sz w:val="24"/>
          <w:szCs w:val="24"/>
        </w:rPr>
      </w:pPr>
      <w:r>
        <w:rPr>
          <w:sz w:val="24"/>
          <w:szCs w:val="24"/>
        </w:rPr>
        <w:t>2、机械设备废气</w:t>
      </w:r>
    </w:p>
    <w:p>
      <w:pPr>
        <w:ind w:firstLine="480" w:firstLineChars="200"/>
        <w:rPr>
          <w:sz w:val="24"/>
          <w:szCs w:val="24"/>
        </w:rPr>
      </w:pPr>
      <w:r>
        <w:rPr>
          <w:sz w:val="24"/>
          <w:szCs w:val="24"/>
        </w:rPr>
        <w:t>项目在建设施工过程中</w:t>
      </w:r>
      <w:r>
        <w:rPr>
          <w:sz w:val="24"/>
          <w:szCs w:val="24"/>
          <w:lang w:val="zh-CN"/>
        </w:rPr>
        <w:t>施工车辆、挖土机等因燃油产生的二氧化硫、氮氧化物、一氧化碳、烃类、TSP等空气污染物</w:t>
      </w:r>
      <w:r>
        <w:rPr>
          <w:sz w:val="24"/>
          <w:szCs w:val="24"/>
        </w:rPr>
        <w:t>对项目区域环境空气也会产生一定影响，但由于施工中燃油设备的使用率不高，</w:t>
      </w:r>
      <w:r>
        <w:rPr>
          <w:sz w:val="24"/>
          <w:szCs w:val="24"/>
          <w:lang w:val="zh-CN"/>
        </w:rPr>
        <w:t>此类污染物排放量不大，且表现为间续特征，可以预见，</w:t>
      </w:r>
      <w:r>
        <w:rPr>
          <w:sz w:val="24"/>
          <w:szCs w:val="24"/>
        </w:rPr>
        <w:t>燃油废气对区域大气环境的影响甚微。</w:t>
      </w:r>
    </w:p>
    <w:p>
      <w:pPr>
        <w:ind w:firstLine="588" w:firstLineChars="245"/>
        <w:rPr>
          <w:sz w:val="24"/>
          <w:szCs w:val="24"/>
        </w:rPr>
      </w:pPr>
      <w:r>
        <w:rPr>
          <w:sz w:val="24"/>
          <w:szCs w:val="24"/>
        </w:rPr>
        <w:t>3、装修废气</w:t>
      </w:r>
    </w:p>
    <w:p>
      <w:pPr>
        <w:ind w:firstLine="480" w:firstLineChars="200"/>
        <w:rPr>
          <w:sz w:val="24"/>
          <w:szCs w:val="24"/>
          <w:lang w:val="zh-CN"/>
        </w:rPr>
      </w:pPr>
      <w:r>
        <w:rPr>
          <w:sz w:val="24"/>
          <w:szCs w:val="24"/>
          <w:lang w:val="zh-CN"/>
        </w:rPr>
        <w:t>装修有机废气主要来源于装修过程中所使用的油漆、溶剂、板材、胶类，由于装修时采用的三合板和油漆中含有的甲醛、甲苯、二甲苯等有毒有害物质挥发时间较长且有损于人体身体健康，因此，建设单位应严把装修材料质量关，采用环保型装修材料，同时在装修期间应加强室内的通风换气，装修结束以后，应每天进行通风换气。</w:t>
      </w:r>
    </w:p>
    <w:p>
      <w:pPr>
        <w:ind w:firstLine="480" w:firstLineChars="200"/>
        <w:rPr>
          <w:sz w:val="24"/>
          <w:szCs w:val="24"/>
          <w:lang w:val="zh-CN"/>
        </w:rPr>
      </w:pPr>
      <w:r>
        <w:rPr>
          <w:sz w:val="24"/>
          <w:szCs w:val="24"/>
        </w:rPr>
        <w:t>在严格落实以上措施后，施工期产生的大气污染将得到有效控制，对施工人员以及周边居民的影响基本在人们可接受范围之内，对区域大气环境影响</w:t>
      </w:r>
      <w:r>
        <w:rPr>
          <w:rFonts w:hint="eastAsia"/>
          <w:sz w:val="24"/>
          <w:szCs w:val="24"/>
        </w:rPr>
        <w:t>可接受</w:t>
      </w:r>
      <w:r>
        <w:rPr>
          <w:sz w:val="24"/>
          <w:szCs w:val="24"/>
        </w:rPr>
        <w:t>。此外，施工期大气环境影响是暂时的、局部的，随着工程的建成完工而消失。</w:t>
      </w:r>
    </w:p>
    <w:p>
      <w:pPr>
        <w:rPr>
          <w:b/>
          <w:sz w:val="24"/>
          <w:szCs w:val="24"/>
        </w:rPr>
      </w:pPr>
      <w:bookmarkStart w:id="178" w:name="_Toc505071620"/>
      <w:r>
        <w:rPr>
          <w:b/>
          <w:sz w:val="24"/>
          <w:szCs w:val="24"/>
        </w:rPr>
        <w:t>4.1.2 施工期水环境影响分析</w:t>
      </w:r>
      <w:bookmarkEnd w:id="178"/>
    </w:p>
    <w:p>
      <w:pPr>
        <w:ind w:firstLine="480" w:firstLineChars="200"/>
        <w:rPr>
          <w:sz w:val="24"/>
          <w:szCs w:val="24"/>
          <w:lang w:val="zh-CN"/>
        </w:rPr>
      </w:pPr>
      <w:r>
        <w:rPr>
          <w:sz w:val="24"/>
          <w:szCs w:val="24"/>
        </w:rPr>
        <w:t>项目施工期主要道路将采用砼硬化路面，场地四周将敷设排水沟（管），并利用洼地修建临时沉淀池，含SS、微量机油的施工废水及场地的车辆清洗废水排入沉淀池进行沉淀澄清处理后回用。桩基工程产生的泥浆水，SS浓度高，肆意排放会造成周边沟、渠、雨水管道的堵塞，必须排入沉淀池进行沉淀澄清处理后回用，不得随意排放。</w:t>
      </w:r>
    </w:p>
    <w:p>
      <w:pPr>
        <w:ind w:firstLine="480" w:firstLineChars="200"/>
        <w:rPr>
          <w:sz w:val="24"/>
          <w:szCs w:val="24"/>
          <w:lang w:val="zh-CN"/>
        </w:rPr>
      </w:pPr>
      <w:r>
        <w:rPr>
          <w:sz w:val="24"/>
          <w:szCs w:val="24"/>
          <w:lang w:val="zh-CN"/>
        </w:rPr>
        <w:t>施工</w:t>
      </w:r>
      <w:r>
        <w:rPr>
          <w:sz w:val="24"/>
          <w:szCs w:val="24"/>
        </w:rPr>
        <w:t>场地污水（车辆清洗水、施工废水）经初步隔油、沉淀处理，沉淀时间不少于2小时，尽可能回用于施工用水；多余废水可就地泼洒，但应注意洒水量以及洒水地点的控制，避免施工废水进入沿周围干道漫流。施</w:t>
      </w:r>
      <w:r>
        <w:rPr>
          <w:sz w:val="24"/>
          <w:szCs w:val="24"/>
          <w:lang w:val="zh-CN"/>
        </w:rPr>
        <w:t>工机械设备的废机油及机修时排放的废油，虽然排放量不大，但含有高浓度有机物，若倒入水体会产生严重的水体污染，必须加强管理，及时收集，严禁乱倒，防止污染水环境。</w:t>
      </w:r>
    </w:p>
    <w:p>
      <w:pPr>
        <w:ind w:firstLine="480" w:firstLineChars="200"/>
        <w:rPr>
          <w:sz w:val="24"/>
          <w:szCs w:val="24"/>
          <w:lang w:val="zh-CN"/>
        </w:rPr>
      </w:pPr>
      <w:r>
        <w:rPr>
          <w:sz w:val="24"/>
          <w:szCs w:val="24"/>
          <w:lang w:val="zh-CN"/>
        </w:rPr>
        <w:t>挖方和填方在降雨时会有大量的泥沙流入下水道，致使水体浑浊，悬浮物增多，土壤颗粒吸附的化学物质进入水体，会使水中的pH值发生变化，因此，施工单位应做好建筑材料建筑废料以及土方的管理，防止它们成为地面水的二次污染源。</w:t>
      </w:r>
    </w:p>
    <w:p>
      <w:pPr>
        <w:ind w:firstLine="480" w:firstLineChars="200"/>
        <w:rPr>
          <w:sz w:val="24"/>
          <w:szCs w:val="24"/>
        </w:rPr>
      </w:pPr>
      <w:r>
        <w:rPr>
          <w:sz w:val="24"/>
          <w:szCs w:val="24"/>
        </w:rPr>
        <w:t>在采取上述措施后，项目施工废水对周围环境影响不大。</w:t>
      </w:r>
    </w:p>
    <w:p>
      <w:pPr>
        <w:autoSpaceDE w:val="0"/>
        <w:autoSpaceDN w:val="0"/>
        <w:rPr>
          <w:b/>
          <w:sz w:val="24"/>
          <w:szCs w:val="24"/>
          <w:lang w:val="zh-CN"/>
        </w:rPr>
      </w:pPr>
      <w:bookmarkStart w:id="179" w:name="_Toc505071621"/>
      <w:r>
        <w:rPr>
          <w:b/>
          <w:sz w:val="24"/>
          <w:szCs w:val="24"/>
          <w:lang w:val="zh-CN"/>
        </w:rPr>
        <w:t>4.1.3 施工期声环境影响分析</w:t>
      </w:r>
      <w:bookmarkEnd w:id="179"/>
    </w:p>
    <w:p>
      <w:pPr>
        <w:autoSpaceDE w:val="0"/>
        <w:autoSpaceDN w:val="0"/>
        <w:ind w:firstLine="588" w:firstLineChars="245"/>
        <w:rPr>
          <w:sz w:val="24"/>
          <w:szCs w:val="24"/>
          <w:lang w:val="zh-CN"/>
        </w:rPr>
      </w:pPr>
      <w:r>
        <w:rPr>
          <w:sz w:val="24"/>
          <w:szCs w:val="24"/>
          <w:lang w:val="zh-CN"/>
        </w:rPr>
        <w:t>1、施工期噪声特点</w:t>
      </w:r>
    </w:p>
    <w:p>
      <w:pPr>
        <w:autoSpaceDE w:val="0"/>
        <w:autoSpaceDN w:val="0"/>
        <w:ind w:firstLine="471"/>
        <w:rPr>
          <w:sz w:val="24"/>
          <w:szCs w:val="24"/>
          <w:lang w:val="zh-CN"/>
        </w:rPr>
      </w:pPr>
      <w:r>
        <w:rPr>
          <w:sz w:val="24"/>
          <w:szCs w:val="24"/>
          <w:lang w:val="zh-CN"/>
        </w:rPr>
        <w:t>施工期的噪声污染特点是随着施工阶段的不同，噪声源将发生明显的变化，噪声影响程度也有所不同。高噪声施工机械相对集中于土方期和结构期，施工时间也相对较长。施工期声源都在室外，影响范围较远，装修期大部分声源在室内，有墙壁阻隔降噪。综合分析，施工噪声具有阶段性、临时性和不固定性，不同的施工设备产生的噪声不同，在多台机械设备同时作业时，各台设备产生的噪声会产生叠加。</w:t>
      </w:r>
    </w:p>
    <w:p>
      <w:pPr>
        <w:autoSpaceDE w:val="0"/>
        <w:autoSpaceDN w:val="0"/>
        <w:ind w:firstLine="592" w:firstLineChars="247"/>
        <w:rPr>
          <w:sz w:val="24"/>
          <w:szCs w:val="24"/>
          <w:lang w:val="zh-CN"/>
        </w:rPr>
      </w:pPr>
      <w:r>
        <w:rPr>
          <w:sz w:val="24"/>
          <w:szCs w:val="24"/>
          <w:lang w:val="zh-CN"/>
        </w:rPr>
        <w:t>2、噪声预测模式</w:t>
      </w:r>
    </w:p>
    <w:p>
      <w:pPr>
        <w:tabs>
          <w:tab w:val="left" w:pos="540"/>
        </w:tabs>
        <w:autoSpaceDE w:val="0"/>
        <w:autoSpaceDN w:val="0"/>
        <w:ind w:firstLine="480" w:firstLineChars="200"/>
        <w:rPr>
          <w:sz w:val="24"/>
          <w:szCs w:val="24"/>
          <w:lang w:val="zh-CN"/>
        </w:rPr>
      </w:pPr>
      <w:r>
        <w:rPr>
          <w:sz w:val="24"/>
          <w:szCs w:val="24"/>
          <w:lang w:val="zh-CN"/>
        </w:rPr>
        <w:t>点声源选用半自由场点声源几何发散衰减公式和多点源相互叠加公式。</w:t>
      </w:r>
    </w:p>
    <w:p>
      <w:pPr>
        <w:autoSpaceDE w:val="0"/>
        <w:autoSpaceDN w:val="0"/>
        <w:ind w:firstLine="600" w:firstLineChars="250"/>
        <w:rPr>
          <w:sz w:val="24"/>
          <w:szCs w:val="24"/>
          <w:lang w:val="zh-CN"/>
        </w:rPr>
      </w:pPr>
      <w:r>
        <w:rPr>
          <w:sz w:val="24"/>
          <w:szCs w:val="24"/>
        </w:rPr>
        <w:t>A.</w:t>
      </w:r>
      <w:r>
        <w:rPr>
          <w:sz w:val="24"/>
          <w:szCs w:val="24"/>
          <w:lang w:val="zh-CN"/>
        </w:rPr>
        <w:t>点声源几何发散衰减模式</w:t>
      </w:r>
    </w:p>
    <w:p>
      <w:pPr>
        <w:autoSpaceDE w:val="0"/>
        <w:autoSpaceDN w:val="0"/>
        <w:ind w:firstLine="436" w:firstLineChars="182"/>
        <w:rPr>
          <w:sz w:val="24"/>
          <w:szCs w:val="24"/>
          <w:lang w:val="zh-CN"/>
        </w:rPr>
      </w:pPr>
      <w:r>
        <w:rPr>
          <w:sz w:val="24"/>
          <w:szCs w:val="24"/>
          <w:lang w:val="zh-CN"/>
        </w:rPr>
        <w:t>鉴于空气吸收引起的衰减很小，且频率、空气相对湿度等因素具有较大的不确定性，所以不考虑空气吸收引起的衰减。在本次预测中，主要考虑几何发散衰减。每个点源对预测点的声级L</w:t>
      </w:r>
      <w:r>
        <w:rPr>
          <w:sz w:val="24"/>
          <w:szCs w:val="24"/>
          <w:vertAlign w:val="subscript"/>
          <w:lang w:val="zh-CN"/>
        </w:rPr>
        <w:t>P</w:t>
      </w:r>
      <w:r>
        <w:rPr>
          <w:sz w:val="24"/>
          <w:szCs w:val="24"/>
          <w:lang w:val="zh-CN"/>
        </w:rPr>
        <w:t>按下式计算：</w:t>
      </w:r>
    </w:p>
    <w:p>
      <w:pPr>
        <w:autoSpaceDE w:val="0"/>
        <w:autoSpaceDN w:val="0"/>
        <w:jc w:val="center"/>
        <w:rPr>
          <w:sz w:val="24"/>
          <w:szCs w:val="24"/>
        </w:rPr>
      </w:pPr>
      <w:r>
        <w:rPr>
          <w:sz w:val="24"/>
          <w:szCs w:val="24"/>
        </w:rPr>
        <w:t>L</w:t>
      </w:r>
      <w:r>
        <w:rPr>
          <w:sz w:val="24"/>
          <w:szCs w:val="24"/>
          <w:vertAlign w:val="subscript"/>
        </w:rPr>
        <w:t>P</w:t>
      </w:r>
      <w:r>
        <w:rPr>
          <w:sz w:val="24"/>
          <w:szCs w:val="24"/>
        </w:rPr>
        <w:t xml:space="preserve"> = L</w:t>
      </w:r>
      <w:r>
        <w:rPr>
          <w:sz w:val="24"/>
          <w:szCs w:val="24"/>
          <w:vertAlign w:val="subscript"/>
        </w:rPr>
        <w:t>P0</w:t>
      </w:r>
      <w:r>
        <w:rPr>
          <w:sz w:val="24"/>
          <w:szCs w:val="24"/>
        </w:rPr>
        <w:t xml:space="preserve"> -20Lg（r/r</w:t>
      </w:r>
      <w:r>
        <w:rPr>
          <w:sz w:val="24"/>
          <w:szCs w:val="24"/>
          <w:vertAlign w:val="subscript"/>
        </w:rPr>
        <w:t>0</w:t>
      </w:r>
      <w:r>
        <w:rPr>
          <w:sz w:val="24"/>
          <w:szCs w:val="24"/>
        </w:rPr>
        <w:t>）-△L</w:t>
      </w:r>
    </w:p>
    <w:p>
      <w:pPr>
        <w:autoSpaceDE w:val="0"/>
        <w:autoSpaceDN w:val="0"/>
        <w:ind w:firstLine="480"/>
        <w:rPr>
          <w:sz w:val="24"/>
          <w:szCs w:val="24"/>
          <w:lang w:val="zh-CN"/>
        </w:rPr>
      </w:pPr>
      <w:r>
        <w:rPr>
          <w:sz w:val="24"/>
          <w:szCs w:val="24"/>
          <w:lang w:val="zh-CN"/>
        </w:rPr>
        <w:t>式中 ： L</w:t>
      </w:r>
      <w:r>
        <w:rPr>
          <w:sz w:val="24"/>
          <w:szCs w:val="24"/>
          <w:vertAlign w:val="subscript"/>
          <w:lang w:val="zh-CN"/>
        </w:rPr>
        <w:t>P</w:t>
      </w:r>
      <w:r>
        <w:rPr>
          <w:sz w:val="24"/>
          <w:szCs w:val="24"/>
          <w:lang w:val="zh-CN"/>
        </w:rPr>
        <w:t xml:space="preserve"> ——距离声源r处的声级dB（A）；：</w:t>
      </w:r>
    </w:p>
    <w:p>
      <w:pPr>
        <w:autoSpaceDE w:val="0"/>
        <w:autoSpaceDN w:val="0"/>
        <w:ind w:firstLine="1430"/>
        <w:rPr>
          <w:sz w:val="24"/>
          <w:szCs w:val="24"/>
          <w:lang w:val="zh-CN"/>
        </w:rPr>
      </w:pPr>
      <w:r>
        <w:rPr>
          <w:sz w:val="24"/>
          <w:szCs w:val="24"/>
          <w:lang w:val="zh-CN"/>
        </w:rPr>
        <w:t>L</w:t>
      </w:r>
      <w:r>
        <w:rPr>
          <w:sz w:val="24"/>
          <w:szCs w:val="24"/>
          <w:vertAlign w:val="subscript"/>
          <w:lang w:val="zh-CN"/>
        </w:rPr>
        <w:t xml:space="preserve">P0 </w:t>
      </w:r>
      <w:r>
        <w:rPr>
          <w:sz w:val="24"/>
          <w:szCs w:val="24"/>
          <w:lang w:val="zh-CN"/>
        </w:rPr>
        <w:t>——距离声源r</w:t>
      </w:r>
      <w:r>
        <w:rPr>
          <w:sz w:val="24"/>
          <w:szCs w:val="24"/>
          <w:vertAlign w:val="subscript"/>
          <w:lang w:val="zh-CN"/>
        </w:rPr>
        <w:t>0</w:t>
      </w:r>
      <w:r>
        <w:rPr>
          <w:sz w:val="24"/>
          <w:szCs w:val="24"/>
          <w:lang w:val="zh-CN"/>
        </w:rPr>
        <w:t>处的声级dB（A）；</w:t>
      </w:r>
    </w:p>
    <w:p>
      <w:pPr>
        <w:autoSpaceDE w:val="0"/>
        <w:autoSpaceDN w:val="0"/>
        <w:ind w:firstLine="1430"/>
        <w:rPr>
          <w:sz w:val="24"/>
          <w:szCs w:val="24"/>
          <w:lang w:val="zh-CN"/>
        </w:rPr>
      </w:pPr>
      <w:r>
        <w:rPr>
          <w:sz w:val="24"/>
          <w:szCs w:val="24"/>
          <w:lang w:val="zh-CN"/>
        </w:rPr>
        <w:t>r  ——预测点与声源之间的距离，m；</w:t>
      </w:r>
    </w:p>
    <w:p>
      <w:pPr>
        <w:autoSpaceDE w:val="0"/>
        <w:autoSpaceDN w:val="0"/>
        <w:ind w:firstLine="1400"/>
        <w:rPr>
          <w:sz w:val="24"/>
          <w:szCs w:val="24"/>
          <w:lang w:val="zh-CN"/>
        </w:rPr>
      </w:pPr>
      <w:r>
        <w:rPr>
          <w:sz w:val="24"/>
          <w:szCs w:val="24"/>
          <w:lang w:val="zh-CN"/>
        </w:rPr>
        <w:t>r</w:t>
      </w:r>
      <w:r>
        <w:rPr>
          <w:sz w:val="24"/>
          <w:szCs w:val="24"/>
          <w:vertAlign w:val="subscript"/>
          <w:lang w:val="zh-CN"/>
        </w:rPr>
        <w:t xml:space="preserve">0  </w:t>
      </w:r>
      <w:r>
        <w:rPr>
          <w:sz w:val="24"/>
          <w:szCs w:val="24"/>
          <w:lang w:val="zh-CN"/>
        </w:rPr>
        <w:t>——参考处与声源之间的距离，m；</w:t>
      </w:r>
    </w:p>
    <w:p>
      <w:pPr>
        <w:autoSpaceDE w:val="0"/>
        <w:autoSpaceDN w:val="0"/>
        <w:ind w:firstLine="1320" w:firstLineChars="550"/>
        <w:rPr>
          <w:sz w:val="24"/>
          <w:szCs w:val="24"/>
          <w:lang w:val="zh-CN"/>
        </w:rPr>
      </w:pPr>
      <w:r>
        <w:rPr>
          <w:sz w:val="24"/>
          <w:szCs w:val="24"/>
          <w:lang w:val="zh-CN"/>
        </w:rPr>
        <w:t>△L——声屏障等引起的噪声衰减量dB（A）。</w:t>
      </w:r>
    </w:p>
    <w:p>
      <w:pPr>
        <w:autoSpaceDE w:val="0"/>
        <w:autoSpaceDN w:val="0"/>
        <w:ind w:firstLine="600" w:firstLineChars="250"/>
        <w:rPr>
          <w:sz w:val="24"/>
          <w:szCs w:val="24"/>
          <w:lang w:val="zh-CN"/>
        </w:rPr>
      </w:pPr>
      <w:r>
        <w:rPr>
          <w:sz w:val="24"/>
          <w:szCs w:val="24"/>
        </w:rPr>
        <w:t>B.</w:t>
      </w:r>
      <w:r>
        <w:rPr>
          <w:sz w:val="24"/>
          <w:szCs w:val="24"/>
          <w:lang w:val="zh-CN"/>
        </w:rPr>
        <w:t>多点源声级叠加模式</w:t>
      </w:r>
    </w:p>
    <w:p>
      <w:pPr>
        <w:autoSpaceDE w:val="0"/>
        <w:autoSpaceDN w:val="0"/>
        <w:ind w:firstLine="482"/>
        <w:rPr>
          <w:sz w:val="24"/>
          <w:szCs w:val="24"/>
          <w:lang w:val="zh-CN"/>
        </w:rPr>
      </w:pPr>
      <w:r>
        <w:rPr>
          <w:sz w:val="24"/>
          <w:szCs w:val="24"/>
          <w:lang w:val="zh-CN"/>
        </w:rPr>
        <w:t>多个点源在预测点产生的总等效声级[L</w:t>
      </w:r>
      <w:r>
        <w:rPr>
          <w:sz w:val="24"/>
          <w:szCs w:val="24"/>
          <w:vertAlign w:val="subscript"/>
          <w:lang w:val="zh-CN"/>
        </w:rPr>
        <w:t>eq</w:t>
      </w:r>
      <w:r>
        <w:rPr>
          <w:sz w:val="24"/>
          <w:szCs w:val="24"/>
          <w:lang w:val="zh-CN"/>
        </w:rPr>
        <w:t>（总）]采用以下计算公式：</w:t>
      </w:r>
    </w:p>
    <w:p>
      <w:pPr>
        <w:autoSpaceDE w:val="0"/>
        <w:autoSpaceDN w:val="0"/>
        <w:jc w:val="center"/>
        <w:rPr>
          <w:color w:val="000000"/>
          <w:sz w:val="24"/>
          <w:szCs w:val="24"/>
        </w:rPr>
      </w:pPr>
      <w:r>
        <w:rPr>
          <w:color w:val="000000"/>
          <w:sz w:val="24"/>
          <w:szCs w:val="24"/>
        </w:rPr>
        <w:t>L</w:t>
      </w:r>
      <w:r>
        <w:rPr>
          <w:color w:val="000000"/>
          <w:sz w:val="24"/>
          <w:szCs w:val="24"/>
          <w:vertAlign w:val="subscript"/>
        </w:rPr>
        <w:t>eq</w:t>
      </w:r>
      <w:r>
        <w:rPr>
          <w:color w:val="000000"/>
          <w:sz w:val="24"/>
          <w:szCs w:val="24"/>
        </w:rPr>
        <w:t>=10Lg[</w:t>
      </w:r>
      <w:r>
        <w:rPr>
          <w:color w:val="000000"/>
          <w:position w:val="-28"/>
          <w:sz w:val="24"/>
          <w:szCs w:val="24"/>
        </w:rPr>
        <w:object>
          <v:shape id="_x0000_i1028" o:spt="75" type="#_x0000_t75" style="height:37.4pt;width:13.55pt;" o:ole="t" filled="f" o:preferrelative="t" stroked="f" coordsize="21600,21600">
            <v:path/>
            <v:fill on="f" focussize="0,0"/>
            <v:stroke on="f" joinstyle="miter"/>
            <v:imagedata r:id="rId30" o:title=""/>
            <o:lock v:ext="edit" aspectratio="t"/>
            <w10:wrap type="none"/>
            <w10:anchorlock/>
          </v:shape>
          <o:OLEObject Type="Embed" ProgID="Equation.3" ShapeID="_x0000_i1028" DrawAspect="Content" ObjectID="_1468075728" r:id="rId29">
            <o:LockedField>false</o:LockedField>
          </o:OLEObject>
        </w:object>
      </w:r>
      <w:r>
        <w:rPr>
          <w:color w:val="000000"/>
          <w:sz w:val="24"/>
          <w:szCs w:val="24"/>
        </w:rPr>
        <w:t>10</w:t>
      </w:r>
      <w:r>
        <w:rPr>
          <w:color w:val="000000"/>
          <w:sz w:val="24"/>
          <w:szCs w:val="24"/>
          <w:vertAlign w:val="superscript"/>
        </w:rPr>
        <w:t>0.1Leqi</w:t>
      </w:r>
      <w:r>
        <w:rPr>
          <w:color w:val="000000"/>
          <w:sz w:val="24"/>
          <w:szCs w:val="24"/>
        </w:rPr>
        <w:t>]</w:t>
      </w:r>
    </w:p>
    <w:p>
      <w:pPr>
        <w:autoSpaceDE w:val="0"/>
        <w:autoSpaceDN w:val="0"/>
        <w:ind w:firstLine="561"/>
        <w:rPr>
          <w:sz w:val="24"/>
          <w:szCs w:val="24"/>
          <w:lang w:val="zh-CN"/>
        </w:rPr>
      </w:pPr>
      <w:r>
        <w:rPr>
          <w:sz w:val="24"/>
          <w:szCs w:val="24"/>
          <w:lang w:val="zh-CN"/>
        </w:rPr>
        <w:t>式中：L</w:t>
      </w:r>
      <w:r>
        <w:rPr>
          <w:sz w:val="24"/>
          <w:szCs w:val="24"/>
          <w:vertAlign w:val="subscript"/>
          <w:lang w:val="zh-CN"/>
        </w:rPr>
        <w:t>eq</w:t>
      </w:r>
      <w:r>
        <w:rPr>
          <w:sz w:val="24"/>
          <w:szCs w:val="24"/>
          <w:lang w:val="zh-CN"/>
        </w:rPr>
        <w:t>（总）——预测点的总等效声级dB（A）；</w:t>
      </w:r>
    </w:p>
    <w:p>
      <w:pPr>
        <w:autoSpaceDE w:val="0"/>
        <w:autoSpaceDN w:val="0"/>
        <w:ind w:firstLine="1440" w:firstLineChars="600"/>
        <w:rPr>
          <w:sz w:val="24"/>
          <w:szCs w:val="24"/>
          <w:lang w:val="zh-CN"/>
        </w:rPr>
      </w:pPr>
      <w:r>
        <w:rPr>
          <w:sz w:val="24"/>
          <w:szCs w:val="24"/>
          <w:lang w:val="zh-CN"/>
        </w:rPr>
        <w:t>L</w:t>
      </w:r>
      <w:r>
        <w:rPr>
          <w:sz w:val="24"/>
          <w:szCs w:val="24"/>
          <w:vertAlign w:val="subscript"/>
          <w:lang w:val="zh-CN"/>
        </w:rPr>
        <w:t>eqi</w:t>
      </w:r>
      <w:r>
        <w:rPr>
          <w:sz w:val="24"/>
          <w:szCs w:val="24"/>
          <w:lang w:val="zh-CN"/>
        </w:rPr>
        <w:t>——第i个声源对某个预测点的等效声级dB（A）；</w:t>
      </w:r>
    </w:p>
    <w:p>
      <w:pPr>
        <w:autoSpaceDE w:val="0"/>
        <w:autoSpaceDN w:val="0"/>
        <w:ind w:firstLine="1560" w:firstLineChars="650"/>
        <w:rPr>
          <w:sz w:val="24"/>
          <w:szCs w:val="24"/>
          <w:lang w:val="zh-CN"/>
        </w:rPr>
      </w:pPr>
      <w:r>
        <w:rPr>
          <w:sz w:val="24"/>
          <w:szCs w:val="24"/>
          <w:lang w:val="zh-CN"/>
        </w:rPr>
        <w:t>n——噪声源数。</w:t>
      </w:r>
    </w:p>
    <w:p>
      <w:pPr>
        <w:pStyle w:val="13"/>
        <w:ind w:firstLine="600" w:firstLineChars="250"/>
        <w:rPr>
          <w:rFonts w:ascii="Times New Roman" w:hAnsi="Times New Roman"/>
          <w:sz w:val="24"/>
          <w:szCs w:val="24"/>
        </w:rPr>
      </w:pPr>
      <w:r>
        <w:rPr>
          <w:rFonts w:ascii="Times New Roman" w:hAnsi="Times New Roman"/>
          <w:sz w:val="24"/>
          <w:szCs w:val="24"/>
        </w:rPr>
        <w:t>C.主要噪声源强</w:t>
      </w:r>
    </w:p>
    <w:p>
      <w:pPr>
        <w:pStyle w:val="13"/>
        <w:spacing w:line="240" w:lineRule="auto"/>
        <w:jc w:val="center"/>
        <w:rPr>
          <w:rFonts w:ascii="Times New Roman" w:hAnsi="Times New Roman"/>
          <w:b/>
          <w:sz w:val="24"/>
          <w:szCs w:val="24"/>
        </w:rPr>
      </w:pPr>
      <w:r>
        <w:rPr>
          <w:rFonts w:ascii="Times New Roman" w:hAnsi="Times New Roman"/>
          <w:b/>
          <w:sz w:val="24"/>
          <w:szCs w:val="24"/>
        </w:rPr>
        <w:t>表4.1-1  建筑施工机械噪声声级</w:t>
      </w:r>
    </w:p>
    <w:tbl>
      <w:tblPr>
        <w:tblStyle w:val="22"/>
        <w:tblW w:w="87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95"/>
        <w:gridCol w:w="3137"/>
        <w:gridCol w:w="25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2995" w:type="dxa"/>
            <w:vAlign w:val="center"/>
          </w:tcPr>
          <w:p>
            <w:pPr>
              <w:autoSpaceDE w:val="0"/>
              <w:autoSpaceDN w:val="0"/>
              <w:spacing w:line="240" w:lineRule="auto"/>
              <w:rPr>
                <w:lang w:val="zh-CN"/>
              </w:rPr>
            </w:pPr>
            <w:r>
              <w:rPr>
                <w:lang w:val="zh-CN"/>
              </w:rPr>
              <w:t xml:space="preserve"> 设备名称</w:t>
            </w:r>
          </w:p>
        </w:tc>
        <w:tc>
          <w:tcPr>
            <w:tcW w:w="3137" w:type="dxa"/>
            <w:vAlign w:val="center"/>
          </w:tcPr>
          <w:p>
            <w:pPr>
              <w:autoSpaceDE w:val="0"/>
              <w:autoSpaceDN w:val="0"/>
              <w:spacing w:line="240" w:lineRule="auto"/>
              <w:jc w:val="center"/>
              <w:rPr>
                <w:lang w:val="zh-CN"/>
              </w:rPr>
            </w:pPr>
            <w:r>
              <w:rPr>
                <w:lang w:val="zh-CN"/>
              </w:rPr>
              <w:t>声级/距离[dB（A）/m]</w:t>
            </w:r>
          </w:p>
        </w:tc>
        <w:tc>
          <w:tcPr>
            <w:tcW w:w="2588" w:type="dxa"/>
            <w:vAlign w:val="center"/>
          </w:tcPr>
          <w:p>
            <w:pPr>
              <w:autoSpaceDE w:val="0"/>
              <w:autoSpaceDN w:val="0"/>
              <w:spacing w:line="240" w:lineRule="auto"/>
              <w:jc w:val="center"/>
              <w:rPr>
                <w:lang w:val="zh-CN"/>
              </w:rPr>
            </w:pPr>
            <w:r>
              <w:rPr>
                <w:lang w:val="zh-CN"/>
              </w:rPr>
              <w:t>指向性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2995" w:type="dxa"/>
            <w:vAlign w:val="center"/>
          </w:tcPr>
          <w:p>
            <w:pPr>
              <w:autoSpaceDE w:val="0"/>
              <w:autoSpaceDN w:val="0"/>
              <w:spacing w:line="240" w:lineRule="auto"/>
              <w:jc w:val="center"/>
            </w:pPr>
            <w:r>
              <w:t>190</w:t>
            </w:r>
            <w:r>
              <w:rPr>
                <w:lang w:val="zh-CN"/>
              </w:rPr>
              <w:t>翻斗车</w:t>
            </w:r>
          </w:p>
        </w:tc>
        <w:tc>
          <w:tcPr>
            <w:tcW w:w="3137" w:type="dxa"/>
            <w:vAlign w:val="center"/>
          </w:tcPr>
          <w:p>
            <w:pPr>
              <w:autoSpaceDE w:val="0"/>
              <w:autoSpaceDN w:val="0"/>
              <w:spacing w:line="240" w:lineRule="auto"/>
              <w:jc w:val="center"/>
            </w:pPr>
            <w:r>
              <w:t>82.0/5</w:t>
            </w:r>
          </w:p>
        </w:tc>
        <w:tc>
          <w:tcPr>
            <w:tcW w:w="2588" w:type="dxa"/>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2995" w:type="dxa"/>
            <w:vAlign w:val="center"/>
          </w:tcPr>
          <w:p>
            <w:pPr>
              <w:autoSpaceDE w:val="0"/>
              <w:autoSpaceDN w:val="0"/>
              <w:spacing w:line="240" w:lineRule="auto"/>
              <w:jc w:val="center"/>
            </w:pPr>
            <w:r>
              <w:t>ZL—90</w:t>
            </w:r>
            <w:r>
              <w:rPr>
                <w:lang w:val="zh-CN"/>
              </w:rPr>
              <w:t>装载机</w:t>
            </w:r>
          </w:p>
        </w:tc>
        <w:tc>
          <w:tcPr>
            <w:tcW w:w="3137" w:type="dxa"/>
            <w:vAlign w:val="center"/>
          </w:tcPr>
          <w:p>
            <w:pPr>
              <w:autoSpaceDE w:val="0"/>
              <w:autoSpaceDN w:val="0"/>
              <w:spacing w:line="240" w:lineRule="auto"/>
              <w:jc w:val="center"/>
            </w:pPr>
            <w:r>
              <w:t>82.0/5</w:t>
            </w:r>
          </w:p>
        </w:tc>
        <w:tc>
          <w:tcPr>
            <w:tcW w:w="2588" w:type="dxa"/>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2995" w:type="dxa"/>
            <w:vAlign w:val="center"/>
          </w:tcPr>
          <w:p>
            <w:pPr>
              <w:autoSpaceDE w:val="0"/>
              <w:autoSpaceDN w:val="0"/>
              <w:spacing w:line="240" w:lineRule="auto"/>
              <w:jc w:val="center"/>
            </w:pPr>
            <w:r>
              <w:t>75</w:t>
            </w:r>
            <w:r>
              <w:rPr>
                <w:lang w:val="zh-CN"/>
              </w:rPr>
              <w:t>马力推土机</w:t>
            </w:r>
          </w:p>
        </w:tc>
        <w:tc>
          <w:tcPr>
            <w:tcW w:w="3137" w:type="dxa"/>
            <w:vAlign w:val="center"/>
          </w:tcPr>
          <w:p>
            <w:pPr>
              <w:autoSpaceDE w:val="0"/>
              <w:autoSpaceDN w:val="0"/>
              <w:spacing w:line="240" w:lineRule="auto"/>
              <w:jc w:val="center"/>
            </w:pPr>
            <w:r>
              <w:t>86.0/5</w:t>
            </w:r>
          </w:p>
        </w:tc>
        <w:tc>
          <w:tcPr>
            <w:tcW w:w="2588" w:type="dxa"/>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2995" w:type="dxa"/>
            <w:vAlign w:val="center"/>
          </w:tcPr>
          <w:p>
            <w:pPr>
              <w:autoSpaceDE w:val="0"/>
              <w:autoSpaceDN w:val="0"/>
              <w:spacing w:line="240" w:lineRule="auto"/>
              <w:jc w:val="center"/>
            </w:pPr>
            <w:r>
              <w:t>UB1232</w:t>
            </w:r>
            <w:r>
              <w:rPr>
                <w:lang w:val="zh-CN"/>
              </w:rPr>
              <w:t>挖掘机</w:t>
            </w:r>
          </w:p>
        </w:tc>
        <w:tc>
          <w:tcPr>
            <w:tcW w:w="3137" w:type="dxa"/>
            <w:vAlign w:val="center"/>
          </w:tcPr>
          <w:p>
            <w:pPr>
              <w:autoSpaceDE w:val="0"/>
              <w:autoSpaceDN w:val="0"/>
              <w:spacing w:line="240" w:lineRule="auto"/>
              <w:jc w:val="center"/>
            </w:pPr>
            <w:r>
              <w:t>84.0/5</w:t>
            </w:r>
          </w:p>
        </w:tc>
        <w:tc>
          <w:tcPr>
            <w:tcW w:w="2588" w:type="dxa"/>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2995" w:type="dxa"/>
            <w:vAlign w:val="center"/>
          </w:tcPr>
          <w:p>
            <w:pPr>
              <w:autoSpaceDE w:val="0"/>
              <w:autoSpaceDN w:val="0"/>
              <w:spacing w:line="240" w:lineRule="auto"/>
              <w:jc w:val="center"/>
            </w:pPr>
            <w:r>
              <w:t>Py160A</w:t>
            </w:r>
            <w:r>
              <w:rPr>
                <w:lang w:val="zh-CN"/>
              </w:rPr>
              <w:t>平地机</w:t>
            </w:r>
          </w:p>
        </w:tc>
        <w:tc>
          <w:tcPr>
            <w:tcW w:w="3137" w:type="dxa"/>
            <w:vAlign w:val="center"/>
          </w:tcPr>
          <w:p>
            <w:pPr>
              <w:autoSpaceDE w:val="0"/>
              <w:autoSpaceDN w:val="0"/>
              <w:spacing w:line="240" w:lineRule="auto"/>
              <w:jc w:val="center"/>
            </w:pPr>
            <w:r>
              <w:t>87.0/5</w:t>
            </w:r>
          </w:p>
        </w:tc>
        <w:tc>
          <w:tcPr>
            <w:tcW w:w="2588" w:type="dxa"/>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2995" w:type="dxa"/>
            <w:vAlign w:val="center"/>
          </w:tcPr>
          <w:p>
            <w:pPr>
              <w:autoSpaceDE w:val="0"/>
              <w:autoSpaceDN w:val="0"/>
              <w:spacing w:line="240" w:lineRule="auto"/>
              <w:jc w:val="center"/>
            </w:pPr>
            <w:r>
              <w:t>振捣棒</w:t>
            </w:r>
          </w:p>
        </w:tc>
        <w:tc>
          <w:tcPr>
            <w:tcW w:w="3137" w:type="dxa"/>
            <w:vAlign w:val="center"/>
          </w:tcPr>
          <w:p>
            <w:pPr>
              <w:autoSpaceDE w:val="0"/>
              <w:autoSpaceDN w:val="0"/>
              <w:spacing w:line="240" w:lineRule="auto"/>
              <w:jc w:val="center"/>
            </w:pPr>
            <w:r>
              <w:t>82.0/5</w:t>
            </w:r>
          </w:p>
        </w:tc>
        <w:tc>
          <w:tcPr>
            <w:tcW w:w="2588" w:type="dxa"/>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2995" w:type="dxa"/>
            <w:vAlign w:val="center"/>
          </w:tcPr>
          <w:p>
            <w:pPr>
              <w:autoSpaceDE w:val="0"/>
              <w:autoSpaceDN w:val="0"/>
              <w:spacing w:line="240" w:lineRule="auto"/>
              <w:jc w:val="center"/>
            </w:pPr>
            <w:r>
              <w:t>砼输送泵</w:t>
            </w:r>
          </w:p>
        </w:tc>
        <w:tc>
          <w:tcPr>
            <w:tcW w:w="3137" w:type="dxa"/>
            <w:vAlign w:val="center"/>
          </w:tcPr>
          <w:p>
            <w:pPr>
              <w:autoSpaceDE w:val="0"/>
              <w:autoSpaceDN w:val="0"/>
              <w:spacing w:line="240" w:lineRule="auto"/>
              <w:jc w:val="center"/>
            </w:pPr>
            <w:r>
              <w:t>87.0/5</w:t>
            </w:r>
          </w:p>
        </w:tc>
        <w:tc>
          <w:tcPr>
            <w:tcW w:w="2588" w:type="dxa"/>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2995" w:type="dxa"/>
            <w:vAlign w:val="center"/>
          </w:tcPr>
          <w:p>
            <w:pPr>
              <w:autoSpaceDE w:val="0"/>
              <w:autoSpaceDN w:val="0"/>
              <w:spacing w:line="240" w:lineRule="auto"/>
              <w:jc w:val="center"/>
            </w:pPr>
            <w:r>
              <w:t>切割机</w:t>
            </w:r>
          </w:p>
        </w:tc>
        <w:tc>
          <w:tcPr>
            <w:tcW w:w="3137" w:type="dxa"/>
            <w:vAlign w:val="center"/>
          </w:tcPr>
          <w:p>
            <w:pPr>
              <w:autoSpaceDE w:val="0"/>
              <w:autoSpaceDN w:val="0"/>
              <w:spacing w:line="240" w:lineRule="auto"/>
              <w:jc w:val="center"/>
            </w:pPr>
            <w:r>
              <w:t>82.0/5</w:t>
            </w:r>
          </w:p>
        </w:tc>
        <w:tc>
          <w:tcPr>
            <w:tcW w:w="2588" w:type="dxa"/>
            <w:vAlign w:val="center"/>
          </w:tcPr>
          <w:p>
            <w:pPr>
              <w:autoSpaceDE w:val="0"/>
              <w:autoSpaceDN w:val="0"/>
              <w:spacing w:line="240" w:lineRule="auto"/>
              <w:jc w:val="center"/>
              <w:rPr>
                <w:lang w:val="zh-CN"/>
              </w:rPr>
            </w:pPr>
            <w:r>
              <w:rPr>
                <w:lang w:val="zh-CN"/>
              </w:rPr>
              <w:t>有指向性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2995" w:type="dxa"/>
            <w:vAlign w:val="center"/>
          </w:tcPr>
          <w:p>
            <w:pPr>
              <w:autoSpaceDE w:val="0"/>
              <w:autoSpaceDN w:val="0"/>
              <w:spacing w:line="240" w:lineRule="auto"/>
              <w:jc w:val="center"/>
            </w:pPr>
            <w:r>
              <w:t>磨石机</w:t>
            </w:r>
          </w:p>
        </w:tc>
        <w:tc>
          <w:tcPr>
            <w:tcW w:w="3137" w:type="dxa"/>
            <w:vAlign w:val="center"/>
          </w:tcPr>
          <w:p>
            <w:pPr>
              <w:autoSpaceDE w:val="0"/>
              <w:autoSpaceDN w:val="0"/>
              <w:spacing w:line="240" w:lineRule="auto"/>
              <w:jc w:val="center"/>
            </w:pPr>
            <w:r>
              <w:t>82.0/5</w:t>
            </w:r>
          </w:p>
        </w:tc>
        <w:tc>
          <w:tcPr>
            <w:tcW w:w="2588" w:type="dxa"/>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2995" w:type="dxa"/>
            <w:vAlign w:val="center"/>
          </w:tcPr>
          <w:p>
            <w:pPr>
              <w:autoSpaceDE w:val="0"/>
              <w:autoSpaceDN w:val="0"/>
              <w:spacing w:line="240" w:lineRule="auto"/>
              <w:jc w:val="center"/>
            </w:pPr>
            <w:r>
              <w:t>砂轮锯</w:t>
            </w:r>
          </w:p>
        </w:tc>
        <w:tc>
          <w:tcPr>
            <w:tcW w:w="3137" w:type="dxa"/>
            <w:vAlign w:val="center"/>
          </w:tcPr>
          <w:p>
            <w:pPr>
              <w:autoSpaceDE w:val="0"/>
              <w:autoSpaceDN w:val="0"/>
              <w:spacing w:line="240" w:lineRule="auto"/>
              <w:jc w:val="center"/>
            </w:pPr>
            <w:r>
              <w:t>82.0/5</w:t>
            </w:r>
          </w:p>
        </w:tc>
        <w:tc>
          <w:tcPr>
            <w:tcW w:w="2588" w:type="dxa"/>
            <w:vAlign w:val="center"/>
          </w:tcPr>
          <w:p>
            <w:pPr>
              <w:autoSpaceDE w:val="0"/>
              <w:autoSpaceDN w:val="0"/>
              <w:spacing w:line="240" w:lineRule="auto"/>
              <w:jc w:val="center"/>
              <w:rPr>
                <w:lang w:val="zh-CN"/>
              </w:rPr>
            </w:pPr>
            <w:r>
              <w:rPr>
                <w:lang w:val="zh-CN"/>
              </w:rPr>
              <w:t>有指向性</w:t>
            </w:r>
          </w:p>
        </w:tc>
      </w:tr>
    </w:tbl>
    <w:p>
      <w:pPr>
        <w:autoSpaceDE w:val="0"/>
        <w:autoSpaceDN w:val="0"/>
        <w:ind w:firstLine="592" w:firstLineChars="247"/>
        <w:rPr>
          <w:sz w:val="24"/>
          <w:szCs w:val="24"/>
          <w:lang w:val="zh-CN"/>
        </w:rPr>
      </w:pPr>
      <w:r>
        <w:rPr>
          <w:sz w:val="24"/>
          <w:szCs w:val="24"/>
          <w:lang w:val="zh-CN"/>
        </w:rPr>
        <w:t>3、施工场界噪声预测</w:t>
      </w:r>
    </w:p>
    <w:p>
      <w:pPr>
        <w:autoSpaceDE w:val="0"/>
        <w:autoSpaceDN w:val="0"/>
        <w:ind w:firstLine="459"/>
        <w:rPr>
          <w:sz w:val="24"/>
          <w:szCs w:val="24"/>
          <w:lang w:val="zh-CN"/>
        </w:rPr>
      </w:pPr>
      <w:r>
        <w:rPr>
          <w:sz w:val="24"/>
          <w:szCs w:val="24"/>
          <w:lang w:val="zh-CN"/>
        </w:rPr>
        <w:t>为了解施工期主要施工设备的噪声贡献值，本次预测选取施工期主要施工机械及各施工阶段常用组合，设定在对周边环境最为不利的位置预测噪声贡献值。</w:t>
      </w:r>
    </w:p>
    <w:p>
      <w:pPr>
        <w:autoSpaceDE w:val="0"/>
        <w:autoSpaceDN w:val="0"/>
        <w:ind w:firstLine="459"/>
        <w:rPr>
          <w:sz w:val="24"/>
          <w:szCs w:val="24"/>
          <w:lang w:val="zh-CN"/>
        </w:rPr>
      </w:pPr>
      <w:r>
        <w:rPr>
          <w:sz w:val="24"/>
          <w:szCs w:val="24"/>
          <w:lang w:val="zh-CN"/>
        </w:rPr>
        <w:t>施工期主要强噪声源距场界不同距离时的噪声预测值详见下表。</w:t>
      </w:r>
    </w:p>
    <w:p>
      <w:pPr>
        <w:autoSpaceDE w:val="0"/>
        <w:autoSpaceDN w:val="0"/>
        <w:spacing w:line="480" w:lineRule="exact"/>
        <w:jc w:val="right"/>
        <w:rPr>
          <w:b/>
          <w:bCs/>
          <w:sz w:val="24"/>
          <w:szCs w:val="24"/>
          <w:lang w:val="zh-CN"/>
        </w:rPr>
      </w:pPr>
      <w:r>
        <w:rPr>
          <w:b/>
          <w:sz w:val="24"/>
          <w:szCs w:val="24"/>
          <w:lang w:val="zh-CN"/>
        </w:rPr>
        <w:t>表4.1-</w:t>
      </w:r>
      <w:r>
        <w:rPr>
          <w:b/>
          <w:sz w:val="24"/>
          <w:szCs w:val="24"/>
        </w:rPr>
        <w:t>2</w:t>
      </w:r>
      <w:r>
        <w:rPr>
          <w:b/>
          <w:sz w:val="24"/>
          <w:szCs w:val="24"/>
          <w:lang w:val="zh-CN"/>
        </w:rPr>
        <w:t xml:space="preserve">施工期噪声源在不同距离的噪声预测值  </w:t>
      </w:r>
      <w:r>
        <w:rPr>
          <w:sz w:val="24"/>
          <w:szCs w:val="24"/>
          <w:lang w:val="zh-CN"/>
        </w:rPr>
        <w:t xml:space="preserve">  单位：dB（A）</w:t>
      </w:r>
    </w:p>
    <w:tbl>
      <w:tblPr>
        <w:tblStyle w:val="22"/>
        <w:tblW w:w="9706"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890"/>
        <w:gridCol w:w="977"/>
        <w:gridCol w:w="977"/>
        <w:gridCol w:w="977"/>
        <w:gridCol w:w="977"/>
        <w:gridCol w:w="977"/>
        <w:gridCol w:w="977"/>
        <w:gridCol w:w="976"/>
        <w:gridCol w:w="97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88" w:hRule="atLeast"/>
          <w:jc w:val="center"/>
        </w:trPr>
        <w:tc>
          <w:tcPr>
            <w:tcW w:w="1890" w:type="dxa"/>
            <w:tcBorders>
              <w:top w:val="single" w:color="auto" w:sz="12" w:space="0"/>
              <w:left w:val="nil"/>
              <w:bottom w:val="single" w:color="auto" w:sz="4" w:space="0"/>
              <w:right w:val="single" w:color="auto" w:sz="4" w:space="0"/>
              <w:tl2br w:val="single" w:color="auto" w:sz="4" w:space="0"/>
            </w:tcBorders>
            <w:vAlign w:val="center"/>
          </w:tcPr>
          <w:p>
            <w:pPr>
              <w:autoSpaceDE w:val="0"/>
              <w:autoSpaceDN w:val="0"/>
              <w:jc w:val="center"/>
              <w:rPr>
                <w:lang w:val="zh-CN"/>
              </w:rPr>
            </w:pPr>
            <w:r>
              <w:rPr>
                <w:lang w:val="zh-CN"/>
              </w:rPr>
              <w:t>距离</w:t>
            </w:r>
          </w:p>
          <w:p>
            <w:pPr>
              <w:autoSpaceDE w:val="0"/>
              <w:autoSpaceDN w:val="0"/>
              <w:rPr>
                <w:lang w:val="zh-CN"/>
              </w:rPr>
            </w:pPr>
            <w:r>
              <w:rPr>
                <w:lang w:val="zh-CN"/>
              </w:rPr>
              <w:t>噪声源</w:t>
            </w:r>
          </w:p>
        </w:tc>
        <w:tc>
          <w:tcPr>
            <w:tcW w:w="977" w:type="dxa"/>
            <w:tcBorders>
              <w:top w:val="single" w:color="auto" w:sz="12"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5m</w:t>
            </w:r>
          </w:p>
        </w:tc>
        <w:tc>
          <w:tcPr>
            <w:tcW w:w="977" w:type="dxa"/>
            <w:tcBorders>
              <w:top w:val="single" w:color="auto" w:sz="12"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15m</w:t>
            </w:r>
          </w:p>
        </w:tc>
        <w:tc>
          <w:tcPr>
            <w:tcW w:w="977" w:type="dxa"/>
            <w:tcBorders>
              <w:top w:val="single" w:color="auto" w:sz="12"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20m</w:t>
            </w:r>
          </w:p>
        </w:tc>
        <w:tc>
          <w:tcPr>
            <w:tcW w:w="977" w:type="dxa"/>
            <w:tcBorders>
              <w:top w:val="single" w:color="auto" w:sz="12"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50m</w:t>
            </w:r>
          </w:p>
        </w:tc>
        <w:tc>
          <w:tcPr>
            <w:tcW w:w="977" w:type="dxa"/>
            <w:tcBorders>
              <w:top w:val="single" w:color="auto" w:sz="12"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100m</w:t>
            </w:r>
          </w:p>
        </w:tc>
        <w:tc>
          <w:tcPr>
            <w:tcW w:w="977" w:type="dxa"/>
            <w:tcBorders>
              <w:top w:val="single" w:color="auto" w:sz="12"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150m</w:t>
            </w:r>
          </w:p>
        </w:tc>
        <w:tc>
          <w:tcPr>
            <w:tcW w:w="976" w:type="dxa"/>
            <w:tcBorders>
              <w:top w:val="single" w:color="auto" w:sz="12"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200m</w:t>
            </w:r>
          </w:p>
        </w:tc>
        <w:tc>
          <w:tcPr>
            <w:tcW w:w="978" w:type="dxa"/>
            <w:tcBorders>
              <w:top w:val="single" w:color="auto" w:sz="12" w:space="0"/>
              <w:left w:val="single" w:color="auto" w:sz="4" w:space="0"/>
              <w:bottom w:val="single" w:color="auto" w:sz="4" w:space="0"/>
              <w:right w:val="nil"/>
            </w:tcBorders>
            <w:vAlign w:val="center"/>
          </w:tcPr>
          <w:p>
            <w:pPr>
              <w:autoSpaceDE w:val="0"/>
              <w:autoSpaceDN w:val="0"/>
              <w:jc w:val="center"/>
              <w:rPr>
                <w:lang w:val="zh-CN"/>
              </w:rPr>
            </w:pPr>
            <w:r>
              <w:rPr>
                <w:lang w:val="zh-CN"/>
              </w:rPr>
              <w:t>300m</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exact"/>
          <w:jc w:val="center"/>
        </w:trPr>
        <w:tc>
          <w:tcPr>
            <w:tcW w:w="1890" w:type="dxa"/>
            <w:tcBorders>
              <w:top w:val="single" w:color="auto" w:sz="4" w:space="0"/>
              <w:left w:val="nil"/>
              <w:bottom w:val="single" w:color="auto" w:sz="4" w:space="0"/>
              <w:right w:val="single" w:color="auto" w:sz="4" w:space="0"/>
            </w:tcBorders>
            <w:vAlign w:val="center"/>
          </w:tcPr>
          <w:p>
            <w:pPr>
              <w:autoSpaceDE w:val="0"/>
              <w:autoSpaceDN w:val="0"/>
              <w:jc w:val="center"/>
            </w:pPr>
            <w:r>
              <w:rPr>
                <w:lang w:val="zh-CN"/>
              </w:rPr>
              <w:t>挖掘机</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84.0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74.5</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72.0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64.0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58.0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54.4</w:t>
            </w:r>
          </w:p>
        </w:tc>
        <w:tc>
          <w:tcPr>
            <w:tcW w:w="976"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52.0</w:t>
            </w:r>
          </w:p>
        </w:tc>
        <w:tc>
          <w:tcPr>
            <w:tcW w:w="978" w:type="dxa"/>
            <w:tcBorders>
              <w:top w:val="single" w:color="auto" w:sz="4" w:space="0"/>
              <w:left w:val="single" w:color="auto" w:sz="4" w:space="0"/>
              <w:bottom w:val="single" w:color="auto" w:sz="4" w:space="0"/>
              <w:right w:val="nil"/>
            </w:tcBorders>
            <w:vAlign w:val="center"/>
          </w:tcPr>
          <w:p>
            <w:pPr>
              <w:autoSpaceDE w:val="0"/>
              <w:autoSpaceDN w:val="0"/>
              <w:jc w:val="center"/>
            </w:pPr>
            <w:r>
              <w:t>48.5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exact"/>
          <w:jc w:val="center"/>
        </w:trPr>
        <w:tc>
          <w:tcPr>
            <w:tcW w:w="1890" w:type="dxa"/>
            <w:tcBorders>
              <w:top w:val="single" w:color="auto" w:sz="4" w:space="0"/>
              <w:left w:val="nil"/>
              <w:bottom w:val="single" w:color="auto" w:sz="4" w:space="0"/>
              <w:right w:val="single" w:color="auto" w:sz="4" w:space="0"/>
            </w:tcBorders>
            <w:vAlign w:val="center"/>
          </w:tcPr>
          <w:p>
            <w:pPr>
              <w:autoSpaceDE w:val="0"/>
              <w:autoSpaceDN w:val="0"/>
              <w:jc w:val="center"/>
            </w:pPr>
            <w:r>
              <w:rPr>
                <w:lang w:val="zh-CN"/>
              </w:rPr>
              <w:t>推土机</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86.0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76.5</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74.0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66.0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60.0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56.4</w:t>
            </w:r>
          </w:p>
        </w:tc>
        <w:tc>
          <w:tcPr>
            <w:tcW w:w="976"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54.0</w:t>
            </w:r>
          </w:p>
        </w:tc>
        <w:tc>
          <w:tcPr>
            <w:tcW w:w="978" w:type="dxa"/>
            <w:tcBorders>
              <w:top w:val="single" w:color="auto" w:sz="4" w:space="0"/>
              <w:left w:val="single" w:color="auto" w:sz="4" w:space="0"/>
              <w:bottom w:val="single" w:color="auto" w:sz="4" w:space="0"/>
              <w:right w:val="nil"/>
            </w:tcBorders>
            <w:vAlign w:val="center"/>
          </w:tcPr>
          <w:p>
            <w:pPr>
              <w:autoSpaceDE w:val="0"/>
              <w:autoSpaceDN w:val="0"/>
              <w:jc w:val="center"/>
            </w:pPr>
            <w:r>
              <w:t>50.5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exact"/>
          <w:jc w:val="center"/>
        </w:trPr>
        <w:tc>
          <w:tcPr>
            <w:tcW w:w="1890" w:type="dxa"/>
            <w:tcBorders>
              <w:top w:val="single" w:color="auto" w:sz="4" w:space="0"/>
              <w:left w:val="nil"/>
              <w:bottom w:val="single" w:color="auto" w:sz="4" w:space="0"/>
              <w:right w:val="single" w:color="auto" w:sz="4" w:space="0"/>
            </w:tcBorders>
            <w:vAlign w:val="center"/>
          </w:tcPr>
          <w:p>
            <w:pPr>
              <w:autoSpaceDE w:val="0"/>
              <w:autoSpaceDN w:val="0"/>
              <w:jc w:val="center"/>
              <w:rPr>
                <w:lang w:val="zh-CN"/>
              </w:rPr>
            </w:pPr>
            <w:r>
              <w:rPr>
                <w:lang w:val="zh-CN"/>
              </w:rPr>
              <w:t>翻斗车</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82.0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72.5</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70.0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62.0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56.0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52.4</w:t>
            </w:r>
          </w:p>
        </w:tc>
        <w:tc>
          <w:tcPr>
            <w:tcW w:w="976"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50.0</w:t>
            </w:r>
          </w:p>
        </w:tc>
        <w:tc>
          <w:tcPr>
            <w:tcW w:w="978" w:type="dxa"/>
            <w:tcBorders>
              <w:top w:val="single" w:color="auto" w:sz="4" w:space="0"/>
              <w:left w:val="single" w:color="auto" w:sz="4" w:space="0"/>
              <w:bottom w:val="single" w:color="auto" w:sz="4" w:space="0"/>
              <w:right w:val="nil"/>
            </w:tcBorders>
            <w:vAlign w:val="center"/>
          </w:tcPr>
          <w:p>
            <w:pPr>
              <w:autoSpaceDE w:val="0"/>
              <w:autoSpaceDN w:val="0"/>
              <w:jc w:val="center"/>
              <w:rPr>
                <w:lang w:val="zh-CN"/>
              </w:rPr>
            </w:pPr>
            <w:r>
              <w:rPr>
                <w:lang w:val="zh-CN"/>
              </w:rPr>
              <w:t>46.5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exact"/>
          <w:jc w:val="center"/>
        </w:trPr>
        <w:tc>
          <w:tcPr>
            <w:tcW w:w="1890" w:type="dxa"/>
            <w:tcBorders>
              <w:top w:val="single" w:color="auto" w:sz="4" w:space="0"/>
              <w:left w:val="nil"/>
              <w:bottom w:val="single" w:color="auto" w:sz="4" w:space="0"/>
              <w:right w:val="single" w:color="auto" w:sz="4" w:space="0"/>
            </w:tcBorders>
            <w:vAlign w:val="center"/>
          </w:tcPr>
          <w:p>
            <w:pPr>
              <w:autoSpaceDE w:val="0"/>
              <w:autoSpaceDN w:val="0"/>
              <w:jc w:val="center"/>
              <w:rPr>
                <w:lang w:val="zh-CN"/>
              </w:rPr>
            </w:pPr>
            <w:r>
              <w:rPr>
                <w:lang w:val="zh-CN"/>
              </w:rPr>
              <w:t>平地机</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87.0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77.5</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75.0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67.0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61.0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57.4</w:t>
            </w:r>
          </w:p>
        </w:tc>
        <w:tc>
          <w:tcPr>
            <w:tcW w:w="976"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55.0</w:t>
            </w:r>
          </w:p>
        </w:tc>
        <w:tc>
          <w:tcPr>
            <w:tcW w:w="978" w:type="dxa"/>
            <w:tcBorders>
              <w:top w:val="single" w:color="auto" w:sz="4" w:space="0"/>
              <w:left w:val="single" w:color="auto" w:sz="4" w:space="0"/>
              <w:bottom w:val="single" w:color="auto" w:sz="4" w:space="0"/>
              <w:right w:val="nil"/>
            </w:tcBorders>
            <w:vAlign w:val="center"/>
          </w:tcPr>
          <w:p>
            <w:pPr>
              <w:autoSpaceDE w:val="0"/>
              <w:autoSpaceDN w:val="0"/>
              <w:jc w:val="center"/>
            </w:pPr>
            <w:r>
              <w:t>51.4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exact"/>
          <w:jc w:val="center"/>
        </w:trPr>
        <w:tc>
          <w:tcPr>
            <w:tcW w:w="1890" w:type="dxa"/>
            <w:tcBorders>
              <w:top w:val="single" w:color="auto" w:sz="4" w:space="0"/>
              <w:left w:val="nil"/>
              <w:bottom w:val="single" w:color="auto" w:sz="4" w:space="0"/>
              <w:right w:val="single" w:color="auto" w:sz="4" w:space="0"/>
            </w:tcBorders>
            <w:vAlign w:val="center"/>
          </w:tcPr>
          <w:p>
            <w:pPr>
              <w:autoSpaceDE w:val="0"/>
              <w:autoSpaceDN w:val="0"/>
              <w:jc w:val="center"/>
              <w:rPr>
                <w:lang w:val="zh-CN"/>
              </w:rPr>
            </w:pPr>
            <w:r>
              <w:rPr>
                <w:lang w:val="zh-CN"/>
              </w:rPr>
              <w:t>装载机</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82.0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72.5</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70.0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62.0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56.0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52.4</w:t>
            </w:r>
          </w:p>
        </w:tc>
        <w:tc>
          <w:tcPr>
            <w:tcW w:w="976"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50.0</w:t>
            </w:r>
          </w:p>
        </w:tc>
        <w:tc>
          <w:tcPr>
            <w:tcW w:w="978" w:type="dxa"/>
            <w:tcBorders>
              <w:top w:val="single" w:color="auto" w:sz="4" w:space="0"/>
              <w:left w:val="single" w:color="auto" w:sz="4" w:space="0"/>
              <w:bottom w:val="single" w:color="auto" w:sz="4" w:space="0"/>
              <w:right w:val="nil"/>
            </w:tcBorders>
            <w:vAlign w:val="center"/>
          </w:tcPr>
          <w:p>
            <w:pPr>
              <w:autoSpaceDE w:val="0"/>
              <w:autoSpaceDN w:val="0"/>
              <w:jc w:val="center"/>
              <w:rPr>
                <w:lang w:val="zh-CN"/>
              </w:rPr>
            </w:pPr>
            <w:r>
              <w:rPr>
                <w:lang w:val="zh-CN"/>
              </w:rPr>
              <w:t>46.5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exact"/>
          <w:jc w:val="center"/>
        </w:trPr>
        <w:tc>
          <w:tcPr>
            <w:tcW w:w="1890" w:type="dxa"/>
            <w:tcBorders>
              <w:top w:val="single" w:color="auto" w:sz="4" w:space="0"/>
              <w:left w:val="nil"/>
              <w:bottom w:val="single" w:color="auto" w:sz="4" w:space="0"/>
              <w:right w:val="single" w:color="auto" w:sz="4" w:space="0"/>
            </w:tcBorders>
            <w:vAlign w:val="center"/>
          </w:tcPr>
          <w:p>
            <w:pPr>
              <w:autoSpaceDE w:val="0"/>
              <w:autoSpaceDN w:val="0"/>
              <w:jc w:val="center"/>
              <w:rPr>
                <w:lang w:val="zh-CN"/>
              </w:rPr>
            </w:pPr>
            <w:r>
              <w:rPr>
                <w:lang w:val="zh-CN"/>
              </w:rPr>
              <w:t>振捣棒</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82.0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72.5</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70.0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62.0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56.0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52.4</w:t>
            </w:r>
          </w:p>
        </w:tc>
        <w:tc>
          <w:tcPr>
            <w:tcW w:w="976"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50.0</w:t>
            </w:r>
          </w:p>
        </w:tc>
        <w:tc>
          <w:tcPr>
            <w:tcW w:w="978" w:type="dxa"/>
            <w:tcBorders>
              <w:top w:val="single" w:color="auto" w:sz="4" w:space="0"/>
              <w:left w:val="single" w:color="auto" w:sz="4" w:space="0"/>
              <w:bottom w:val="single" w:color="auto" w:sz="4" w:space="0"/>
              <w:right w:val="nil"/>
            </w:tcBorders>
            <w:vAlign w:val="center"/>
          </w:tcPr>
          <w:p>
            <w:pPr>
              <w:autoSpaceDE w:val="0"/>
              <w:autoSpaceDN w:val="0"/>
              <w:jc w:val="center"/>
              <w:rPr>
                <w:lang w:val="zh-CN"/>
              </w:rPr>
            </w:pPr>
            <w:r>
              <w:rPr>
                <w:lang w:val="zh-CN"/>
              </w:rPr>
              <w:t>46.5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exact"/>
          <w:jc w:val="center"/>
        </w:trPr>
        <w:tc>
          <w:tcPr>
            <w:tcW w:w="1890" w:type="dxa"/>
            <w:tcBorders>
              <w:top w:val="single" w:color="auto" w:sz="4" w:space="0"/>
              <w:left w:val="nil"/>
              <w:bottom w:val="single" w:color="auto" w:sz="4" w:space="0"/>
              <w:right w:val="single" w:color="auto" w:sz="4" w:space="0"/>
            </w:tcBorders>
            <w:vAlign w:val="center"/>
          </w:tcPr>
          <w:p>
            <w:pPr>
              <w:autoSpaceDE w:val="0"/>
              <w:autoSpaceDN w:val="0"/>
              <w:jc w:val="center"/>
              <w:rPr>
                <w:spacing w:val="-20"/>
                <w:lang w:val="zh-CN"/>
              </w:rPr>
            </w:pPr>
            <w:r>
              <w:rPr>
                <w:lang w:val="zh-CN"/>
              </w:rPr>
              <w:t>砼输送泵</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87.0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77.5</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75.0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67.0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61.0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57.4</w:t>
            </w:r>
          </w:p>
        </w:tc>
        <w:tc>
          <w:tcPr>
            <w:tcW w:w="976"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55.0</w:t>
            </w:r>
          </w:p>
        </w:tc>
        <w:tc>
          <w:tcPr>
            <w:tcW w:w="978" w:type="dxa"/>
            <w:tcBorders>
              <w:top w:val="single" w:color="auto" w:sz="4" w:space="0"/>
              <w:left w:val="single" w:color="auto" w:sz="4" w:space="0"/>
              <w:bottom w:val="single" w:color="auto" w:sz="4" w:space="0"/>
              <w:right w:val="nil"/>
            </w:tcBorders>
            <w:vAlign w:val="center"/>
          </w:tcPr>
          <w:p>
            <w:pPr>
              <w:autoSpaceDE w:val="0"/>
              <w:autoSpaceDN w:val="0"/>
              <w:jc w:val="center"/>
            </w:pPr>
            <w:r>
              <w:t>51.4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exact"/>
          <w:jc w:val="center"/>
        </w:trPr>
        <w:tc>
          <w:tcPr>
            <w:tcW w:w="1890" w:type="dxa"/>
            <w:tcBorders>
              <w:top w:val="single" w:color="auto" w:sz="4" w:space="0"/>
              <w:left w:val="nil"/>
              <w:bottom w:val="single" w:color="auto" w:sz="4" w:space="0"/>
              <w:right w:val="single" w:color="auto" w:sz="4" w:space="0"/>
            </w:tcBorders>
            <w:vAlign w:val="center"/>
          </w:tcPr>
          <w:p>
            <w:pPr>
              <w:autoSpaceDE w:val="0"/>
              <w:autoSpaceDN w:val="0"/>
              <w:jc w:val="center"/>
              <w:rPr>
                <w:spacing w:val="-20"/>
              </w:rPr>
            </w:pPr>
            <w:r>
              <w:rPr>
                <w:lang w:val="zh-CN"/>
              </w:rPr>
              <w:t>切割机</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82.0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72.5</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70.0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62.0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56.0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52.4</w:t>
            </w:r>
          </w:p>
        </w:tc>
        <w:tc>
          <w:tcPr>
            <w:tcW w:w="976"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50.0</w:t>
            </w:r>
          </w:p>
        </w:tc>
        <w:tc>
          <w:tcPr>
            <w:tcW w:w="978" w:type="dxa"/>
            <w:tcBorders>
              <w:top w:val="single" w:color="auto" w:sz="4" w:space="0"/>
              <w:left w:val="single" w:color="auto" w:sz="4" w:space="0"/>
              <w:bottom w:val="single" w:color="auto" w:sz="4" w:space="0"/>
              <w:right w:val="nil"/>
            </w:tcBorders>
            <w:vAlign w:val="center"/>
          </w:tcPr>
          <w:p>
            <w:pPr>
              <w:autoSpaceDE w:val="0"/>
              <w:autoSpaceDN w:val="0"/>
              <w:jc w:val="center"/>
              <w:rPr>
                <w:lang w:val="zh-CN"/>
              </w:rPr>
            </w:pPr>
            <w:r>
              <w:rPr>
                <w:lang w:val="zh-CN"/>
              </w:rPr>
              <w:t>46.5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exact"/>
          <w:jc w:val="center"/>
        </w:trPr>
        <w:tc>
          <w:tcPr>
            <w:tcW w:w="1890" w:type="dxa"/>
            <w:tcBorders>
              <w:top w:val="single" w:color="auto" w:sz="4" w:space="0"/>
              <w:left w:val="nil"/>
              <w:bottom w:val="single" w:color="auto" w:sz="4" w:space="0"/>
              <w:right w:val="single" w:color="auto" w:sz="4" w:space="0"/>
            </w:tcBorders>
            <w:vAlign w:val="center"/>
          </w:tcPr>
          <w:p>
            <w:pPr>
              <w:autoSpaceDE w:val="0"/>
              <w:autoSpaceDN w:val="0"/>
              <w:jc w:val="center"/>
              <w:rPr>
                <w:lang w:val="zh-CN"/>
              </w:rPr>
            </w:pPr>
            <w:r>
              <w:rPr>
                <w:lang w:val="zh-CN"/>
              </w:rPr>
              <w:t>磨石机</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82.0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72.5</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70.0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62.0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56.0</w:t>
            </w:r>
          </w:p>
        </w:tc>
        <w:tc>
          <w:tcPr>
            <w:tcW w:w="97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52.4</w:t>
            </w:r>
          </w:p>
        </w:tc>
        <w:tc>
          <w:tcPr>
            <w:tcW w:w="976"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lang w:val="zh-CN"/>
              </w:rPr>
            </w:pPr>
            <w:r>
              <w:rPr>
                <w:lang w:val="zh-CN"/>
              </w:rPr>
              <w:t>50.0</w:t>
            </w:r>
          </w:p>
        </w:tc>
        <w:tc>
          <w:tcPr>
            <w:tcW w:w="978" w:type="dxa"/>
            <w:tcBorders>
              <w:top w:val="single" w:color="auto" w:sz="4" w:space="0"/>
              <w:left w:val="single" w:color="auto" w:sz="4" w:space="0"/>
              <w:bottom w:val="single" w:color="auto" w:sz="4" w:space="0"/>
              <w:right w:val="nil"/>
            </w:tcBorders>
            <w:vAlign w:val="center"/>
          </w:tcPr>
          <w:p>
            <w:pPr>
              <w:autoSpaceDE w:val="0"/>
              <w:autoSpaceDN w:val="0"/>
              <w:jc w:val="center"/>
              <w:rPr>
                <w:lang w:val="zh-CN"/>
              </w:rPr>
            </w:pPr>
            <w:r>
              <w:rPr>
                <w:lang w:val="zh-CN"/>
              </w:rPr>
              <w:t>46.5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exact"/>
          <w:jc w:val="center"/>
        </w:trPr>
        <w:tc>
          <w:tcPr>
            <w:tcW w:w="1890" w:type="dxa"/>
            <w:tcBorders>
              <w:top w:val="single" w:color="auto" w:sz="4" w:space="0"/>
              <w:left w:val="nil"/>
              <w:bottom w:val="single" w:color="auto" w:sz="12" w:space="0"/>
              <w:right w:val="single" w:color="auto" w:sz="4" w:space="0"/>
            </w:tcBorders>
            <w:vAlign w:val="center"/>
          </w:tcPr>
          <w:p>
            <w:pPr>
              <w:autoSpaceDE w:val="0"/>
              <w:autoSpaceDN w:val="0"/>
              <w:jc w:val="center"/>
              <w:rPr>
                <w:lang w:val="zh-CN"/>
              </w:rPr>
            </w:pPr>
            <w:r>
              <w:rPr>
                <w:lang w:val="zh-CN"/>
              </w:rPr>
              <w:t>砂轮锯</w:t>
            </w:r>
          </w:p>
        </w:tc>
        <w:tc>
          <w:tcPr>
            <w:tcW w:w="977" w:type="dxa"/>
            <w:tcBorders>
              <w:top w:val="single" w:color="auto" w:sz="4" w:space="0"/>
              <w:left w:val="single" w:color="auto" w:sz="4" w:space="0"/>
              <w:bottom w:val="single" w:color="auto" w:sz="12" w:space="0"/>
              <w:right w:val="single" w:color="auto" w:sz="4" w:space="0"/>
            </w:tcBorders>
            <w:vAlign w:val="center"/>
          </w:tcPr>
          <w:p>
            <w:pPr>
              <w:autoSpaceDE w:val="0"/>
              <w:autoSpaceDN w:val="0"/>
              <w:jc w:val="center"/>
              <w:rPr>
                <w:lang w:val="zh-CN"/>
              </w:rPr>
            </w:pPr>
            <w:r>
              <w:rPr>
                <w:lang w:val="zh-CN"/>
              </w:rPr>
              <w:t>82.0</w:t>
            </w:r>
          </w:p>
        </w:tc>
        <w:tc>
          <w:tcPr>
            <w:tcW w:w="977" w:type="dxa"/>
            <w:tcBorders>
              <w:top w:val="single" w:color="auto" w:sz="4" w:space="0"/>
              <w:left w:val="single" w:color="auto" w:sz="4" w:space="0"/>
              <w:bottom w:val="single" w:color="auto" w:sz="12" w:space="0"/>
              <w:right w:val="single" w:color="auto" w:sz="4" w:space="0"/>
            </w:tcBorders>
            <w:vAlign w:val="center"/>
          </w:tcPr>
          <w:p>
            <w:pPr>
              <w:autoSpaceDE w:val="0"/>
              <w:autoSpaceDN w:val="0"/>
              <w:jc w:val="center"/>
              <w:rPr>
                <w:lang w:val="zh-CN"/>
              </w:rPr>
            </w:pPr>
            <w:r>
              <w:rPr>
                <w:lang w:val="zh-CN"/>
              </w:rPr>
              <w:t>72.5</w:t>
            </w:r>
          </w:p>
        </w:tc>
        <w:tc>
          <w:tcPr>
            <w:tcW w:w="977" w:type="dxa"/>
            <w:tcBorders>
              <w:top w:val="single" w:color="auto" w:sz="4" w:space="0"/>
              <w:left w:val="single" w:color="auto" w:sz="4" w:space="0"/>
              <w:bottom w:val="single" w:color="auto" w:sz="12" w:space="0"/>
              <w:right w:val="single" w:color="auto" w:sz="4" w:space="0"/>
            </w:tcBorders>
            <w:vAlign w:val="center"/>
          </w:tcPr>
          <w:p>
            <w:pPr>
              <w:autoSpaceDE w:val="0"/>
              <w:autoSpaceDN w:val="0"/>
              <w:jc w:val="center"/>
              <w:rPr>
                <w:lang w:val="zh-CN"/>
              </w:rPr>
            </w:pPr>
            <w:r>
              <w:rPr>
                <w:lang w:val="zh-CN"/>
              </w:rPr>
              <w:t>70.0</w:t>
            </w:r>
          </w:p>
        </w:tc>
        <w:tc>
          <w:tcPr>
            <w:tcW w:w="977" w:type="dxa"/>
            <w:tcBorders>
              <w:top w:val="single" w:color="auto" w:sz="4" w:space="0"/>
              <w:left w:val="single" w:color="auto" w:sz="4" w:space="0"/>
              <w:bottom w:val="single" w:color="auto" w:sz="12" w:space="0"/>
              <w:right w:val="single" w:color="auto" w:sz="4" w:space="0"/>
            </w:tcBorders>
            <w:vAlign w:val="center"/>
          </w:tcPr>
          <w:p>
            <w:pPr>
              <w:autoSpaceDE w:val="0"/>
              <w:autoSpaceDN w:val="0"/>
              <w:jc w:val="center"/>
              <w:rPr>
                <w:lang w:val="zh-CN"/>
              </w:rPr>
            </w:pPr>
            <w:r>
              <w:rPr>
                <w:lang w:val="zh-CN"/>
              </w:rPr>
              <w:t>62.0</w:t>
            </w:r>
          </w:p>
        </w:tc>
        <w:tc>
          <w:tcPr>
            <w:tcW w:w="977" w:type="dxa"/>
            <w:tcBorders>
              <w:top w:val="single" w:color="auto" w:sz="4" w:space="0"/>
              <w:left w:val="single" w:color="auto" w:sz="4" w:space="0"/>
              <w:bottom w:val="single" w:color="auto" w:sz="12" w:space="0"/>
              <w:right w:val="single" w:color="auto" w:sz="4" w:space="0"/>
            </w:tcBorders>
            <w:vAlign w:val="center"/>
          </w:tcPr>
          <w:p>
            <w:pPr>
              <w:autoSpaceDE w:val="0"/>
              <w:autoSpaceDN w:val="0"/>
              <w:jc w:val="center"/>
              <w:rPr>
                <w:lang w:val="zh-CN"/>
              </w:rPr>
            </w:pPr>
            <w:r>
              <w:rPr>
                <w:lang w:val="zh-CN"/>
              </w:rPr>
              <w:t>56.0</w:t>
            </w:r>
          </w:p>
        </w:tc>
        <w:tc>
          <w:tcPr>
            <w:tcW w:w="977" w:type="dxa"/>
            <w:tcBorders>
              <w:top w:val="single" w:color="auto" w:sz="4" w:space="0"/>
              <w:left w:val="single" w:color="auto" w:sz="4" w:space="0"/>
              <w:bottom w:val="single" w:color="auto" w:sz="12" w:space="0"/>
              <w:right w:val="single" w:color="auto" w:sz="4" w:space="0"/>
            </w:tcBorders>
            <w:vAlign w:val="center"/>
          </w:tcPr>
          <w:p>
            <w:pPr>
              <w:autoSpaceDE w:val="0"/>
              <w:autoSpaceDN w:val="0"/>
              <w:jc w:val="center"/>
              <w:rPr>
                <w:lang w:val="zh-CN"/>
              </w:rPr>
            </w:pPr>
            <w:r>
              <w:rPr>
                <w:lang w:val="zh-CN"/>
              </w:rPr>
              <w:t>52.4</w:t>
            </w:r>
          </w:p>
        </w:tc>
        <w:tc>
          <w:tcPr>
            <w:tcW w:w="976" w:type="dxa"/>
            <w:tcBorders>
              <w:top w:val="single" w:color="auto" w:sz="4" w:space="0"/>
              <w:left w:val="single" w:color="auto" w:sz="4" w:space="0"/>
              <w:bottom w:val="single" w:color="auto" w:sz="12" w:space="0"/>
              <w:right w:val="single" w:color="auto" w:sz="4" w:space="0"/>
            </w:tcBorders>
            <w:vAlign w:val="center"/>
          </w:tcPr>
          <w:p>
            <w:pPr>
              <w:autoSpaceDE w:val="0"/>
              <w:autoSpaceDN w:val="0"/>
              <w:jc w:val="center"/>
              <w:rPr>
                <w:lang w:val="zh-CN"/>
              </w:rPr>
            </w:pPr>
            <w:r>
              <w:rPr>
                <w:lang w:val="zh-CN"/>
              </w:rPr>
              <w:t>50.0</w:t>
            </w:r>
          </w:p>
        </w:tc>
        <w:tc>
          <w:tcPr>
            <w:tcW w:w="978" w:type="dxa"/>
            <w:tcBorders>
              <w:top w:val="single" w:color="auto" w:sz="4" w:space="0"/>
              <w:left w:val="single" w:color="auto" w:sz="4" w:space="0"/>
              <w:bottom w:val="single" w:color="auto" w:sz="12" w:space="0"/>
              <w:right w:val="nil"/>
            </w:tcBorders>
            <w:vAlign w:val="center"/>
          </w:tcPr>
          <w:p>
            <w:pPr>
              <w:autoSpaceDE w:val="0"/>
              <w:autoSpaceDN w:val="0"/>
              <w:jc w:val="center"/>
              <w:rPr>
                <w:lang w:val="zh-CN"/>
              </w:rPr>
            </w:pPr>
            <w:r>
              <w:rPr>
                <w:lang w:val="zh-CN"/>
              </w:rPr>
              <w:t>46.5</w:t>
            </w:r>
          </w:p>
        </w:tc>
      </w:tr>
    </w:tbl>
    <w:p>
      <w:pPr>
        <w:autoSpaceDE w:val="0"/>
        <w:autoSpaceDN w:val="0"/>
        <w:spacing w:line="480" w:lineRule="exact"/>
        <w:ind w:right="19" w:rightChars="9" w:firstLine="482"/>
        <w:jc w:val="right"/>
        <w:rPr>
          <w:b/>
          <w:sz w:val="24"/>
          <w:szCs w:val="24"/>
          <w:lang w:val="zh-CN"/>
        </w:rPr>
      </w:pPr>
      <w:r>
        <w:rPr>
          <w:b/>
          <w:sz w:val="24"/>
          <w:szCs w:val="24"/>
          <w:lang w:val="zh-CN"/>
        </w:rPr>
        <w:t>表4.1</w:t>
      </w:r>
      <w:r>
        <w:rPr>
          <w:b/>
          <w:sz w:val="24"/>
          <w:szCs w:val="24"/>
        </w:rPr>
        <w:t>-3</w:t>
      </w:r>
      <w:r>
        <w:rPr>
          <w:b/>
          <w:sz w:val="24"/>
          <w:szCs w:val="24"/>
          <w:lang w:val="zh-CN"/>
        </w:rPr>
        <w:t xml:space="preserve">  施工期噪声源组合在不同距离的噪声预测值   </w:t>
      </w:r>
      <w:r>
        <w:rPr>
          <w:sz w:val="24"/>
          <w:szCs w:val="24"/>
          <w:lang w:val="zh-CN"/>
        </w:rPr>
        <w:t>单位：dB（A）</w:t>
      </w:r>
    </w:p>
    <w:tbl>
      <w:tblPr>
        <w:tblStyle w:val="22"/>
        <w:tblW w:w="970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57"/>
        <w:gridCol w:w="701"/>
        <w:gridCol w:w="959"/>
        <w:gridCol w:w="959"/>
        <w:gridCol w:w="959"/>
        <w:gridCol w:w="959"/>
        <w:gridCol w:w="959"/>
        <w:gridCol w:w="9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3257" w:type="dxa"/>
            <w:vAlign w:val="center"/>
          </w:tcPr>
          <w:p>
            <w:pPr>
              <w:autoSpaceDE w:val="0"/>
              <w:autoSpaceDN w:val="0"/>
              <w:spacing w:line="240" w:lineRule="auto"/>
              <w:jc w:val="center"/>
              <w:rPr>
                <w:lang w:val="zh-CN"/>
              </w:rPr>
            </w:pPr>
            <w:r>
              <w:rPr>
                <w:lang w:val="zh-CN"/>
              </w:rPr>
              <w:t>噪 声 源 组 合</w:t>
            </w:r>
          </w:p>
        </w:tc>
        <w:tc>
          <w:tcPr>
            <w:tcW w:w="701" w:type="dxa"/>
            <w:vAlign w:val="center"/>
          </w:tcPr>
          <w:p>
            <w:pPr>
              <w:autoSpaceDE w:val="0"/>
              <w:autoSpaceDN w:val="0"/>
              <w:spacing w:line="240" w:lineRule="auto"/>
              <w:jc w:val="center"/>
              <w:rPr>
                <w:lang w:val="zh-CN"/>
              </w:rPr>
            </w:pPr>
            <w:r>
              <w:rPr>
                <w:lang w:val="zh-CN"/>
              </w:rPr>
              <w:t>15m</w:t>
            </w:r>
          </w:p>
        </w:tc>
        <w:tc>
          <w:tcPr>
            <w:tcW w:w="959" w:type="dxa"/>
            <w:vAlign w:val="center"/>
          </w:tcPr>
          <w:p>
            <w:pPr>
              <w:autoSpaceDE w:val="0"/>
              <w:autoSpaceDN w:val="0"/>
              <w:spacing w:line="240" w:lineRule="auto"/>
              <w:jc w:val="center"/>
              <w:rPr>
                <w:lang w:val="zh-CN"/>
              </w:rPr>
            </w:pPr>
            <w:r>
              <w:rPr>
                <w:lang w:val="zh-CN"/>
              </w:rPr>
              <w:t>20m</w:t>
            </w:r>
          </w:p>
        </w:tc>
        <w:tc>
          <w:tcPr>
            <w:tcW w:w="959" w:type="dxa"/>
            <w:vAlign w:val="center"/>
          </w:tcPr>
          <w:p>
            <w:pPr>
              <w:autoSpaceDE w:val="0"/>
              <w:autoSpaceDN w:val="0"/>
              <w:spacing w:line="240" w:lineRule="auto"/>
              <w:jc w:val="center"/>
              <w:rPr>
                <w:lang w:val="zh-CN"/>
              </w:rPr>
            </w:pPr>
            <w:r>
              <w:rPr>
                <w:lang w:val="zh-CN"/>
              </w:rPr>
              <w:t>30m</w:t>
            </w:r>
          </w:p>
        </w:tc>
        <w:tc>
          <w:tcPr>
            <w:tcW w:w="959" w:type="dxa"/>
            <w:vAlign w:val="center"/>
          </w:tcPr>
          <w:p>
            <w:pPr>
              <w:autoSpaceDE w:val="0"/>
              <w:autoSpaceDN w:val="0"/>
              <w:spacing w:line="240" w:lineRule="auto"/>
              <w:jc w:val="center"/>
              <w:rPr>
                <w:lang w:val="zh-CN"/>
              </w:rPr>
            </w:pPr>
            <w:r>
              <w:rPr>
                <w:lang w:val="zh-CN"/>
              </w:rPr>
              <w:t>50m</w:t>
            </w:r>
          </w:p>
        </w:tc>
        <w:tc>
          <w:tcPr>
            <w:tcW w:w="959" w:type="dxa"/>
            <w:vAlign w:val="center"/>
          </w:tcPr>
          <w:p>
            <w:pPr>
              <w:autoSpaceDE w:val="0"/>
              <w:autoSpaceDN w:val="0"/>
              <w:spacing w:line="240" w:lineRule="auto"/>
              <w:jc w:val="center"/>
              <w:rPr>
                <w:lang w:val="zh-CN"/>
              </w:rPr>
            </w:pPr>
            <w:r>
              <w:rPr>
                <w:lang w:val="zh-CN"/>
              </w:rPr>
              <w:t>100m</w:t>
            </w:r>
          </w:p>
        </w:tc>
        <w:tc>
          <w:tcPr>
            <w:tcW w:w="959" w:type="dxa"/>
            <w:vAlign w:val="center"/>
          </w:tcPr>
          <w:p>
            <w:pPr>
              <w:autoSpaceDE w:val="0"/>
              <w:autoSpaceDN w:val="0"/>
              <w:spacing w:line="240" w:lineRule="auto"/>
              <w:jc w:val="center"/>
              <w:rPr>
                <w:lang w:val="zh-CN"/>
              </w:rPr>
            </w:pPr>
            <w:r>
              <w:rPr>
                <w:lang w:val="zh-CN"/>
              </w:rPr>
              <w:t>150m</w:t>
            </w:r>
          </w:p>
        </w:tc>
        <w:tc>
          <w:tcPr>
            <w:tcW w:w="953" w:type="dxa"/>
            <w:vAlign w:val="center"/>
          </w:tcPr>
          <w:p>
            <w:pPr>
              <w:autoSpaceDE w:val="0"/>
              <w:autoSpaceDN w:val="0"/>
              <w:spacing w:line="240" w:lineRule="auto"/>
              <w:jc w:val="center"/>
              <w:rPr>
                <w:lang w:val="zh-CN"/>
              </w:rPr>
            </w:pPr>
            <w:r>
              <w:rPr>
                <w:lang w:val="zh-CN"/>
              </w:rPr>
              <w:t>200m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257" w:type="dxa"/>
            <w:vAlign w:val="center"/>
          </w:tcPr>
          <w:p>
            <w:pPr>
              <w:autoSpaceDE w:val="0"/>
              <w:autoSpaceDN w:val="0"/>
              <w:spacing w:line="240" w:lineRule="auto"/>
              <w:jc w:val="center"/>
              <w:rPr>
                <w:lang w:val="zh-CN"/>
              </w:rPr>
            </w:pPr>
            <w:r>
              <w:rPr>
                <w:spacing w:val="-12"/>
                <w:lang w:val="zh-CN"/>
              </w:rPr>
              <w:t>组合一：土方阶段（翻斗车、装载机、推土机、挖掘机、平地机</w:t>
            </w:r>
            <w:r>
              <w:rPr>
                <w:lang w:val="zh-CN"/>
              </w:rPr>
              <w:t>）</w:t>
            </w:r>
          </w:p>
        </w:tc>
        <w:tc>
          <w:tcPr>
            <w:tcW w:w="701" w:type="dxa"/>
            <w:vAlign w:val="center"/>
          </w:tcPr>
          <w:p>
            <w:pPr>
              <w:autoSpaceDE w:val="0"/>
              <w:autoSpaceDN w:val="0"/>
              <w:spacing w:line="240" w:lineRule="auto"/>
              <w:jc w:val="center"/>
              <w:rPr>
                <w:lang w:val="zh-CN"/>
              </w:rPr>
            </w:pPr>
            <w:r>
              <w:rPr>
                <w:lang w:val="zh-CN"/>
              </w:rPr>
              <w:t>79.6</w:t>
            </w:r>
          </w:p>
        </w:tc>
        <w:tc>
          <w:tcPr>
            <w:tcW w:w="959" w:type="dxa"/>
            <w:vAlign w:val="center"/>
          </w:tcPr>
          <w:p>
            <w:pPr>
              <w:autoSpaceDE w:val="0"/>
              <w:autoSpaceDN w:val="0"/>
              <w:spacing w:line="240" w:lineRule="auto"/>
              <w:jc w:val="center"/>
              <w:rPr>
                <w:lang w:val="zh-CN"/>
              </w:rPr>
            </w:pPr>
            <w:r>
              <w:rPr>
                <w:lang w:val="zh-CN"/>
              </w:rPr>
              <w:t>76.1</w:t>
            </w:r>
          </w:p>
        </w:tc>
        <w:tc>
          <w:tcPr>
            <w:tcW w:w="959" w:type="dxa"/>
            <w:vAlign w:val="center"/>
          </w:tcPr>
          <w:p>
            <w:pPr>
              <w:autoSpaceDE w:val="0"/>
              <w:autoSpaceDN w:val="0"/>
              <w:spacing w:line="240" w:lineRule="auto"/>
              <w:jc w:val="center"/>
              <w:rPr>
                <w:lang w:val="zh-CN"/>
              </w:rPr>
            </w:pPr>
            <w:r>
              <w:rPr>
                <w:lang w:val="zh-CN"/>
              </w:rPr>
              <w:t>71.6</w:t>
            </w:r>
          </w:p>
        </w:tc>
        <w:tc>
          <w:tcPr>
            <w:tcW w:w="959" w:type="dxa"/>
            <w:vAlign w:val="center"/>
          </w:tcPr>
          <w:p>
            <w:pPr>
              <w:autoSpaceDE w:val="0"/>
              <w:autoSpaceDN w:val="0"/>
              <w:spacing w:line="240" w:lineRule="auto"/>
              <w:jc w:val="center"/>
              <w:rPr>
                <w:lang w:val="zh-CN"/>
              </w:rPr>
            </w:pPr>
            <w:r>
              <w:rPr>
                <w:lang w:val="zh-CN"/>
              </w:rPr>
              <w:t>65.6</w:t>
            </w:r>
          </w:p>
        </w:tc>
        <w:tc>
          <w:tcPr>
            <w:tcW w:w="959" w:type="dxa"/>
            <w:vAlign w:val="center"/>
          </w:tcPr>
          <w:p>
            <w:pPr>
              <w:autoSpaceDE w:val="0"/>
              <w:autoSpaceDN w:val="0"/>
              <w:spacing w:line="240" w:lineRule="auto"/>
              <w:jc w:val="center"/>
              <w:rPr>
                <w:lang w:val="zh-CN"/>
              </w:rPr>
            </w:pPr>
            <w:r>
              <w:rPr>
                <w:lang w:val="zh-CN"/>
              </w:rPr>
              <w:t>62.1</w:t>
            </w:r>
          </w:p>
        </w:tc>
        <w:tc>
          <w:tcPr>
            <w:tcW w:w="959" w:type="dxa"/>
            <w:vAlign w:val="center"/>
          </w:tcPr>
          <w:p>
            <w:pPr>
              <w:autoSpaceDE w:val="0"/>
              <w:autoSpaceDN w:val="0"/>
              <w:spacing w:line="240" w:lineRule="auto"/>
              <w:jc w:val="center"/>
              <w:rPr>
                <w:lang w:val="zh-CN"/>
              </w:rPr>
            </w:pPr>
            <w:r>
              <w:rPr>
                <w:lang w:val="zh-CN"/>
              </w:rPr>
              <w:t>59.6</w:t>
            </w:r>
          </w:p>
        </w:tc>
        <w:tc>
          <w:tcPr>
            <w:tcW w:w="953" w:type="dxa"/>
            <w:vAlign w:val="center"/>
          </w:tcPr>
          <w:p>
            <w:pPr>
              <w:autoSpaceDE w:val="0"/>
              <w:autoSpaceDN w:val="0"/>
              <w:spacing w:line="240" w:lineRule="auto"/>
              <w:jc w:val="center"/>
              <w:rPr>
                <w:lang w:val="zh-CN"/>
              </w:rPr>
            </w:pPr>
            <w:r>
              <w:rPr>
                <w:lang w:val="zh-CN"/>
              </w:rPr>
              <w:t>56.1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257" w:type="dxa"/>
            <w:vAlign w:val="center"/>
          </w:tcPr>
          <w:p>
            <w:pPr>
              <w:autoSpaceDE w:val="0"/>
              <w:autoSpaceDN w:val="0"/>
              <w:spacing w:line="240" w:lineRule="auto"/>
              <w:jc w:val="center"/>
              <w:rPr>
                <w:lang w:val="zh-CN"/>
              </w:rPr>
            </w:pPr>
            <w:r>
              <w:rPr>
                <w:lang w:val="zh-CN"/>
              </w:rPr>
              <w:t>组合二：基础阶段（振捣棒）</w:t>
            </w:r>
          </w:p>
        </w:tc>
        <w:tc>
          <w:tcPr>
            <w:tcW w:w="701" w:type="dxa"/>
            <w:vAlign w:val="center"/>
          </w:tcPr>
          <w:p>
            <w:pPr>
              <w:autoSpaceDE w:val="0"/>
              <w:autoSpaceDN w:val="0"/>
              <w:spacing w:line="240" w:lineRule="auto"/>
              <w:jc w:val="center"/>
            </w:pPr>
            <w:r>
              <w:t>82.5</w:t>
            </w:r>
          </w:p>
        </w:tc>
        <w:tc>
          <w:tcPr>
            <w:tcW w:w="959" w:type="dxa"/>
            <w:vAlign w:val="center"/>
          </w:tcPr>
          <w:p>
            <w:pPr>
              <w:autoSpaceDE w:val="0"/>
              <w:autoSpaceDN w:val="0"/>
              <w:spacing w:line="240" w:lineRule="auto"/>
              <w:jc w:val="center"/>
            </w:pPr>
            <w:r>
              <w:t>80.0</w:t>
            </w:r>
          </w:p>
        </w:tc>
        <w:tc>
          <w:tcPr>
            <w:tcW w:w="959" w:type="dxa"/>
            <w:vAlign w:val="center"/>
          </w:tcPr>
          <w:p>
            <w:pPr>
              <w:autoSpaceDE w:val="0"/>
              <w:autoSpaceDN w:val="0"/>
              <w:spacing w:line="240" w:lineRule="auto"/>
              <w:jc w:val="center"/>
            </w:pPr>
            <w:r>
              <w:t>76.5</w:t>
            </w:r>
          </w:p>
        </w:tc>
        <w:tc>
          <w:tcPr>
            <w:tcW w:w="959" w:type="dxa"/>
            <w:vAlign w:val="center"/>
          </w:tcPr>
          <w:p>
            <w:pPr>
              <w:autoSpaceDE w:val="0"/>
              <w:autoSpaceDN w:val="0"/>
              <w:spacing w:line="240" w:lineRule="auto"/>
              <w:jc w:val="center"/>
            </w:pPr>
            <w:r>
              <w:t>72.0</w:t>
            </w:r>
          </w:p>
        </w:tc>
        <w:tc>
          <w:tcPr>
            <w:tcW w:w="959" w:type="dxa"/>
            <w:vAlign w:val="center"/>
          </w:tcPr>
          <w:p>
            <w:pPr>
              <w:autoSpaceDE w:val="0"/>
              <w:autoSpaceDN w:val="0"/>
              <w:spacing w:line="240" w:lineRule="auto"/>
              <w:jc w:val="center"/>
            </w:pPr>
            <w:r>
              <w:t>66.0</w:t>
            </w:r>
          </w:p>
        </w:tc>
        <w:tc>
          <w:tcPr>
            <w:tcW w:w="959" w:type="dxa"/>
            <w:vAlign w:val="center"/>
          </w:tcPr>
          <w:p>
            <w:pPr>
              <w:autoSpaceDE w:val="0"/>
              <w:autoSpaceDN w:val="0"/>
              <w:spacing w:line="240" w:lineRule="auto"/>
              <w:jc w:val="center"/>
            </w:pPr>
            <w:r>
              <w:t>62.5</w:t>
            </w:r>
          </w:p>
        </w:tc>
        <w:tc>
          <w:tcPr>
            <w:tcW w:w="953" w:type="dxa"/>
            <w:vAlign w:val="center"/>
          </w:tcPr>
          <w:p>
            <w:pPr>
              <w:autoSpaceDE w:val="0"/>
              <w:autoSpaceDN w:val="0"/>
              <w:spacing w:line="240" w:lineRule="auto"/>
              <w:jc w:val="center"/>
            </w:pPr>
            <w: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257" w:type="dxa"/>
            <w:vAlign w:val="center"/>
          </w:tcPr>
          <w:p>
            <w:pPr>
              <w:autoSpaceDE w:val="0"/>
              <w:autoSpaceDN w:val="0"/>
              <w:spacing w:line="240" w:lineRule="auto"/>
              <w:jc w:val="center"/>
              <w:rPr>
                <w:lang w:val="zh-CN"/>
              </w:rPr>
            </w:pPr>
            <w:r>
              <w:rPr>
                <w:lang w:val="zh-CN"/>
              </w:rPr>
              <w:t>组合三：结构阶段（砼输送泵、振捣棒、切割机）</w:t>
            </w:r>
          </w:p>
        </w:tc>
        <w:tc>
          <w:tcPr>
            <w:tcW w:w="701" w:type="dxa"/>
            <w:vAlign w:val="center"/>
          </w:tcPr>
          <w:p>
            <w:pPr>
              <w:autoSpaceDE w:val="0"/>
              <w:autoSpaceDN w:val="0"/>
              <w:spacing w:line="240" w:lineRule="auto"/>
              <w:jc w:val="center"/>
            </w:pPr>
            <w:r>
              <w:t>78.2</w:t>
            </w:r>
          </w:p>
        </w:tc>
        <w:tc>
          <w:tcPr>
            <w:tcW w:w="959" w:type="dxa"/>
            <w:vAlign w:val="center"/>
          </w:tcPr>
          <w:p>
            <w:pPr>
              <w:autoSpaceDE w:val="0"/>
              <w:autoSpaceDN w:val="0"/>
              <w:spacing w:line="240" w:lineRule="auto"/>
              <w:jc w:val="center"/>
            </w:pPr>
            <w:r>
              <w:t>74.7</w:t>
            </w:r>
          </w:p>
        </w:tc>
        <w:tc>
          <w:tcPr>
            <w:tcW w:w="959" w:type="dxa"/>
            <w:vAlign w:val="center"/>
          </w:tcPr>
          <w:p>
            <w:pPr>
              <w:autoSpaceDE w:val="0"/>
              <w:autoSpaceDN w:val="0"/>
              <w:spacing w:line="240" w:lineRule="auto"/>
              <w:jc w:val="center"/>
            </w:pPr>
            <w:r>
              <w:t>70.2</w:t>
            </w:r>
          </w:p>
        </w:tc>
        <w:tc>
          <w:tcPr>
            <w:tcW w:w="959" w:type="dxa"/>
            <w:vAlign w:val="center"/>
          </w:tcPr>
          <w:p>
            <w:pPr>
              <w:autoSpaceDE w:val="0"/>
              <w:autoSpaceDN w:val="0"/>
              <w:spacing w:line="240" w:lineRule="auto"/>
              <w:jc w:val="center"/>
            </w:pPr>
            <w:r>
              <w:t>64.2</w:t>
            </w:r>
          </w:p>
        </w:tc>
        <w:tc>
          <w:tcPr>
            <w:tcW w:w="959" w:type="dxa"/>
            <w:vAlign w:val="center"/>
          </w:tcPr>
          <w:p>
            <w:pPr>
              <w:autoSpaceDE w:val="0"/>
              <w:autoSpaceDN w:val="0"/>
              <w:spacing w:line="240" w:lineRule="auto"/>
              <w:jc w:val="center"/>
            </w:pPr>
            <w:r>
              <w:t>60.7</w:t>
            </w:r>
          </w:p>
        </w:tc>
        <w:tc>
          <w:tcPr>
            <w:tcW w:w="959" w:type="dxa"/>
            <w:vAlign w:val="center"/>
          </w:tcPr>
          <w:p>
            <w:pPr>
              <w:autoSpaceDE w:val="0"/>
              <w:autoSpaceDN w:val="0"/>
              <w:spacing w:line="240" w:lineRule="auto"/>
              <w:jc w:val="center"/>
            </w:pPr>
            <w:r>
              <w:t>58.2</w:t>
            </w:r>
          </w:p>
        </w:tc>
        <w:tc>
          <w:tcPr>
            <w:tcW w:w="953" w:type="dxa"/>
            <w:vAlign w:val="center"/>
          </w:tcPr>
          <w:p>
            <w:pPr>
              <w:autoSpaceDE w:val="0"/>
              <w:autoSpaceDN w:val="0"/>
              <w:spacing w:line="240" w:lineRule="auto"/>
              <w:jc w:val="center"/>
            </w:pPr>
            <w:r>
              <w:t>54.7</w:t>
            </w:r>
          </w:p>
        </w:tc>
      </w:tr>
    </w:tbl>
    <w:p>
      <w:pPr>
        <w:autoSpaceDE w:val="0"/>
        <w:autoSpaceDN w:val="0"/>
        <w:ind w:firstLine="480" w:firstLineChars="200"/>
        <w:rPr>
          <w:sz w:val="24"/>
          <w:szCs w:val="24"/>
          <w:lang w:val="zh-CN"/>
        </w:rPr>
      </w:pPr>
      <w:r>
        <w:rPr>
          <w:sz w:val="24"/>
          <w:szCs w:val="24"/>
          <w:lang w:val="zh-CN"/>
        </w:rPr>
        <w:t>由上表可知，施工期昼间土方阶段、结构阶段噪声源组合在距场界30米外能够达标，基础阶段噪声源组合在距场界50米外能够达标，施工期夜间均不能满足</w:t>
      </w:r>
      <w:r>
        <w:rPr>
          <w:sz w:val="24"/>
          <w:szCs w:val="24"/>
        </w:rPr>
        <w:t>《建筑施工场界环境噪声排放标准》（GB12523-2011）</w:t>
      </w:r>
      <w:r>
        <w:rPr>
          <w:sz w:val="24"/>
          <w:szCs w:val="24"/>
          <w:lang w:val="zh-CN"/>
        </w:rPr>
        <w:t>所规定的施工场界噪声限值。</w:t>
      </w:r>
    </w:p>
    <w:p>
      <w:pPr>
        <w:ind w:firstLine="480" w:firstLineChars="200"/>
        <w:rPr>
          <w:sz w:val="24"/>
          <w:szCs w:val="24"/>
        </w:rPr>
      </w:pPr>
      <w:r>
        <w:rPr>
          <w:sz w:val="24"/>
          <w:szCs w:val="24"/>
        </w:rPr>
        <w:t>上述预测结果表明，施工噪声影响较大，须采用相应的措施以减小施工噪声对周围环境影响。</w:t>
      </w:r>
    </w:p>
    <w:p>
      <w:pPr>
        <w:rPr>
          <w:b/>
          <w:sz w:val="24"/>
          <w:szCs w:val="24"/>
        </w:rPr>
      </w:pPr>
      <w:bookmarkStart w:id="180" w:name="_Toc519871815"/>
      <w:bookmarkStart w:id="181" w:name="_Toc505071622"/>
      <w:bookmarkStart w:id="182" w:name="_Toc519871927"/>
      <w:r>
        <w:rPr>
          <w:b/>
          <w:sz w:val="24"/>
          <w:szCs w:val="24"/>
        </w:rPr>
        <w:t>4.1.4 施工期固体废物影响分析</w:t>
      </w:r>
      <w:bookmarkEnd w:id="180"/>
      <w:bookmarkEnd w:id="181"/>
      <w:bookmarkEnd w:id="182"/>
    </w:p>
    <w:p>
      <w:pPr>
        <w:ind w:firstLine="480" w:firstLineChars="200"/>
        <w:rPr>
          <w:sz w:val="24"/>
          <w:szCs w:val="24"/>
          <w:lang w:val="zh-CN"/>
        </w:rPr>
      </w:pPr>
      <w:r>
        <w:rPr>
          <w:sz w:val="24"/>
          <w:szCs w:val="24"/>
        </w:rPr>
        <w:t>项目施工期固废主要有建筑施工和装修过程中产生的建筑垃圾、施工人员的生活垃圾以及开挖土石方。</w:t>
      </w:r>
    </w:p>
    <w:p>
      <w:pPr>
        <w:ind w:firstLine="480" w:firstLineChars="200"/>
        <w:rPr>
          <w:sz w:val="24"/>
          <w:szCs w:val="24"/>
        </w:rPr>
      </w:pPr>
      <w:r>
        <w:rPr>
          <w:sz w:val="24"/>
          <w:szCs w:val="24"/>
        </w:rPr>
        <w:t>施工期建筑垃圾的主要成分是混凝土、石块、砂石、渣土等，一般不存在“二次污染”的问题，部分可回收利用，也可以用做其他工程回填，如铺设道路，剩余少量建筑垃圾可清运至城市建筑垃圾填埋场作无害化处置，施工期生活垃圾集中收集后，由环卫部门定期清运至城市垃圾填埋场填埋处理。</w:t>
      </w:r>
    </w:p>
    <w:p>
      <w:pPr>
        <w:ind w:firstLine="480" w:firstLineChars="200"/>
        <w:rPr>
          <w:sz w:val="24"/>
          <w:szCs w:val="24"/>
          <w:lang w:val="zh-CN"/>
        </w:rPr>
      </w:pPr>
      <w:r>
        <w:rPr>
          <w:sz w:val="24"/>
          <w:szCs w:val="24"/>
        </w:rPr>
        <w:t>根据项目实际情况，施工期开挖的土方用于项目区内的场</w:t>
      </w:r>
      <w:r>
        <w:rPr>
          <w:bCs/>
          <w:sz w:val="24"/>
          <w:szCs w:val="24"/>
        </w:rPr>
        <w:t>地回填平整以及周边区域道路铺设、景观绿化，开挖量与回填量可以平衡。</w:t>
      </w:r>
    </w:p>
    <w:p>
      <w:pPr>
        <w:ind w:firstLine="480" w:firstLineChars="200"/>
        <w:rPr>
          <w:kern w:val="0"/>
          <w:sz w:val="24"/>
          <w:szCs w:val="24"/>
        </w:rPr>
      </w:pPr>
      <w:r>
        <w:rPr>
          <w:sz w:val="24"/>
          <w:szCs w:val="24"/>
        </w:rPr>
        <w:t>综上所述，本项目施工期建设单位在采取上述治理措施后，本项目施工期的固体废弃物均实现清洁处理和处置，不致造成二次污染，对周围环境影响较小。</w:t>
      </w:r>
    </w:p>
    <w:p>
      <w:pPr>
        <w:rPr>
          <w:b/>
          <w:sz w:val="24"/>
          <w:szCs w:val="24"/>
        </w:rPr>
      </w:pPr>
      <w:bookmarkStart w:id="183" w:name="_Toc505071623"/>
      <w:r>
        <w:rPr>
          <w:b/>
          <w:sz w:val="24"/>
          <w:szCs w:val="24"/>
        </w:rPr>
        <w:t>4.1.5 水土流失环境影响分析</w:t>
      </w:r>
      <w:bookmarkEnd w:id="183"/>
    </w:p>
    <w:p>
      <w:pPr>
        <w:ind w:firstLine="480" w:firstLineChars="200"/>
        <w:rPr>
          <w:sz w:val="24"/>
          <w:szCs w:val="24"/>
        </w:rPr>
      </w:pPr>
      <w:r>
        <w:rPr>
          <w:sz w:val="24"/>
          <w:szCs w:val="24"/>
        </w:rPr>
        <w:t>项目建设期间，项目区土地平整和基坑开挖，会扰动现有地貌，使表土裸露呈松散状态，抗蚀能力减弱，致使土壤侵蚀模数增大，从而增加区域内水土流失趋势。同时，施工中大量散状物如砂、石、水泥堆积产生的扬尘，砂石料冲洗和混凝土养护工程等均可能产生新的水土流失。因此，建设单位须采取有效的水土流失防治措施。</w:t>
      </w:r>
    </w:p>
    <w:p>
      <w:pPr>
        <w:ind w:firstLine="480" w:firstLineChars="200"/>
        <w:rPr>
          <w:sz w:val="24"/>
          <w:szCs w:val="24"/>
          <w:lang w:val="zh-CN"/>
        </w:rPr>
      </w:pPr>
      <w:r>
        <w:rPr>
          <w:sz w:val="24"/>
          <w:szCs w:val="24"/>
        </w:rPr>
        <w:t>建设单位应做到：</w:t>
      </w:r>
    </w:p>
    <w:p>
      <w:pPr>
        <w:autoSpaceDE w:val="0"/>
        <w:autoSpaceDN w:val="0"/>
        <w:ind w:firstLine="480" w:firstLineChars="200"/>
        <w:rPr>
          <w:sz w:val="24"/>
          <w:szCs w:val="24"/>
        </w:rPr>
      </w:pPr>
      <w:r>
        <w:rPr>
          <w:sz w:val="24"/>
          <w:szCs w:val="24"/>
        </w:rPr>
        <w:t>（1）建设过程中产生的弃土方以及施工材料临时堆场须在距离道路较远的平整场地，并采取相应拦挡措施，禁止向其它任何地方倾倒、堆置弃土弃渣；</w:t>
      </w:r>
    </w:p>
    <w:p>
      <w:pPr>
        <w:autoSpaceDE w:val="0"/>
        <w:autoSpaceDN w:val="0"/>
        <w:ind w:firstLine="480" w:firstLineChars="200"/>
        <w:rPr>
          <w:sz w:val="24"/>
          <w:szCs w:val="24"/>
        </w:rPr>
      </w:pPr>
      <w:r>
        <w:rPr>
          <w:sz w:val="24"/>
          <w:szCs w:val="24"/>
        </w:rPr>
        <w:t>（2）施工期间开挖土方用于回填场地及铺设道路，其实施过程应合理衔接，尽量避免土方堆置，若需堆置则应注意土方的合理堆置，与周边道路保持一定距离，尽量避免流入周边管网；</w:t>
      </w:r>
    </w:p>
    <w:p>
      <w:pPr>
        <w:autoSpaceDE w:val="0"/>
        <w:autoSpaceDN w:val="0"/>
        <w:ind w:firstLine="480" w:firstLineChars="200"/>
        <w:rPr>
          <w:sz w:val="24"/>
          <w:szCs w:val="24"/>
        </w:rPr>
      </w:pPr>
      <w:r>
        <w:rPr>
          <w:sz w:val="24"/>
          <w:szCs w:val="24"/>
        </w:rPr>
        <w:t>（3）开挖土石方尽量避免雨季，防止突发暴雨对裸露地表冲刷造成水土流失，施工阶段遇到雨季无法施工时须采取必要的护坡措施（设临时挡墙），避免发生大面积的水土流失堵塞管道；</w:t>
      </w:r>
    </w:p>
    <w:p>
      <w:pPr>
        <w:autoSpaceDE w:val="0"/>
        <w:autoSpaceDN w:val="0"/>
        <w:ind w:firstLine="480" w:firstLineChars="200"/>
        <w:rPr>
          <w:sz w:val="24"/>
          <w:szCs w:val="24"/>
        </w:rPr>
      </w:pPr>
      <w:r>
        <w:rPr>
          <w:sz w:val="24"/>
          <w:szCs w:val="24"/>
        </w:rPr>
        <w:t>（4）合理安排作业时段并适时加快施工进度，施工结束应及时清理场地，按照规划对项目区域场地进行硬化、绿化、种植草木，尽量将水土流失降到最低；</w:t>
      </w:r>
    </w:p>
    <w:p>
      <w:pPr>
        <w:ind w:firstLine="480" w:firstLineChars="200"/>
        <w:rPr>
          <w:sz w:val="24"/>
          <w:szCs w:val="24"/>
        </w:rPr>
      </w:pPr>
      <w:r>
        <w:rPr>
          <w:sz w:val="24"/>
          <w:szCs w:val="24"/>
        </w:rPr>
        <w:t>（5）渣土运输进出施工场地道路必须进行硬化，且在出入口处挖设浅沟，对来往车辆车轮进行冲洗，避免将施工场地内的泥沙带出场外。</w:t>
      </w:r>
    </w:p>
    <w:p>
      <w:pPr>
        <w:autoSpaceDE w:val="0"/>
        <w:autoSpaceDN w:val="0"/>
        <w:ind w:firstLine="480" w:firstLineChars="200"/>
        <w:rPr>
          <w:sz w:val="24"/>
          <w:szCs w:val="24"/>
        </w:rPr>
      </w:pPr>
      <w:r>
        <w:rPr>
          <w:sz w:val="24"/>
          <w:szCs w:val="24"/>
        </w:rPr>
        <w:t>在采取本次评价提出的措施后，施工期的水土流失影响将得到有效控制，此外，施工场地的水土流失大多发生在施工前期，随着施工期的进展，水土流失将大大减小，其影响也将逐渐减弱。</w:t>
      </w:r>
    </w:p>
    <w:p>
      <w:pPr>
        <w:pStyle w:val="5"/>
        <w:rPr>
          <w:sz w:val="24"/>
          <w:szCs w:val="24"/>
        </w:rPr>
      </w:pPr>
      <w:bookmarkStart w:id="184" w:name="_Toc532395320"/>
    </w:p>
    <w:p/>
    <w:p>
      <w:pPr>
        <w:pStyle w:val="2"/>
      </w:pPr>
    </w:p>
    <w:p>
      <w:pPr>
        <w:pStyle w:val="5"/>
        <w:rPr>
          <w:sz w:val="24"/>
          <w:szCs w:val="24"/>
        </w:rPr>
      </w:pPr>
      <w:bookmarkStart w:id="185" w:name="_Toc7669_WPSOffice_Level2"/>
      <w:r>
        <w:rPr>
          <w:sz w:val="24"/>
          <w:szCs w:val="24"/>
        </w:rPr>
        <w:t>4.2 营运期环境影响预测与评价</w:t>
      </w:r>
      <w:bookmarkEnd w:id="184"/>
      <w:bookmarkEnd w:id="185"/>
    </w:p>
    <w:p>
      <w:pPr>
        <w:rPr>
          <w:b/>
          <w:sz w:val="24"/>
          <w:szCs w:val="24"/>
        </w:rPr>
      </w:pPr>
      <w:r>
        <w:rPr>
          <w:b/>
          <w:sz w:val="24"/>
          <w:szCs w:val="24"/>
        </w:rPr>
        <w:t>4.2.1 营运期大气环境影响预测与评价</w:t>
      </w:r>
    </w:p>
    <w:p>
      <w:pPr>
        <w:pStyle w:val="1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cs="Times New Roman"/>
          <w:b/>
          <w:color w:val="auto"/>
        </w:rPr>
      </w:pPr>
      <w:bookmarkStart w:id="186" w:name="_Toc8725_WPSOffice_Level3"/>
      <w:r>
        <w:rPr>
          <w:rFonts w:hint="default" w:ascii="Times New Roman" w:hAnsi="Times New Roman" w:cs="Times New Roman"/>
          <w:b/>
          <w:color w:val="auto"/>
          <w:kern w:val="2"/>
          <w:lang w:bidi="ar"/>
        </w:rPr>
        <w:t>1、气象统计资料</w:t>
      </w:r>
      <w:bookmarkEnd w:id="186"/>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68" w:firstLineChars="200"/>
        <w:textAlignment w:val="auto"/>
        <w:rPr>
          <w:rFonts w:hint="default" w:ascii="Times New Roman" w:hAnsi="Times New Roman" w:cs="Times New Roman"/>
          <w:sz w:val="24"/>
          <w:szCs w:val="32"/>
        </w:rPr>
      </w:pPr>
      <w:r>
        <w:rPr>
          <w:rFonts w:hint="default" w:ascii="Times New Roman" w:hAnsi="Times New Roman" w:cs="Times New Roman"/>
          <w:spacing w:val="-3"/>
          <w:sz w:val="24"/>
          <w:szCs w:val="32"/>
        </w:rPr>
        <w:t>六安市属北亚热带湿润季风气候区的北缘，具有明显的过渡带特点。气候温和、雨</w:t>
      </w:r>
      <w:r>
        <w:rPr>
          <w:rFonts w:hint="default" w:ascii="Times New Roman" w:hAnsi="Times New Roman" w:cs="Times New Roman"/>
          <w:spacing w:val="-8"/>
          <w:sz w:val="24"/>
          <w:szCs w:val="32"/>
        </w:rPr>
        <w:t>量充沛、日光充足、无霜期长、四季分明、夏季炎热多雨、冬季寒冷干燥。雨量年际变</w:t>
      </w:r>
      <w:r>
        <w:rPr>
          <w:rFonts w:hint="default" w:ascii="Times New Roman" w:hAnsi="Times New Roman" w:cs="Times New Roman"/>
          <w:spacing w:val="-12"/>
          <w:sz w:val="24"/>
          <w:szCs w:val="32"/>
        </w:rPr>
        <w:t>化较大，年内分布不均，年均降雨量</w:t>
      </w:r>
      <w:r>
        <w:rPr>
          <w:rFonts w:hint="default" w:ascii="Times New Roman" w:hAnsi="Times New Roman" w:eastAsia="Times New Roman" w:cs="Times New Roman"/>
          <w:spacing w:val="-3"/>
          <w:sz w:val="24"/>
          <w:szCs w:val="32"/>
        </w:rPr>
        <w:t>1093.5mm</w:t>
      </w:r>
      <w:r>
        <w:rPr>
          <w:rFonts w:hint="eastAsia" w:ascii="Times New Roman" w:hAnsi="Times New Roman" w:eastAsia="宋体" w:cs="Times New Roman"/>
          <w:spacing w:val="-9"/>
          <w:sz w:val="24"/>
          <w:szCs w:val="32"/>
          <w:lang w:eastAsia="zh-CN"/>
        </w:rPr>
        <w:t>；</w:t>
      </w:r>
      <w:r>
        <w:rPr>
          <w:rFonts w:hint="default" w:ascii="Times New Roman" w:hAnsi="Times New Roman" w:cs="Times New Roman"/>
          <w:spacing w:val="-9"/>
          <w:sz w:val="24"/>
          <w:szCs w:val="32"/>
        </w:rPr>
        <w:t>年最大降雨量</w:t>
      </w:r>
      <w:r>
        <w:rPr>
          <w:rFonts w:hint="default" w:ascii="Times New Roman" w:hAnsi="Times New Roman" w:eastAsia="Times New Roman" w:cs="Times New Roman"/>
          <w:spacing w:val="-3"/>
          <w:sz w:val="24"/>
          <w:szCs w:val="32"/>
        </w:rPr>
        <w:t>1448.6mm</w:t>
      </w:r>
      <w:r>
        <w:rPr>
          <w:rFonts w:hint="eastAsia" w:ascii="Times New Roman" w:hAnsi="Times New Roman" w:eastAsia="宋体" w:cs="Times New Roman"/>
          <w:spacing w:val="-3"/>
          <w:sz w:val="24"/>
          <w:szCs w:val="32"/>
          <w:lang w:eastAsia="zh-CN"/>
        </w:rPr>
        <w:t>；</w:t>
      </w:r>
      <w:r>
        <w:rPr>
          <w:rFonts w:hint="default" w:ascii="Times New Roman" w:hAnsi="Times New Roman" w:cs="Times New Roman"/>
          <w:spacing w:val="-2"/>
          <w:sz w:val="24"/>
          <w:szCs w:val="32"/>
        </w:rPr>
        <w:t>年最小降雨</w:t>
      </w:r>
      <w:r>
        <w:rPr>
          <w:rFonts w:hint="default" w:ascii="Times New Roman" w:hAnsi="Times New Roman" w:cs="Times New Roman"/>
          <w:spacing w:val="-29"/>
          <w:sz w:val="24"/>
          <w:szCs w:val="32"/>
        </w:rPr>
        <w:t xml:space="preserve">量 </w:t>
      </w:r>
      <w:r>
        <w:rPr>
          <w:rFonts w:hint="default" w:ascii="Times New Roman" w:hAnsi="Times New Roman" w:eastAsia="Times New Roman" w:cs="Times New Roman"/>
          <w:sz w:val="24"/>
          <w:szCs w:val="32"/>
        </w:rPr>
        <w:t>647.7mm</w:t>
      </w:r>
      <w:r>
        <w:rPr>
          <w:rFonts w:hint="default" w:ascii="Times New Roman" w:hAnsi="Times New Roman" w:cs="Times New Roman"/>
          <w:spacing w:val="-8"/>
          <w:sz w:val="24"/>
          <w:szCs w:val="32"/>
        </w:rPr>
        <w:t>；最大时降雨量</w:t>
      </w:r>
      <w:r>
        <w:rPr>
          <w:rFonts w:hint="default" w:ascii="Times New Roman" w:hAnsi="Times New Roman" w:eastAsia="Times New Roman" w:cs="Times New Roman"/>
          <w:sz w:val="24"/>
          <w:szCs w:val="32"/>
        </w:rPr>
        <w:t>63.2mm</w:t>
      </w:r>
      <w:r>
        <w:rPr>
          <w:rFonts w:hint="default" w:ascii="Times New Roman" w:hAnsi="Times New Roman" w:cs="Times New Roman"/>
          <w:spacing w:val="-14"/>
          <w:sz w:val="24"/>
          <w:szCs w:val="32"/>
        </w:rPr>
        <w:t>；最大</w:t>
      </w:r>
      <w:r>
        <w:rPr>
          <w:rFonts w:hint="default" w:ascii="Times New Roman" w:hAnsi="Times New Roman" w:eastAsia="Times New Roman" w:cs="Times New Roman"/>
          <w:sz w:val="24"/>
          <w:szCs w:val="32"/>
        </w:rPr>
        <w:t>24</w:t>
      </w:r>
      <w:r>
        <w:rPr>
          <w:rFonts w:hint="default" w:ascii="Times New Roman" w:hAnsi="Times New Roman" w:cs="Times New Roman"/>
          <w:spacing w:val="-9"/>
          <w:sz w:val="24"/>
          <w:szCs w:val="32"/>
        </w:rPr>
        <w:t>小时降雨量</w:t>
      </w:r>
      <w:r>
        <w:rPr>
          <w:rFonts w:hint="default" w:ascii="Times New Roman" w:hAnsi="Times New Roman" w:eastAsia="Times New Roman" w:cs="Times New Roman"/>
          <w:sz w:val="24"/>
          <w:szCs w:val="32"/>
        </w:rPr>
        <w:t>250.22mm</w:t>
      </w:r>
      <w:r>
        <w:rPr>
          <w:rFonts w:hint="default" w:ascii="Times New Roman" w:hAnsi="Times New Roman" w:cs="Times New Roman"/>
          <w:sz w:val="24"/>
          <w:szCs w:val="32"/>
        </w:rPr>
        <w:t>。六安市大部分地</w:t>
      </w:r>
      <w:r>
        <w:rPr>
          <w:rFonts w:hint="default" w:ascii="Times New Roman" w:hAnsi="Times New Roman" w:cs="Times New Roman"/>
          <w:spacing w:val="-7"/>
          <w:sz w:val="24"/>
          <w:szCs w:val="32"/>
        </w:rPr>
        <w:t>区多年平均气温为</w:t>
      </w:r>
      <w:r>
        <w:rPr>
          <w:rFonts w:hint="default" w:ascii="Times New Roman" w:hAnsi="Times New Roman" w:eastAsia="Times New Roman" w:cs="Times New Roman"/>
          <w:spacing w:val="-11"/>
          <w:sz w:val="24"/>
          <w:szCs w:val="32"/>
        </w:rPr>
        <w:t>16.7</w:t>
      </w:r>
      <w:r>
        <w:rPr>
          <w:rFonts w:hint="default" w:ascii="Times New Roman" w:hAnsi="Times New Roman" w:cs="Times New Roman"/>
          <w:spacing w:val="-11"/>
          <w:sz w:val="24"/>
          <w:szCs w:val="32"/>
        </w:rPr>
        <w:t>℃，自东北向西南随地势抬高而递减。多年平均相对湿度</w:t>
      </w:r>
      <w:r>
        <w:rPr>
          <w:rFonts w:hint="eastAsia" w:ascii="Times New Roman" w:hAnsi="Times New Roman" w:eastAsia="宋体" w:cs="Times New Roman"/>
          <w:spacing w:val="-11"/>
          <w:sz w:val="24"/>
          <w:szCs w:val="32"/>
          <w:lang w:val="en-US" w:eastAsia="zh-CN"/>
        </w:rPr>
        <w:t>7</w:t>
      </w:r>
      <w:r>
        <w:rPr>
          <w:rFonts w:hint="default" w:ascii="Times New Roman" w:hAnsi="Times New Roman" w:eastAsia="Times New Roman" w:cs="Times New Roman"/>
          <w:spacing w:val="-4"/>
          <w:sz w:val="24"/>
          <w:szCs w:val="32"/>
        </w:rPr>
        <w:t>7.6%</w:t>
      </w:r>
      <w:r>
        <w:rPr>
          <w:rFonts w:hint="default" w:ascii="Times New Roman" w:hAnsi="Times New Roman" w:cs="Times New Roman"/>
          <w:spacing w:val="-4"/>
          <w:sz w:val="24"/>
          <w:szCs w:val="32"/>
        </w:rPr>
        <w:t>，</w:t>
      </w:r>
      <w:r>
        <w:rPr>
          <w:rFonts w:hint="default" w:ascii="Times New Roman" w:hAnsi="Times New Roman" w:cs="Times New Roman"/>
          <w:spacing w:val="-9"/>
          <w:sz w:val="24"/>
          <w:szCs w:val="32"/>
        </w:rPr>
        <w:t>最大相对湿度</w:t>
      </w:r>
      <w:r>
        <w:rPr>
          <w:rFonts w:hint="default" w:ascii="Times New Roman" w:hAnsi="Times New Roman" w:eastAsia="Times New Roman" w:cs="Times New Roman"/>
          <w:spacing w:val="-6"/>
          <w:sz w:val="24"/>
          <w:szCs w:val="32"/>
        </w:rPr>
        <w:t>99%</w:t>
      </w:r>
      <w:r>
        <w:rPr>
          <w:rFonts w:hint="default" w:ascii="Times New Roman" w:hAnsi="Times New Roman" w:cs="Times New Roman"/>
          <w:spacing w:val="-12"/>
          <w:sz w:val="24"/>
          <w:szCs w:val="32"/>
        </w:rPr>
        <w:t>，最小湿度</w:t>
      </w:r>
      <w:r>
        <w:rPr>
          <w:rFonts w:hint="default" w:ascii="Times New Roman" w:hAnsi="Times New Roman" w:eastAsia="Times New Roman" w:cs="Times New Roman"/>
          <w:sz w:val="24"/>
          <w:szCs w:val="32"/>
        </w:rPr>
        <w:t>10%</w:t>
      </w:r>
      <w:r>
        <w:rPr>
          <w:rFonts w:hint="default" w:ascii="Times New Roman" w:hAnsi="Times New Roman" w:cs="Times New Roman"/>
          <w:spacing w:val="-12"/>
          <w:sz w:val="24"/>
          <w:szCs w:val="32"/>
        </w:rPr>
        <w:t>。最大积雪深度</w:t>
      </w:r>
      <w:r>
        <w:rPr>
          <w:rFonts w:hint="default" w:ascii="Times New Roman" w:hAnsi="Times New Roman" w:eastAsia="Times New Roman" w:cs="Times New Roman"/>
          <w:spacing w:val="-5"/>
          <w:sz w:val="24"/>
          <w:szCs w:val="32"/>
        </w:rPr>
        <w:t>44cm</w:t>
      </w:r>
      <w:r>
        <w:rPr>
          <w:rFonts w:hint="default" w:ascii="Times New Roman" w:hAnsi="Times New Roman" w:cs="Times New Roman"/>
          <w:spacing w:val="-10"/>
          <w:sz w:val="24"/>
          <w:szCs w:val="32"/>
        </w:rPr>
        <w:t>；最大冻土深度</w:t>
      </w:r>
      <w:r>
        <w:rPr>
          <w:rFonts w:hint="default" w:ascii="Times New Roman" w:hAnsi="Times New Roman" w:eastAsia="Times New Roman" w:cs="Times New Roman"/>
          <w:sz w:val="24"/>
          <w:szCs w:val="32"/>
        </w:rPr>
        <w:t>10cm</w:t>
      </w:r>
      <w:r>
        <w:rPr>
          <w:rFonts w:hint="default" w:ascii="Times New Roman" w:hAnsi="Times New Roman" w:cs="Times New Roman"/>
          <w:spacing w:val="-6"/>
          <w:sz w:val="24"/>
          <w:szCs w:val="32"/>
        </w:rPr>
        <w:t>。六安市</w:t>
      </w:r>
      <w:r>
        <w:rPr>
          <w:rFonts w:hint="default" w:ascii="Times New Roman" w:hAnsi="Times New Roman" w:cs="Times New Roman"/>
          <w:spacing w:val="-15"/>
          <w:sz w:val="24"/>
          <w:szCs w:val="32"/>
        </w:rPr>
        <w:t>平均日照时数</w:t>
      </w:r>
      <w:r>
        <w:rPr>
          <w:rFonts w:hint="default" w:ascii="Times New Roman" w:hAnsi="Times New Roman" w:eastAsia="Times New Roman" w:cs="Times New Roman"/>
          <w:sz w:val="24"/>
          <w:szCs w:val="32"/>
        </w:rPr>
        <w:t>1960</w:t>
      </w:r>
      <w:r>
        <w:rPr>
          <w:rFonts w:hint="default" w:ascii="Times New Roman" w:hAnsi="Times New Roman" w:cs="Times New Roman"/>
          <w:sz w:val="24"/>
          <w:szCs w:val="32"/>
        </w:rPr>
        <w:t>～</w:t>
      </w:r>
      <w:r>
        <w:rPr>
          <w:rFonts w:hint="default" w:ascii="Times New Roman" w:hAnsi="Times New Roman" w:eastAsia="Times New Roman" w:cs="Times New Roman"/>
          <w:sz w:val="24"/>
          <w:szCs w:val="32"/>
        </w:rPr>
        <w:t>2330</w:t>
      </w:r>
      <w:r>
        <w:rPr>
          <w:rFonts w:hint="default" w:ascii="Times New Roman" w:hAnsi="Times New Roman" w:cs="Times New Roman"/>
          <w:spacing w:val="-9"/>
          <w:sz w:val="24"/>
          <w:szCs w:val="32"/>
        </w:rPr>
        <w:t>小时，日照百分率在</w:t>
      </w:r>
      <w:r>
        <w:rPr>
          <w:rFonts w:hint="default" w:ascii="Times New Roman" w:hAnsi="Times New Roman" w:eastAsia="Times New Roman" w:cs="Times New Roman"/>
          <w:sz w:val="24"/>
          <w:szCs w:val="32"/>
        </w:rPr>
        <w:t>46%</w:t>
      </w:r>
      <w:r>
        <w:rPr>
          <w:rFonts w:hint="default" w:ascii="Times New Roman" w:hAnsi="Times New Roman" w:cs="Times New Roman"/>
          <w:sz w:val="24"/>
          <w:szCs w:val="32"/>
        </w:rPr>
        <w:t>～</w:t>
      </w:r>
      <w:r>
        <w:rPr>
          <w:rFonts w:hint="default" w:ascii="Times New Roman" w:hAnsi="Times New Roman" w:eastAsia="Times New Roman" w:cs="Times New Roman"/>
          <w:sz w:val="24"/>
          <w:szCs w:val="32"/>
        </w:rPr>
        <w:t>52%</w:t>
      </w:r>
      <w:r>
        <w:rPr>
          <w:rFonts w:hint="default" w:ascii="Times New Roman" w:hAnsi="Times New Roman" w:cs="Times New Roman"/>
          <w:spacing w:val="-3"/>
          <w:sz w:val="24"/>
          <w:szCs w:val="32"/>
        </w:rPr>
        <w:t>，夏秋季节高，冬春季节低。</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textAlignment w:val="auto"/>
        <w:rPr>
          <w:rFonts w:hint="default" w:ascii="Times New Roman" w:hAnsi="Times New Roman" w:cs="Times New Roman"/>
          <w:sz w:val="24"/>
          <w:szCs w:val="32"/>
        </w:rPr>
      </w:pPr>
      <w:r>
        <w:rPr>
          <w:rFonts w:hint="default" w:ascii="Times New Roman" w:hAnsi="Times New Roman" w:cs="Times New Roman"/>
          <w:sz w:val="24"/>
          <w:szCs w:val="32"/>
        </w:rPr>
        <w:t>根据六安市气象站近</w:t>
      </w:r>
      <w:r>
        <w:rPr>
          <w:rFonts w:hint="default" w:ascii="Times New Roman" w:hAnsi="Times New Roman" w:eastAsia="Times New Roman" w:cs="Times New Roman"/>
          <w:sz w:val="24"/>
          <w:szCs w:val="32"/>
        </w:rPr>
        <w:t>20</w:t>
      </w:r>
      <w:r>
        <w:rPr>
          <w:rFonts w:hint="default" w:ascii="Times New Roman" w:hAnsi="Times New Roman" w:cs="Times New Roman"/>
          <w:sz w:val="24"/>
          <w:szCs w:val="32"/>
        </w:rPr>
        <w:t>年的气象统计资料，分析本地区污染气象。</w:t>
      </w:r>
    </w:p>
    <w:p>
      <w:pPr>
        <w:pStyle w:val="12"/>
        <w:pageBreakBefore w:val="0"/>
        <w:widowControl w:val="0"/>
        <w:kinsoku/>
        <w:wordWrap/>
        <w:overflowPunct/>
        <w:topLinePunct w:val="0"/>
        <w:autoSpaceDE/>
        <w:autoSpaceDN/>
        <w:bidi w:val="0"/>
        <w:spacing w:after="0" w:line="360" w:lineRule="auto"/>
        <w:ind w:left="0" w:right="0" w:firstLine="480" w:firstLineChars="200"/>
        <w:textAlignment w:val="auto"/>
        <w:rPr>
          <w:rFonts w:hint="default" w:ascii="Times New Roman" w:hAnsi="Times New Roman" w:cs="Times New Roman"/>
          <w:sz w:val="24"/>
          <w:szCs w:val="32"/>
        </w:rPr>
      </w:pPr>
      <w:r>
        <w:rPr>
          <w:rFonts w:hint="default" w:ascii="Times New Roman" w:hAnsi="Times New Roman" w:eastAsia="宋体" w:cs="Times New Roman"/>
          <w:sz w:val="24"/>
          <w:szCs w:val="32"/>
          <w:lang w:eastAsia="zh-CN"/>
        </w:rPr>
        <w:t>（</w:t>
      </w:r>
      <w:r>
        <w:rPr>
          <w:rFonts w:hint="default" w:ascii="Times New Roman" w:hAnsi="Times New Roman" w:eastAsia="宋体" w:cs="Times New Roman"/>
          <w:sz w:val="24"/>
          <w:szCs w:val="32"/>
          <w:lang w:val="en-US" w:eastAsia="zh-CN"/>
        </w:rPr>
        <w:t>1</w:t>
      </w:r>
      <w:r>
        <w:rPr>
          <w:rFonts w:hint="default" w:ascii="Times New Roman" w:hAnsi="Times New Roman" w:eastAsia="宋体" w:cs="Times New Roman"/>
          <w:sz w:val="24"/>
          <w:szCs w:val="32"/>
          <w:lang w:eastAsia="zh-CN"/>
        </w:rPr>
        <w:t>）</w:t>
      </w:r>
      <w:r>
        <w:rPr>
          <w:rFonts w:hint="default" w:ascii="Times New Roman" w:hAnsi="Times New Roman" w:cs="Times New Roman"/>
          <w:sz w:val="24"/>
          <w:szCs w:val="32"/>
        </w:rPr>
        <w:t>温度</w:t>
      </w:r>
    </w:p>
    <w:p>
      <w:pPr>
        <w:pStyle w:val="12"/>
        <w:pageBreakBefore w:val="0"/>
        <w:widowControl w:val="0"/>
        <w:kinsoku/>
        <w:wordWrap/>
        <w:overflowPunct/>
        <w:topLinePunct w:val="0"/>
        <w:autoSpaceDE/>
        <w:autoSpaceDN/>
        <w:bidi w:val="0"/>
        <w:spacing w:after="0" w:line="360" w:lineRule="auto"/>
        <w:ind w:left="0" w:right="0" w:firstLine="480" w:firstLineChars="200"/>
        <w:textAlignment w:val="auto"/>
        <w:rPr>
          <w:rFonts w:hint="default" w:ascii="Times New Roman" w:hAnsi="Times New Roman" w:cs="Times New Roman"/>
          <w:sz w:val="24"/>
          <w:szCs w:val="32"/>
        </w:rPr>
      </w:pPr>
      <w:r>
        <w:rPr>
          <w:rFonts w:hint="default" w:ascii="Times New Roman" w:hAnsi="Times New Roman" w:cs="Times New Roman"/>
          <w:sz w:val="24"/>
          <w:szCs w:val="32"/>
        </w:rPr>
        <w:t>六安市年平均温度的月变化情况见表</w:t>
      </w:r>
      <w:r>
        <w:rPr>
          <w:rFonts w:hint="default" w:ascii="Times New Roman" w:hAnsi="Times New Roman" w:eastAsia="Times New Roman" w:cs="Times New Roman"/>
          <w:sz w:val="24"/>
          <w:szCs w:val="32"/>
        </w:rPr>
        <w:t>4.2-1</w:t>
      </w:r>
      <w:r>
        <w:rPr>
          <w:rFonts w:hint="default" w:ascii="Times New Roman" w:hAnsi="Times New Roman" w:cs="Times New Roman"/>
          <w:sz w:val="24"/>
          <w:szCs w:val="32"/>
        </w:rPr>
        <w:t>和图</w:t>
      </w:r>
      <w:r>
        <w:rPr>
          <w:rFonts w:hint="default" w:ascii="Times New Roman" w:hAnsi="Times New Roman" w:eastAsia="Times New Roman" w:cs="Times New Roman"/>
          <w:sz w:val="24"/>
          <w:szCs w:val="32"/>
        </w:rPr>
        <w:t>4.2-1</w:t>
      </w:r>
      <w:r>
        <w:rPr>
          <w:rFonts w:hint="default" w:ascii="Times New Roman" w:hAnsi="Times New Roman" w:cs="Times New Roman"/>
          <w:sz w:val="24"/>
          <w:szCs w:val="32"/>
        </w:rPr>
        <w:t>。</w:t>
      </w:r>
    </w:p>
    <w:p>
      <w:pPr>
        <w:keepNext w:val="0"/>
        <w:keepLines w:val="0"/>
        <w:pageBreakBefore w:val="0"/>
        <w:widowControl w:val="0"/>
        <w:tabs>
          <w:tab w:val="left" w:pos="3207"/>
          <w:tab w:val="left" w:pos="7424"/>
        </w:tabs>
        <w:kinsoku/>
        <w:wordWrap/>
        <w:overflowPunct/>
        <w:topLinePunct w:val="0"/>
        <w:autoSpaceDE/>
        <w:autoSpaceDN/>
        <w:bidi w:val="0"/>
        <w:adjustRightInd w:val="0"/>
        <w:snapToGrid w:val="0"/>
        <w:spacing w:line="240" w:lineRule="auto"/>
        <w:ind w:left="0" w:right="0" w:firstLine="0"/>
        <w:jc w:val="center"/>
        <w:textAlignment w:val="auto"/>
        <w:rPr>
          <w:sz w:val="12"/>
        </w:rPr>
      </w:pPr>
      <w:r>
        <w:rPr>
          <w:b/>
          <w:sz w:val="24"/>
        </w:rPr>
        <w:t>表</w:t>
      </w:r>
      <w:r>
        <w:rPr>
          <w:b/>
          <w:spacing w:val="-59"/>
          <w:sz w:val="24"/>
        </w:rPr>
        <w:t xml:space="preserve"> </w:t>
      </w:r>
      <w:r>
        <w:rPr>
          <w:rFonts w:ascii="Times New Roman" w:hAnsi="Times New Roman" w:eastAsia="Times New Roman"/>
          <w:b/>
          <w:sz w:val="24"/>
        </w:rPr>
        <w:t>4.2-1</w:t>
      </w:r>
      <w:r>
        <w:rPr>
          <w:rFonts w:hint="eastAsia" w:eastAsia="宋体"/>
          <w:b/>
          <w:sz w:val="24"/>
          <w:lang w:val="en-US" w:eastAsia="zh-CN"/>
        </w:rPr>
        <w:t xml:space="preserve">  </w:t>
      </w:r>
      <w:r>
        <w:rPr>
          <w:b/>
          <w:sz w:val="24"/>
        </w:rPr>
        <w:t>六安市年平均温度的月变化统计表</w:t>
      </w:r>
      <w:r>
        <w:rPr>
          <w:rFonts w:hint="eastAsia"/>
          <w:b/>
          <w:sz w:val="24"/>
          <w:lang w:val="en-US" w:eastAsia="zh-CN"/>
        </w:rPr>
        <w:t xml:space="preserve">      </w:t>
      </w:r>
      <w:r>
        <w:rPr>
          <w:sz w:val="24"/>
        </w:rPr>
        <w:t>单位：℃</w:t>
      </w:r>
    </w:p>
    <w:tbl>
      <w:tblPr>
        <w:tblStyle w:val="22"/>
        <w:tblW w:w="9302" w:type="dxa"/>
        <w:jc w:val="center"/>
        <w:tblInd w:w="109"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82"/>
        <w:gridCol w:w="605"/>
        <w:gridCol w:w="605"/>
        <w:gridCol w:w="605"/>
        <w:gridCol w:w="605"/>
        <w:gridCol w:w="607"/>
        <w:gridCol w:w="605"/>
        <w:gridCol w:w="607"/>
        <w:gridCol w:w="605"/>
        <w:gridCol w:w="607"/>
        <w:gridCol w:w="715"/>
        <w:gridCol w:w="705"/>
        <w:gridCol w:w="842"/>
        <w:gridCol w:w="6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60" w:hRule="atLeast"/>
          <w:jc w:val="center"/>
        </w:trPr>
        <w:tc>
          <w:tcPr>
            <w:tcW w:w="982"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sz w:val="21"/>
              </w:rPr>
              <w:t>月份</w:t>
            </w:r>
          </w:p>
        </w:tc>
        <w:tc>
          <w:tcPr>
            <w:tcW w:w="60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rFonts w:ascii="Times New Roman" w:eastAsia="Times New Roman"/>
                <w:sz w:val="21"/>
              </w:rPr>
              <w:t xml:space="preserve">1 </w:t>
            </w:r>
            <w:r>
              <w:rPr>
                <w:sz w:val="21"/>
              </w:rPr>
              <w:t>月</w:t>
            </w:r>
          </w:p>
        </w:tc>
        <w:tc>
          <w:tcPr>
            <w:tcW w:w="60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rFonts w:ascii="Times New Roman" w:eastAsia="Times New Roman"/>
                <w:sz w:val="21"/>
              </w:rPr>
              <w:t xml:space="preserve">2 </w:t>
            </w:r>
            <w:r>
              <w:rPr>
                <w:sz w:val="21"/>
              </w:rPr>
              <w:t>月</w:t>
            </w:r>
          </w:p>
        </w:tc>
        <w:tc>
          <w:tcPr>
            <w:tcW w:w="60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rFonts w:ascii="Times New Roman" w:eastAsia="Times New Roman"/>
                <w:sz w:val="21"/>
              </w:rPr>
              <w:t xml:space="preserve">3 </w:t>
            </w:r>
            <w:r>
              <w:rPr>
                <w:sz w:val="21"/>
              </w:rPr>
              <w:t>月</w:t>
            </w:r>
          </w:p>
        </w:tc>
        <w:tc>
          <w:tcPr>
            <w:tcW w:w="60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rFonts w:ascii="Times New Roman" w:eastAsia="Times New Roman"/>
                <w:sz w:val="21"/>
              </w:rPr>
              <w:t xml:space="preserve">4 </w:t>
            </w:r>
            <w:r>
              <w:rPr>
                <w:sz w:val="21"/>
              </w:rPr>
              <w:t>月</w:t>
            </w:r>
          </w:p>
        </w:tc>
        <w:tc>
          <w:tcPr>
            <w:tcW w:w="60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rFonts w:ascii="Times New Roman" w:eastAsia="Times New Roman"/>
                <w:sz w:val="21"/>
              </w:rPr>
              <w:t xml:space="preserve">5 </w:t>
            </w:r>
            <w:r>
              <w:rPr>
                <w:sz w:val="21"/>
              </w:rPr>
              <w:t>月</w:t>
            </w:r>
          </w:p>
        </w:tc>
        <w:tc>
          <w:tcPr>
            <w:tcW w:w="60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rFonts w:ascii="Times New Roman" w:eastAsia="Times New Roman"/>
                <w:sz w:val="21"/>
              </w:rPr>
              <w:t xml:space="preserve">6 </w:t>
            </w:r>
            <w:r>
              <w:rPr>
                <w:sz w:val="21"/>
              </w:rPr>
              <w:t>月</w:t>
            </w:r>
          </w:p>
        </w:tc>
        <w:tc>
          <w:tcPr>
            <w:tcW w:w="60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rFonts w:ascii="Times New Roman" w:eastAsia="Times New Roman"/>
                <w:sz w:val="21"/>
              </w:rPr>
              <w:t xml:space="preserve">7 </w:t>
            </w:r>
            <w:r>
              <w:rPr>
                <w:sz w:val="21"/>
              </w:rPr>
              <w:t>月</w:t>
            </w:r>
          </w:p>
        </w:tc>
        <w:tc>
          <w:tcPr>
            <w:tcW w:w="60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rFonts w:ascii="Times New Roman" w:eastAsia="Times New Roman"/>
                <w:sz w:val="21"/>
              </w:rPr>
              <w:t>8</w:t>
            </w:r>
            <w:r>
              <w:rPr>
                <w:sz w:val="21"/>
              </w:rPr>
              <w:t>月</w:t>
            </w:r>
          </w:p>
        </w:tc>
        <w:tc>
          <w:tcPr>
            <w:tcW w:w="60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rFonts w:ascii="Times New Roman" w:eastAsia="Times New Roman"/>
                <w:sz w:val="21"/>
              </w:rPr>
              <w:t>9</w:t>
            </w:r>
            <w:r>
              <w:rPr>
                <w:sz w:val="21"/>
              </w:rPr>
              <w:t>月</w:t>
            </w:r>
          </w:p>
        </w:tc>
        <w:tc>
          <w:tcPr>
            <w:tcW w:w="71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rFonts w:ascii="Times New Roman" w:eastAsia="Times New Roman"/>
                <w:sz w:val="21"/>
              </w:rPr>
              <w:t>10</w:t>
            </w:r>
            <w:r>
              <w:rPr>
                <w:sz w:val="21"/>
              </w:rPr>
              <w:t>月</w:t>
            </w:r>
          </w:p>
        </w:tc>
        <w:tc>
          <w:tcPr>
            <w:tcW w:w="70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rFonts w:ascii="Times New Roman" w:eastAsia="Times New Roman"/>
                <w:sz w:val="21"/>
              </w:rPr>
              <w:t>11</w:t>
            </w:r>
            <w:r>
              <w:rPr>
                <w:sz w:val="21"/>
              </w:rPr>
              <w:t>月</w:t>
            </w:r>
          </w:p>
        </w:tc>
        <w:tc>
          <w:tcPr>
            <w:tcW w:w="842"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rFonts w:ascii="Times New Roman" w:eastAsia="Times New Roman"/>
                <w:sz w:val="21"/>
              </w:rPr>
              <w:t>12</w:t>
            </w:r>
            <w:r>
              <w:rPr>
                <w:sz w:val="21"/>
              </w:rPr>
              <w:t>月</w:t>
            </w:r>
          </w:p>
        </w:tc>
        <w:tc>
          <w:tcPr>
            <w:tcW w:w="60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w w:val="100"/>
                <w:sz w:val="21"/>
              </w:rPr>
              <w:t>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jc w:val="center"/>
        </w:trPr>
        <w:tc>
          <w:tcPr>
            <w:tcW w:w="982"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sz w:val="21"/>
              </w:rPr>
              <w:t>温度℃</w:t>
            </w:r>
          </w:p>
        </w:tc>
        <w:tc>
          <w:tcPr>
            <w:tcW w:w="60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1.4</w:t>
            </w:r>
          </w:p>
        </w:tc>
        <w:tc>
          <w:tcPr>
            <w:tcW w:w="60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7.0</w:t>
            </w:r>
          </w:p>
        </w:tc>
        <w:tc>
          <w:tcPr>
            <w:tcW w:w="60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10.4</w:t>
            </w:r>
          </w:p>
        </w:tc>
        <w:tc>
          <w:tcPr>
            <w:tcW w:w="60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14.9</w:t>
            </w:r>
          </w:p>
        </w:tc>
        <w:tc>
          <w:tcPr>
            <w:tcW w:w="60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22.4</w:t>
            </w:r>
          </w:p>
        </w:tc>
        <w:tc>
          <w:tcPr>
            <w:tcW w:w="60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26.3</w:t>
            </w:r>
          </w:p>
        </w:tc>
        <w:tc>
          <w:tcPr>
            <w:tcW w:w="60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28.4</w:t>
            </w:r>
          </w:p>
        </w:tc>
        <w:tc>
          <w:tcPr>
            <w:tcW w:w="60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27.2</w:t>
            </w:r>
          </w:p>
        </w:tc>
        <w:tc>
          <w:tcPr>
            <w:tcW w:w="60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24.6</w:t>
            </w:r>
          </w:p>
        </w:tc>
        <w:tc>
          <w:tcPr>
            <w:tcW w:w="71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17.7</w:t>
            </w:r>
          </w:p>
        </w:tc>
        <w:tc>
          <w:tcPr>
            <w:tcW w:w="70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13.1</w:t>
            </w:r>
          </w:p>
        </w:tc>
        <w:tc>
          <w:tcPr>
            <w:tcW w:w="842"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7.0</w:t>
            </w:r>
          </w:p>
        </w:tc>
        <w:tc>
          <w:tcPr>
            <w:tcW w:w="60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16.7</w:t>
            </w:r>
          </w:p>
        </w:tc>
      </w:tr>
    </w:tbl>
    <w:p>
      <w:pPr>
        <w:pStyle w:val="12"/>
        <w:rPr>
          <w:sz w:val="26"/>
        </w:rPr>
      </w:pPr>
      <w:r>
        <mc:AlternateContent>
          <mc:Choice Requires="wpg">
            <w:drawing>
              <wp:anchor distT="0" distB="0" distL="114300" distR="114300" simplePos="0" relativeHeight="252409856" behindDoc="0" locked="0" layoutInCell="1" allowOverlap="1">
                <wp:simplePos x="0" y="0"/>
                <wp:positionH relativeFrom="page">
                  <wp:posOffset>1062990</wp:posOffset>
                </wp:positionH>
                <wp:positionV relativeFrom="paragraph">
                  <wp:posOffset>168275</wp:posOffset>
                </wp:positionV>
                <wp:extent cx="5599430" cy="2286000"/>
                <wp:effectExtent l="0" t="635" r="1270" b="18415"/>
                <wp:wrapNone/>
                <wp:docPr id="175" name="组合 175"/>
                <wp:cNvGraphicFramePr/>
                <a:graphic xmlns:a="http://schemas.openxmlformats.org/drawingml/2006/main">
                  <a:graphicData uri="http://schemas.microsoft.com/office/word/2010/wordprocessingGroup">
                    <wpg:wgp>
                      <wpg:cNvGrpSpPr/>
                      <wpg:grpSpPr>
                        <a:xfrm>
                          <a:off x="0" y="0"/>
                          <a:ext cx="5599430" cy="2286000"/>
                          <a:chOff x="1656" y="1722"/>
                          <a:chExt cx="8818" cy="3600"/>
                        </a:xfrm>
                        <a:effectLst/>
                      </wpg:grpSpPr>
                      <wps:wsp>
                        <wps:cNvPr id="176" name="矩形 206"/>
                        <wps:cNvSpPr/>
                        <wps:spPr>
                          <a:xfrm>
                            <a:off x="1670" y="1736"/>
                            <a:ext cx="8789" cy="3572"/>
                          </a:xfrm>
                          <a:prstGeom prst="rect">
                            <a:avLst/>
                          </a:prstGeom>
                          <a:noFill/>
                          <a:ln w="8707" cap="flat" cmpd="sng">
                            <a:solidFill>
                              <a:srgbClr val="000000"/>
                            </a:solidFill>
                            <a:prstDash val="solid"/>
                            <a:miter/>
                            <a:headEnd type="none" w="med" len="med"/>
                            <a:tailEnd type="none" w="med" len="med"/>
                          </a:ln>
                          <a:effectLst/>
                        </wps:spPr>
                        <wps:bodyPr upright="1"/>
                      </wps:wsp>
                      <wps:wsp>
                        <wps:cNvPr id="346" name="矩形 207"/>
                        <wps:cNvSpPr/>
                        <wps:spPr>
                          <a:xfrm>
                            <a:off x="2502" y="1878"/>
                            <a:ext cx="7871" cy="2943"/>
                          </a:xfrm>
                          <a:prstGeom prst="rect">
                            <a:avLst/>
                          </a:prstGeom>
                          <a:solidFill>
                            <a:srgbClr val="C0C0C0"/>
                          </a:solidFill>
                          <a:ln>
                            <a:noFill/>
                          </a:ln>
                          <a:effectLst/>
                        </wps:spPr>
                        <wps:bodyPr upright="1"/>
                      </wps:wsp>
                      <wps:wsp>
                        <wps:cNvPr id="177" name="任意多边形 208"/>
                        <wps:cNvSpPr/>
                        <wps:spPr>
                          <a:xfrm>
                            <a:off x="20857" y="-105058"/>
                            <a:ext cx="65584" cy="20415"/>
                          </a:xfrm>
                          <a:custGeom>
                            <a:avLst/>
                            <a:gdLst/>
                            <a:ahLst/>
                            <a:cxnLst/>
                            <a:pathLst>
                              <a:path w="65584" h="20415">
                                <a:moveTo>
                                  <a:pt x="-18355" y="109387"/>
                                </a:moveTo>
                                <a:lnTo>
                                  <a:pt x="-10485" y="109387"/>
                                </a:lnTo>
                                <a:moveTo>
                                  <a:pt x="-18355" y="108894"/>
                                </a:moveTo>
                                <a:lnTo>
                                  <a:pt x="-10485" y="108894"/>
                                </a:lnTo>
                                <a:moveTo>
                                  <a:pt x="-18355" y="108415"/>
                                </a:moveTo>
                                <a:lnTo>
                                  <a:pt x="-10485" y="108415"/>
                                </a:lnTo>
                                <a:moveTo>
                                  <a:pt x="-18355" y="107922"/>
                                </a:moveTo>
                                <a:lnTo>
                                  <a:pt x="-10485" y="107922"/>
                                </a:lnTo>
                                <a:moveTo>
                                  <a:pt x="-18355" y="107430"/>
                                </a:moveTo>
                                <a:lnTo>
                                  <a:pt x="-10485" y="107430"/>
                                </a:lnTo>
                                <a:moveTo>
                                  <a:pt x="-18355" y="106937"/>
                                </a:moveTo>
                                <a:lnTo>
                                  <a:pt x="-10485" y="106937"/>
                                </a:lnTo>
                              </a:path>
                            </a:pathLst>
                          </a:custGeom>
                          <a:noFill/>
                          <a:ln w="8707" cap="flat" cmpd="sng">
                            <a:solidFill>
                              <a:srgbClr val="000000"/>
                            </a:solidFill>
                            <a:prstDash val="solid"/>
                            <a:headEnd type="none" w="med" len="med"/>
                            <a:tailEnd type="none" w="med" len="med"/>
                          </a:ln>
                          <a:effectLst/>
                        </wps:spPr>
                        <wps:bodyPr upright="1"/>
                      </wps:wsp>
                      <wps:wsp>
                        <wps:cNvPr id="178" name="任意多边形 209"/>
                        <wps:cNvSpPr/>
                        <wps:spPr>
                          <a:xfrm>
                            <a:off x="20857" y="-109163"/>
                            <a:ext cx="65584" cy="24520"/>
                          </a:xfrm>
                          <a:custGeom>
                            <a:avLst/>
                            <a:gdLst/>
                            <a:ahLst/>
                            <a:cxnLst/>
                            <a:pathLst>
                              <a:path w="65584" h="24520">
                                <a:moveTo>
                                  <a:pt x="-18355" y="111042"/>
                                </a:moveTo>
                                <a:lnTo>
                                  <a:pt x="-10485" y="111042"/>
                                </a:lnTo>
                                <a:moveTo>
                                  <a:pt x="-10485" y="111042"/>
                                </a:moveTo>
                                <a:lnTo>
                                  <a:pt x="-10485" y="113984"/>
                                </a:lnTo>
                                <a:moveTo>
                                  <a:pt x="-10485" y="113984"/>
                                </a:moveTo>
                                <a:lnTo>
                                  <a:pt x="-18355" y="113984"/>
                                </a:lnTo>
                                <a:moveTo>
                                  <a:pt x="-18355" y="113984"/>
                                </a:moveTo>
                                <a:lnTo>
                                  <a:pt x="-18355" y="111042"/>
                                </a:lnTo>
                              </a:path>
                            </a:pathLst>
                          </a:custGeom>
                          <a:noFill/>
                          <a:ln w="8707" cap="flat" cmpd="sng">
                            <a:solidFill>
                              <a:srgbClr val="808080"/>
                            </a:solidFill>
                            <a:prstDash val="solid"/>
                            <a:headEnd type="none" w="med" len="med"/>
                            <a:tailEnd type="none" w="med" len="med"/>
                          </a:ln>
                          <a:effectLst/>
                        </wps:spPr>
                        <wps:bodyPr upright="1"/>
                      </wps:wsp>
                      <wps:wsp>
                        <wps:cNvPr id="179" name="任意多边形 210"/>
                        <wps:cNvSpPr/>
                        <wps:spPr>
                          <a:xfrm>
                            <a:off x="20857" y="-109163"/>
                            <a:ext cx="65584" cy="24520"/>
                          </a:xfrm>
                          <a:custGeom>
                            <a:avLst/>
                            <a:gdLst/>
                            <a:ahLst/>
                            <a:cxnLst/>
                            <a:pathLst>
                              <a:path w="65584" h="24520">
                                <a:moveTo>
                                  <a:pt x="-18355" y="111042"/>
                                </a:moveTo>
                                <a:lnTo>
                                  <a:pt x="-18355" y="113984"/>
                                </a:lnTo>
                                <a:moveTo>
                                  <a:pt x="-18355" y="113984"/>
                                </a:moveTo>
                                <a:lnTo>
                                  <a:pt x="-18286" y="113984"/>
                                </a:lnTo>
                                <a:moveTo>
                                  <a:pt x="-18355" y="113492"/>
                                </a:moveTo>
                                <a:lnTo>
                                  <a:pt x="-18286" y="113492"/>
                                </a:lnTo>
                                <a:moveTo>
                                  <a:pt x="-18355" y="112999"/>
                                </a:moveTo>
                                <a:lnTo>
                                  <a:pt x="-18286" y="112999"/>
                                </a:lnTo>
                                <a:moveTo>
                                  <a:pt x="-18355" y="112520"/>
                                </a:moveTo>
                                <a:lnTo>
                                  <a:pt x="-18286" y="112520"/>
                                </a:lnTo>
                                <a:moveTo>
                                  <a:pt x="-18355" y="112027"/>
                                </a:moveTo>
                                <a:lnTo>
                                  <a:pt x="-18286" y="112027"/>
                                </a:lnTo>
                                <a:moveTo>
                                  <a:pt x="-18355" y="111535"/>
                                </a:moveTo>
                                <a:lnTo>
                                  <a:pt x="-18286" y="111535"/>
                                </a:lnTo>
                                <a:moveTo>
                                  <a:pt x="-18355" y="111042"/>
                                </a:moveTo>
                                <a:lnTo>
                                  <a:pt x="-18286" y="111042"/>
                                </a:lnTo>
                                <a:moveTo>
                                  <a:pt x="-18355" y="113984"/>
                                </a:moveTo>
                                <a:lnTo>
                                  <a:pt x="-10485" y="113984"/>
                                </a:lnTo>
                                <a:moveTo>
                                  <a:pt x="-18355" y="113984"/>
                                </a:moveTo>
                                <a:lnTo>
                                  <a:pt x="-18355" y="113916"/>
                                </a:lnTo>
                                <a:moveTo>
                                  <a:pt x="-17696" y="113984"/>
                                </a:moveTo>
                                <a:lnTo>
                                  <a:pt x="-17696" y="113916"/>
                                </a:lnTo>
                                <a:moveTo>
                                  <a:pt x="-17037" y="113984"/>
                                </a:moveTo>
                                <a:lnTo>
                                  <a:pt x="-17037" y="113916"/>
                                </a:lnTo>
                                <a:moveTo>
                                  <a:pt x="-16391" y="113984"/>
                                </a:moveTo>
                                <a:lnTo>
                                  <a:pt x="-16391" y="113916"/>
                                </a:lnTo>
                                <a:moveTo>
                                  <a:pt x="-15732" y="113984"/>
                                </a:moveTo>
                                <a:lnTo>
                                  <a:pt x="-15732" y="113916"/>
                                </a:lnTo>
                                <a:moveTo>
                                  <a:pt x="-15072" y="113984"/>
                                </a:moveTo>
                                <a:lnTo>
                                  <a:pt x="-15072" y="113916"/>
                                </a:lnTo>
                                <a:moveTo>
                                  <a:pt x="-14413" y="113984"/>
                                </a:moveTo>
                                <a:lnTo>
                                  <a:pt x="-14413" y="113916"/>
                                </a:lnTo>
                                <a:moveTo>
                                  <a:pt x="-13768" y="113984"/>
                                </a:moveTo>
                                <a:lnTo>
                                  <a:pt x="-13768" y="113916"/>
                                </a:lnTo>
                                <a:moveTo>
                                  <a:pt x="-13108" y="113984"/>
                                </a:moveTo>
                                <a:lnTo>
                                  <a:pt x="-13108" y="113916"/>
                                </a:lnTo>
                                <a:moveTo>
                                  <a:pt x="-12449" y="113984"/>
                                </a:moveTo>
                                <a:lnTo>
                                  <a:pt x="-12449" y="113916"/>
                                </a:lnTo>
                                <a:moveTo>
                                  <a:pt x="-11790" y="113984"/>
                                </a:moveTo>
                                <a:lnTo>
                                  <a:pt x="-11790" y="113916"/>
                                </a:lnTo>
                                <a:moveTo>
                                  <a:pt x="-11144" y="113984"/>
                                </a:moveTo>
                                <a:lnTo>
                                  <a:pt x="-11144" y="113916"/>
                                </a:lnTo>
                                <a:moveTo>
                                  <a:pt x="-10485" y="113984"/>
                                </a:moveTo>
                                <a:lnTo>
                                  <a:pt x="-10485" y="113916"/>
                                </a:lnTo>
                              </a:path>
                            </a:pathLst>
                          </a:custGeom>
                          <a:noFill/>
                          <a:ln w="8707" cap="flat" cmpd="sng">
                            <a:solidFill>
                              <a:srgbClr val="000000"/>
                            </a:solidFill>
                            <a:prstDash val="solid"/>
                            <a:headEnd type="none" w="med" len="med"/>
                            <a:tailEnd type="none" w="med" len="med"/>
                          </a:ln>
                          <a:effectLst/>
                        </wps:spPr>
                        <wps:bodyPr upright="1"/>
                      </wps:wsp>
                      <wps:wsp>
                        <wps:cNvPr id="180" name="任意多边形 211"/>
                        <wps:cNvSpPr/>
                        <wps:spPr>
                          <a:xfrm>
                            <a:off x="23605" y="-108023"/>
                            <a:ext cx="60090" cy="22125"/>
                          </a:xfrm>
                          <a:custGeom>
                            <a:avLst/>
                            <a:gdLst/>
                            <a:ahLst/>
                            <a:cxnLst/>
                            <a:pathLst>
                              <a:path w="60090" h="22125">
                                <a:moveTo>
                                  <a:pt x="-20772" y="112707"/>
                                </a:moveTo>
                                <a:lnTo>
                                  <a:pt x="-20113" y="112160"/>
                                </a:lnTo>
                                <a:moveTo>
                                  <a:pt x="-20113" y="112160"/>
                                </a:moveTo>
                                <a:lnTo>
                                  <a:pt x="-19468" y="111818"/>
                                </a:lnTo>
                                <a:moveTo>
                                  <a:pt x="-19468" y="111818"/>
                                </a:moveTo>
                                <a:lnTo>
                                  <a:pt x="-18808" y="111380"/>
                                </a:lnTo>
                                <a:moveTo>
                                  <a:pt x="-18808" y="111380"/>
                                </a:moveTo>
                                <a:lnTo>
                                  <a:pt x="-18149" y="110641"/>
                                </a:lnTo>
                                <a:moveTo>
                                  <a:pt x="-18149" y="110641"/>
                                </a:moveTo>
                                <a:lnTo>
                                  <a:pt x="-17490" y="110271"/>
                                </a:lnTo>
                                <a:moveTo>
                                  <a:pt x="-17490" y="110271"/>
                                </a:moveTo>
                                <a:lnTo>
                                  <a:pt x="-16844" y="110052"/>
                                </a:lnTo>
                                <a:moveTo>
                                  <a:pt x="-16844" y="110052"/>
                                </a:moveTo>
                                <a:lnTo>
                                  <a:pt x="-16185" y="110176"/>
                                </a:lnTo>
                                <a:moveTo>
                                  <a:pt x="-16185" y="110176"/>
                                </a:moveTo>
                                <a:lnTo>
                                  <a:pt x="-15526" y="110436"/>
                                </a:lnTo>
                                <a:moveTo>
                                  <a:pt x="-15526" y="110436"/>
                                </a:moveTo>
                                <a:lnTo>
                                  <a:pt x="-14866" y="111106"/>
                                </a:lnTo>
                                <a:moveTo>
                                  <a:pt x="-14866" y="111106"/>
                                </a:moveTo>
                                <a:lnTo>
                                  <a:pt x="-14221" y="111558"/>
                                </a:lnTo>
                                <a:moveTo>
                                  <a:pt x="-14221" y="111558"/>
                                </a:moveTo>
                                <a:lnTo>
                                  <a:pt x="-13562" y="112160"/>
                                </a:lnTo>
                              </a:path>
                            </a:pathLst>
                          </a:custGeom>
                          <a:noFill/>
                          <a:ln w="8707" cap="flat" cmpd="sng">
                            <a:solidFill>
                              <a:srgbClr val="000080"/>
                            </a:solidFill>
                            <a:prstDash val="solid"/>
                            <a:headEnd type="none" w="med" len="med"/>
                            <a:tailEnd type="none" w="med" len="med"/>
                          </a:ln>
                          <a:effectLst/>
                        </wps:spPr>
                        <wps:bodyPr upright="1"/>
                      </wps:wsp>
                      <wps:wsp>
                        <wps:cNvPr id="181" name="任意多边形 212"/>
                        <wps:cNvSpPr/>
                        <wps:spPr>
                          <a:xfrm>
                            <a:off x="2791" y="4643"/>
                            <a:ext cx="83" cy="83"/>
                          </a:xfrm>
                          <a:custGeom>
                            <a:avLst/>
                            <a:gdLst/>
                            <a:ahLst/>
                            <a:cxnLst/>
                            <a:pathLst>
                              <a:path w="83" h="83">
                                <a:moveTo>
                                  <a:pt x="42" y="82"/>
                                </a:moveTo>
                                <a:lnTo>
                                  <a:pt x="0" y="41"/>
                                </a:lnTo>
                                <a:lnTo>
                                  <a:pt x="42" y="0"/>
                                </a:lnTo>
                                <a:lnTo>
                                  <a:pt x="83" y="41"/>
                                </a:lnTo>
                                <a:lnTo>
                                  <a:pt x="42" y="82"/>
                                </a:lnTo>
                                <a:close/>
                              </a:path>
                            </a:pathLst>
                          </a:custGeom>
                          <a:solidFill>
                            <a:srgbClr val="000080"/>
                          </a:solidFill>
                          <a:ln>
                            <a:noFill/>
                          </a:ln>
                          <a:effectLst/>
                        </wps:spPr>
                        <wps:bodyPr upright="1"/>
                      </wps:wsp>
                      <wps:wsp>
                        <wps:cNvPr id="352" name="任意多边形 213"/>
                        <wps:cNvSpPr/>
                        <wps:spPr>
                          <a:xfrm>
                            <a:off x="2791" y="4643"/>
                            <a:ext cx="83" cy="83"/>
                          </a:xfrm>
                          <a:custGeom>
                            <a:avLst/>
                            <a:gdLst/>
                            <a:ahLst/>
                            <a:cxnLst/>
                            <a:pathLst>
                              <a:path w="83" h="83">
                                <a:moveTo>
                                  <a:pt x="42" y="0"/>
                                </a:moveTo>
                                <a:lnTo>
                                  <a:pt x="83" y="41"/>
                                </a:lnTo>
                                <a:lnTo>
                                  <a:pt x="42" y="82"/>
                                </a:lnTo>
                                <a:lnTo>
                                  <a:pt x="0" y="41"/>
                                </a:lnTo>
                                <a:lnTo>
                                  <a:pt x="42" y="0"/>
                                </a:lnTo>
                                <a:close/>
                              </a:path>
                            </a:pathLst>
                          </a:custGeom>
                          <a:noFill/>
                          <a:ln w="8707" cap="flat" cmpd="sng">
                            <a:solidFill>
                              <a:srgbClr val="000080"/>
                            </a:solidFill>
                            <a:prstDash val="solid"/>
                            <a:headEnd type="none" w="med" len="med"/>
                            <a:tailEnd type="none" w="med" len="med"/>
                          </a:ln>
                          <a:effectLst/>
                        </wps:spPr>
                        <wps:bodyPr upright="1"/>
                      </wps:wsp>
                      <wps:wsp>
                        <wps:cNvPr id="182" name="任意多边形 214"/>
                        <wps:cNvSpPr/>
                        <wps:spPr>
                          <a:xfrm>
                            <a:off x="3450" y="4096"/>
                            <a:ext cx="83" cy="83"/>
                          </a:xfrm>
                          <a:custGeom>
                            <a:avLst/>
                            <a:gdLst/>
                            <a:ahLst/>
                            <a:cxnLst/>
                            <a:pathLst>
                              <a:path w="83" h="83">
                                <a:moveTo>
                                  <a:pt x="41" y="82"/>
                                </a:moveTo>
                                <a:lnTo>
                                  <a:pt x="0" y="41"/>
                                </a:lnTo>
                                <a:lnTo>
                                  <a:pt x="41" y="0"/>
                                </a:lnTo>
                                <a:lnTo>
                                  <a:pt x="82" y="41"/>
                                </a:lnTo>
                                <a:lnTo>
                                  <a:pt x="41" y="82"/>
                                </a:lnTo>
                                <a:close/>
                              </a:path>
                            </a:pathLst>
                          </a:custGeom>
                          <a:solidFill>
                            <a:srgbClr val="000080"/>
                          </a:solidFill>
                          <a:ln>
                            <a:noFill/>
                          </a:ln>
                          <a:effectLst/>
                        </wps:spPr>
                        <wps:bodyPr upright="1"/>
                      </wps:wsp>
                      <wps:wsp>
                        <wps:cNvPr id="354" name="任意多边形 215"/>
                        <wps:cNvSpPr/>
                        <wps:spPr>
                          <a:xfrm>
                            <a:off x="3450" y="4096"/>
                            <a:ext cx="83" cy="83"/>
                          </a:xfrm>
                          <a:custGeom>
                            <a:avLst/>
                            <a:gdLst/>
                            <a:ahLst/>
                            <a:cxnLst/>
                            <a:pathLst>
                              <a:path w="83" h="83">
                                <a:moveTo>
                                  <a:pt x="41" y="0"/>
                                </a:moveTo>
                                <a:lnTo>
                                  <a:pt x="82" y="41"/>
                                </a:lnTo>
                                <a:lnTo>
                                  <a:pt x="41" y="82"/>
                                </a:lnTo>
                                <a:lnTo>
                                  <a:pt x="0" y="41"/>
                                </a:lnTo>
                                <a:lnTo>
                                  <a:pt x="41" y="0"/>
                                </a:lnTo>
                                <a:close/>
                              </a:path>
                            </a:pathLst>
                          </a:custGeom>
                          <a:noFill/>
                          <a:ln w="8707" cap="flat" cmpd="sng">
                            <a:solidFill>
                              <a:srgbClr val="000080"/>
                            </a:solidFill>
                            <a:prstDash val="solid"/>
                            <a:headEnd type="none" w="med" len="med"/>
                            <a:tailEnd type="none" w="med" len="med"/>
                          </a:ln>
                          <a:effectLst/>
                        </wps:spPr>
                        <wps:bodyPr upright="1"/>
                      </wps:wsp>
                      <wps:wsp>
                        <wps:cNvPr id="355" name="任意多边形 216"/>
                        <wps:cNvSpPr/>
                        <wps:spPr>
                          <a:xfrm>
                            <a:off x="4096" y="3753"/>
                            <a:ext cx="83" cy="83"/>
                          </a:xfrm>
                          <a:custGeom>
                            <a:avLst/>
                            <a:gdLst/>
                            <a:ahLst/>
                            <a:cxnLst/>
                            <a:pathLst>
                              <a:path w="83" h="83">
                                <a:moveTo>
                                  <a:pt x="41" y="82"/>
                                </a:moveTo>
                                <a:lnTo>
                                  <a:pt x="0" y="41"/>
                                </a:lnTo>
                                <a:lnTo>
                                  <a:pt x="41" y="0"/>
                                </a:lnTo>
                                <a:lnTo>
                                  <a:pt x="83" y="41"/>
                                </a:lnTo>
                                <a:lnTo>
                                  <a:pt x="41" y="82"/>
                                </a:lnTo>
                                <a:close/>
                              </a:path>
                            </a:pathLst>
                          </a:custGeom>
                          <a:solidFill>
                            <a:srgbClr val="000080"/>
                          </a:solidFill>
                          <a:ln>
                            <a:noFill/>
                          </a:ln>
                          <a:effectLst/>
                        </wps:spPr>
                        <wps:bodyPr upright="1"/>
                      </wps:wsp>
                      <wps:wsp>
                        <wps:cNvPr id="183" name="任意多边形 217"/>
                        <wps:cNvSpPr/>
                        <wps:spPr>
                          <a:xfrm>
                            <a:off x="4096" y="3753"/>
                            <a:ext cx="83" cy="83"/>
                          </a:xfrm>
                          <a:custGeom>
                            <a:avLst/>
                            <a:gdLst/>
                            <a:ahLst/>
                            <a:cxnLst/>
                            <a:pathLst>
                              <a:path w="83" h="83">
                                <a:moveTo>
                                  <a:pt x="41" y="0"/>
                                </a:moveTo>
                                <a:lnTo>
                                  <a:pt x="83" y="41"/>
                                </a:lnTo>
                                <a:lnTo>
                                  <a:pt x="41" y="82"/>
                                </a:lnTo>
                                <a:lnTo>
                                  <a:pt x="0" y="41"/>
                                </a:lnTo>
                                <a:lnTo>
                                  <a:pt x="41" y="0"/>
                                </a:lnTo>
                                <a:close/>
                              </a:path>
                            </a:pathLst>
                          </a:custGeom>
                          <a:noFill/>
                          <a:ln w="8707" cap="flat" cmpd="sng">
                            <a:solidFill>
                              <a:srgbClr val="000080"/>
                            </a:solidFill>
                            <a:prstDash val="solid"/>
                            <a:headEnd type="none" w="med" len="med"/>
                            <a:tailEnd type="none" w="med" len="med"/>
                          </a:ln>
                          <a:effectLst/>
                        </wps:spPr>
                        <wps:bodyPr upright="1"/>
                      </wps:wsp>
                      <wps:wsp>
                        <wps:cNvPr id="184" name="任意多边形 218"/>
                        <wps:cNvSpPr/>
                        <wps:spPr>
                          <a:xfrm>
                            <a:off x="4755" y="3315"/>
                            <a:ext cx="83" cy="83"/>
                          </a:xfrm>
                          <a:custGeom>
                            <a:avLst/>
                            <a:gdLst/>
                            <a:ahLst/>
                            <a:cxnLst/>
                            <a:pathLst>
                              <a:path w="83" h="83">
                                <a:moveTo>
                                  <a:pt x="42" y="82"/>
                                </a:moveTo>
                                <a:lnTo>
                                  <a:pt x="0" y="41"/>
                                </a:lnTo>
                                <a:lnTo>
                                  <a:pt x="42" y="0"/>
                                </a:lnTo>
                                <a:lnTo>
                                  <a:pt x="83" y="41"/>
                                </a:lnTo>
                                <a:lnTo>
                                  <a:pt x="42" y="82"/>
                                </a:lnTo>
                                <a:close/>
                              </a:path>
                            </a:pathLst>
                          </a:custGeom>
                          <a:solidFill>
                            <a:srgbClr val="000080"/>
                          </a:solidFill>
                          <a:ln>
                            <a:noFill/>
                          </a:ln>
                          <a:effectLst/>
                        </wps:spPr>
                        <wps:bodyPr upright="1"/>
                      </wps:wsp>
                      <wps:wsp>
                        <wps:cNvPr id="358" name="任意多边形 219"/>
                        <wps:cNvSpPr/>
                        <wps:spPr>
                          <a:xfrm>
                            <a:off x="4755" y="3315"/>
                            <a:ext cx="83" cy="83"/>
                          </a:xfrm>
                          <a:custGeom>
                            <a:avLst/>
                            <a:gdLst/>
                            <a:ahLst/>
                            <a:cxnLst/>
                            <a:pathLst>
                              <a:path w="83" h="83">
                                <a:moveTo>
                                  <a:pt x="42" y="0"/>
                                </a:moveTo>
                                <a:lnTo>
                                  <a:pt x="83" y="41"/>
                                </a:lnTo>
                                <a:lnTo>
                                  <a:pt x="42" y="82"/>
                                </a:lnTo>
                                <a:lnTo>
                                  <a:pt x="0" y="41"/>
                                </a:lnTo>
                                <a:lnTo>
                                  <a:pt x="42" y="0"/>
                                </a:lnTo>
                                <a:close/>
                              </a:path>
                            </a:pathLst>
                          </a:custGeom>
                          <a:noFill/>
                          <a:ln w="8707" cap="flat" cmpd="sng">
                            <a:solidFill>
                              <a:srgbClr val="000080"/>
                            </a:solidFill>
                            <a:prstDash val="solid"/>
                            <a:headEnd type="none" w="med" len="med"/>
                            <a:tailEnd type="none" w="med" len="med"/>
                          </a:ln>
                          <a:effectLst/>
                        </wps:spPr>
                        <wps:bodyPr upright="1"/>
                      </wps:wsp>
                      <wps:wsp>
                        <wps:cNvPr id="359" name="任意多边形 220"/>
                        <wps:cNvSpPr/>
                        <wps:spPr>
                          <a:xfrm>
                            <a:off x="5414" y="2576"/>
                            <a:ext cx="83" cy="83"/>
                          </a:xfrm>
                          <a:custGeom>
                            <a:avLst/>
                            <a:gdLst/>
                            <a:ahLst/>
                            <a:cxnLst/>
                            <a:pathLst>
                              <a:path w="83" h="83">
                                <a:moveTo>
                                  <a:pt x="41" y="82"/>
                                </a:moveTo>
                                <a:lnTo>
                                  <a:pt x="0" y="41"/>
                                </a:lnTo>
                                <a:lnTo>
                                  <a:pt x="41" y="0"/>
                                </a:lnTo>
                                <a:lnTo>
                                  <a:pt x="82" y="41"/>
                                </a:lnTo>
                                <a:lnTo>
                                  <a:pt x="41" y="82"/>
                                </a:lnTo>
                                <a:close/>
                              </a:path>
                            </a:pathLst>
                          </a:custGeom>
                          <a:solidFill>
                            <a:srgbClr val="000080"/>
                          </a:solidFill>
                          <a:ln>
                            <a:noFill/>
                          </a:ln>
                          <a:effectLst/>
                        </wps:spPr>
                        <wps:bodyPr upright="1"/>
                      </wps:wsp>
                      <wps:wsp>
                        <wps:cNvPr id="360" name="任意多边形 221"/>
                        <wps:cNvSpPr/>
                        <wps:spPr>
                          <a:xfrm>
                            <a:off x="5414" y="2576"/>
                            <a:ext cx="83" cy="83"/>
                          </a:xfrm>
                          <a:custGeom>
                            <a:avLst/>
                            <a:gdLst/>
                            <a:ahLst/>
                            <a:cxnLst/>
                            <a:pathLst>
                              <a:path w="83" h="83">
                                <a:moveTo>
                                  <a:pt x="41" y="0"/>
                                </a:moveTo>
                                <a:lnTo>
                                  <a:pt x="82" y="41"/>
                                </a:lnTo>
                                <a:lnTo>
                                  <a:pt x="41" y="82"/>
                                </a:lnTo>
                                <a:lnTo>
                                  <a:pt x="0" y="41"/>
                                </a:lnTo>
                                <a:lnTo>
                                  <a:pt x="41" y="0"/>
                                </a:lnTo>
                                <a:close/>
                              </a:path>
                            </a:pathLst>
                          </a:custGeom>
                          <a:noFill/>
                          <a:ln w="8707" cap="flat" cmpd="sng">
                            <a:solidFill>
                              <a:srgbClr val="000080"/>
                            </a:solidFill>
                            <a:prstDash val="solid"/>
                            <a:headEnd type="none" w="med" len="med"/>
                            <a:tailEnd type="none" w="med" len="med"/>
                          </a:ln>
                          <a:effectLst/>
                        </wps:spPr>
                        <wps:bodyPr upright="1"/>
                      </wps:wsp>
                      <wps:wsp>
                        <wps:cNvPr id="185" name="任意多边形 222"/>
                        <wps:cNvSpPr/>
                        <wps:spPr>
                          <a:xfrm>
                            <a:off x="6073" y="2207"/>
                            <a:ext cx="83" cy="83"/>
                          </a:xfrm>
                          <a:custGeom>
                            <a:avLst/>
                            <a:gdLst/>
                            <a:ahLst/>
                            <a:cxnLst/>
                            <a:pathLst>
                              <a:path w="83" h="83">
                                <a:moveTo>
                                  <a:pt x="41" y="82"/>
                                </a:moveTo>
                                <a:lnTo>
                                  <a:pt x="0" y="41"/>
                                </a:lnTo>
                                <a:lnTo>
                                  <a:pt x="41" y="0"/>
                                </a:lnTo>
                                <a:lnTo>
                                  <a:pt x="82" y="41"/>
                                </a:lnTo>
                                <a:lnTo>
                                  <a:pt x="41" y="82"/>
                                </a:lnTo>
                                <a:close/>
                              </a:path>
                            </a:pathLst>
                          </a:custGeom>
                          <a:solidFill>
                            <a:srgbClr val="000080"/>
                          </a:solidFill>
                          <a:ln>
                            <a:noFill/>
                          </a:ln>
                          <a:effectLst/>
                        </wps:spPr>
                        <wps:bodyPr upright="1"/>
                      </wps:wsp>
                      <wps:wsp>
                        <wps:cNvPr id="186" name="任意多边形 223"/>
                        <wps:cNvSpPr/>
                        <wps:spPr>
                          <a:xfrm>
                            <a:off x="6073" y="2207"/>
                            <a:ext cx="83" cy="83"/>
                          </a:xfrm>
                          <a:custGeom>
                            <a:avLst/>
                            <a:gdLst/>
                            <a:ahLst/>
                            <a:cxnLst/>
                            <a:pathLst>
                              <a:path w="83" h="83">
                                <a:moveTo>
                                  <a:pt x="41" y="0"/>
                                </a:moveTo>
                                <a:lnTo>
                                  <a:pt x="82" y="41"/>
                                </a:lnTo>
                                <a:lnTo>
                                  <a:pt x="41" y="82"/>
                                </a:lnTo>
                                <a:lnTo>
                                  <a:pt x="0" y="41"/>
                                </a:lnTo>
                                <a:lnTo>
                                  <a:pt x="41" y="0"/>
                                </a:lnTo>
                                <a:close/>
                              </a:path>
                            </a:pathLst>
                          </a:custGeom>
                          <a:noFill/>
                          <a:ln w="8707" cap="flat" cmpd="sng">
                            <a:solidFill>
                              <a:srgbClr val="000080"/>
                            </a:solidFill>
                            <a:prstDash val="solid"/>
                            <a:headEnd type="none" w="med" len="med"/>
                            <a:tailEnd type="none" w="med" len="med"/>
                          </a:ln>
                          <a:effectLst/>
                        </wps:spPr>
                        <wps:bodyPr upright="1"/>
                      </wps:wsp>
                      <wps:wsp>
                        <wps:cNvPr id="189" name="任意多边形 224"/>
                        <wps:cNvSpPr/>
                        <wps:spPr>
                          <a:xfrm>
                            <a:off x="6719" y="1988"/>
                            <a:ext cx="83" cy="83"/>
                          </a:xfrm>
                          <a:custGeom>
                            <a:avLst/>
                            <a:gdLst/>
                            <a:ahLst/>
                            <a:cxnLst/>
                            <a:pathLst>
                              <a:path w="83" h="83">
                                <a:moveTo>
                                  <a:pt x="41" y="82"/>
                                </a:moveTo>
                                <a:lnTo>
                                  <a:pt x="0" y="41"/>
                                </a:lnTo>
                                <a:lnTo>
                                  <a:pt x="41" y="0"/>
                                </a:lnTo>
                                <a:lnTo>
                                  <a:pt x="82" y="41"/>
                                </a:lnTo>
                                <a:lnTo>
                                  <a:pt x="41" y="82"/>
                                </a:lnTo>
                                <a:close/>
                              </a:path>
                            </a:pathLst>
                          </a:custGeom>
                          <a:solidFill>
                            <a:srgbClr val="000080"/>
                          </a:solidFill>
                          <a:ln>
                            <a:noFill/>
                          </a:ln>
                          <a:effectLst/>
                        </wps:spPr>
                        <wps:bodyPr upright="1"/>
                      </wps:wsp>
                      <wps:wsp>
                        <wps:cNvPr id="192" name="任意多边形 225"/>
                        <wps:cNvSpPr/>
                        <wps:spPr>
                          <a:xfrm>
                            <a:off x="6719" y="1988"/>
                            <a:ext cx="83" cy="83"/>
                          </a:xfrm>
                          <a:custGeom>
                            <a:avLst/>
                            <a:gdLst/>
                            <a:ahLst/>
                            <a:cxnLst/>
                            <a:pathLst>
                              <a:path w="83" h="83">
                                <a:moveTo>
                                  <a:pt x="41" y="0"/>
                                </a:moveTo>
                                <a:lnTo>
                                  <a:pt x="82" y="41"/>
                                </a:lnTo>
                                <a:lnTo>
                                  <a:pt x="41" y="82"/>
                                </a:lnTo>
                                <a:lnTo>
                                  <a:pt x="0" y="41"/>
                                </a:lnTo>
                                <a:lnTo>
                                  <a:pt x="41" y="0"/>
                                </a:lnTo>
                                <a:close/>
                              </a:path>
                            </a:pathLst>
                          </a:custGeom>
                          <a:noFill/>
                          <a:ln w="8707" cap="flat" cmpd="sng">
                            <a:solidFill>
                              <a:srgbClr val="000080"/>
                            </a:solidFill>
                            <a:prstDash val="solid"/>
                            <a:headEnd type="none" w="med" len="med"/>
                            <a:tailEnd type="none" w="med" len="med"/>
                          </a:ln>
                          <a:effectLst/>
                        </wps:spPr>
                        <wps:bodyPr upright="1"/>
                      </wps:wsp>
                      <wps:wsp>
                        <wps:cNvPr id="193" name="任意多边形 226"/>
                        <wps:cNvSpPr/>
                        <wps:spPr>
                          <a:xfrm>
                            <a:off x="7378" y="2111"/>
                            <a:ext cx="83" cy="83"/>
                          </a:xfrm>
                          <a:custGeom>
                            <a:avLst/>
                            <a:gdLst/>
                            <a:ahLst/>
                            <a:cxnLst/>
                            <a:pathLst>
                              <a:path w="83" h="83">
                                <a:moveTo>
                                  <a:pt x="41" y="82"/>
                                </a:moveTo>
                                <a:lnTo>
                                  <a:pt x="0" y="41"/>
                                </a:lnTo>
                                <a:lnTo>
                                  <a:pt x="41" y="0"/>
                                </a:lnTo>
                                <a:lnTo>
                                  <a:pt x="82" y="41"/>
                                </a:lnTo>
                                <a:lnTo>
                                  <a:pt x="41" y="82"/>
                                </a:lnTo>
                                <a:close/>
                              </a:path>
                            </a:pathLst>
                          </a:custGeom>
                          <a:solidFill>
                            <a:srgbClr val="000080"/>
                          </a:solidFill>
                          <a:ln>
                            <a:noFill/>
                          </a:ln>
                          <a:effectLst/>
                        </wps:spPr>
                        <wps:bodyPr upright="1"/>
                      </wps:wsp>
                      <wps:wsp>
                        <wps:cNvPr id="197" name="任意多边形 227"/>
                        <wps:cNvSpPr/>
                        <wps:spPr>
                          <a:xfrm>
                            <a:off x="7378" y="2111"/>
                            <a:ext cx="83" cy="83"/>
                          </a:xfrm>
                          <a:custGeom>
                            <a:avLst/>
                            <a:gdLst/>
                            <a:ahLst/>
                            <a:cxnLst/>
                            <a:pathLst>
                              <a:path w="83" h="83">
                                <a:moveTo>
                                  <a:pt x="41" y="0"/>
                                </a:moveTo>
                                <a:lnTo>
                                  <a:pt x="82" y="41"/>
                                </a:lnTo>
                                <a:lnTo>
                                  <a:pt x="41" y="82"/>
                                </a:lnTo>
                                <a:lnTo>
                                  <a:pt x="0" y="41"/>
                                </a:lnTo>
                                <a:lnTo>
                                  <a:pt x="41" y="0"/>
                                </a:lnTo>
                                <a:close/>
                              </a:path>
                            </a:pathLst>
                          </a:custGeom>
                          <a:noFill/>
                          <a:ln w="8707" cap="flat" cmpd="sng">
                            <a:solidFill>
                              <a:srgbClr val="000080"/>
                            </a:solidFill>
                            <a:prstDash val="solid"/>
                            <a:headEnd type="none" w="med" len="med"/>
                            <a:tailEnd type="none" w="med" len="med"/>
                          </a:ln>
                          <a:effectLst/>
                        </wps:spPr>
                        <wps:bodyPr upright="1"/>
                      </wps:wsp>
                      <wps:wsp>
                        <wps:cNvPr id="202" name="任意多边形 228"/>
                        <wps:cNvSpPr/>
                        <wps:spPr>
                          <a:xfrm>
                            <a:off x="8038" y="2371"/>
                            <a:ext cx="83" cy="83"/>
                          </a:xfrm>
                          <a:custGeom>
                            <a:avLst/>
                            <a:gdLst/>
                            <a:ahLst/>
                            <a:cxnLst/>
                            <a:pathLst>
                              <a:path w="83" h="83">
                                <a:moveTo>
                                  <a:pt x="41" y="82"/>
                                </a:moveTo>
                                <a:lnTo>
                                  <a:pt x="0" y="41"/>
                                </a:lnTo>
                                <a:lnTo>
                                  <a:pt x="41" y="0"/>
                                </a:lnTo>
                                <a:lnTo>
                                  <a:pt x="83" y="41"/>
                                </a:lnTo>
                                <a:lnTo>
                                  <a:pt x="41" y="82"/>
                                </a:lnTo>
                                <a:close/>
                              </a:path>
                            </a:pathLst>
                          </a:custGeom>
                          <a:solidFill>
                            <a:srgbClr val="000080"/>
                          </a:solidFill>
                          <a:ln>
                            <a:noFill/>
                          </a:ln>
                          <a:effectLst/>
                        </wps:spPr>
                        <wps:bodyPr upright="1"/>
                      </wps:wsp>
                      <wps:wsp>
                        <wps:cNvPr id="203" name="任意多边形 229"/>
                        <wps:cNvSpPr/>
                        <wps:spPr>
                          <a:xfrm>
                            <a:off x="8038" y="2371"/>
                            <a:ext cx="83" cy="83"/>
                          </a:xfrm>
                          <a:custGeom>
                            <a:avLst/>
                            <a:gdLst/>
                            <a:ahLst/>
                            <a:cxnLst/>
                            <a:pathLst>
                              <a:path w="83" h="83">
                                <a:moveTo>
                                  <a:pt x="41" y="0"/>
                                </a:moveTo>
                                <a:lnTo>
                                  <a:pt x="83" y="41"/>
                                </a:lnTo>
                                <a:lnTo>
                                  <a:pt x="41" y="82"/>
                                </a:lnTo>
                                <a:lnTo>
                                  <a:pt x="0" y="41"/>
                                </a:lnTo>
                                <a:lnTo>
                                  <a:pt x="41" y="0"/>
                                </a:lnTo>
                                <a:close/>
                              </a:path>
                            </a:pathLst>
                          </a:custGeom>
                          <a:noFill/>
                          <a:ln w="8707" cap="flat" cmpd="sng">
                            <a:solidFill>
                              <a:srgbClr val="000080"/>
                            </a:solidFill>
                            <a:prstDash val="solid"/>
                            <a:headEnd type="none" w="med" len="med"/>
                            <a:tailEnd type="none" w="med" len="med"/>
                          </a:ln>
                          <a:effectLst/>
                        </wps:spPr>
                        <wps:bodyPr upright="1"/>
                      </wps:wsp>
                      <wps:wsp>
                        <wps:cNvPr id="216" name="任意多边形 230"/>
                        <wps:cNvSpPr/>
                        <wps:spPr>
                          <a:xfrm>
                            <a:off x="8697" y="3042"/>
                            <a:ext cx="83" cy="83"/>
                          </a:xfrm>
                          <a:custGeom>
                            <a:avLst/>
                            <a:gdLst/>
                            <a:ahLst/>
                            <a:cxnLst/>
                            <a:pathLst>
                              <a:path w="83" h="83">
                                <a:moveTo>
                                  <a:pt x="42" y="82"/>
                                </a:moveTo>
                                <a:lnTo>
                                  <a:pt x="0" y="41"/>
                                </a:lnTo>
                                <a:lnTo>
                                  <a:pt x="42" y="0"/>
                                </a:lnTo>
                                <a:lnTo>
                                  <a:pt x="83" y="41"/>
                                </a:lnTo>
                                <a:lnTo>
                                  <a:pt x="42" y="82"/>
                                </a:lnTo>
                                <a:close/>
                              </a:path>
                            </a:pathLst>
                          </a:custGeom>
                          <a:solidFill>
                            <a:srgbClr val="000080"/>
                          </a:solidFill>
                          <a:ln>
                            <a:noFill/>
                          </a:ln>
                          <a:effectLst/>
                        </wps:spPr>
                        <wps:bodyPr upright="1"/>
                      </wps:wsp>
                      <wps:wsp>
                        <wps:cNvPr id="221" name="任意多边形 231"/>
                        <wps:cNvSpPr/>
                        <wps:spPr>
                          <a:xfrm>
                            <a:off x="8697" y="3042"/>
                            <a:ext cx="83" cy="83"/>
                          </a:xfrm>
                          <a:custGeom>
                            <a:avLst/>
                            <a:gdLst/>
                            <a:ahLst/>
                            <a:cxnLst/>
                            <a:pathLst>
                              <a:path w="83" h="83">
                                <a:moveTo>
                                  <a:pt x="42" y="0"/>
                                </a:moveTo>
                                <a:lnTo>
                                  <a:pt x="83" y="41"/>
                                </a:lnTo>
                                <a:lnTo>
                                  <a:pt x="42" y="82"/>
                                </a:lnTo>
                                <a:lnTo>
                                  <a:pt x="0" y="41"/>
                                </a:lnTo>
                                <a:lnTo>
                                  <a:pt x="42" y="0"/>
                                </a:lnTo>
                                <a:close/>
                              </a:path>
                            </a:pathLst>
                          </a:custGeom>
                          <a:noFill/>
                          <a:ln w="8707" cap="flat" cmpd="sng">
                            <a:solidFill>
                              <a:srgbClr val="000080"/>
                            </a:solidFill>
                            <a:prstDash val="solid"/>
                            <a:headEnd type="none" w="med" len="med"/>
                            <a:tailEnd type="none" w="med" len="med"/>
                          </a:ln>
                          <a:effectLst/>
                        </wps:spPr>
                        <wps:bodyPr upright="1"/>
                      </wps:wsp>
                      <wps:wsp>
                        <wps:cNvPr id="222" name="任意多边形 232"/>
                        <wps:cNvSpPr/>
                        <wps:spPr>
                          <a:xfrm>
                            <a:off x="9342" y="3493"/>
                            <a:ext cx="83" cy="83"/>
                          </a:xfrm>
                          <a:custGeom>
                            <a:avLst/>
                            <a:gdLst/>
                            <a:ahLst/>
                            <a:cxnLst/>
                            <a:pathLst>
                              <a:path w="83" h="83">
                                <a:moveTo>
                                  <a:pt x="41" y="82"/>
                                </a:moveTo>
                                <a:lnTo>
                                  <a:pt x="0" y="41"/>
                                </a:lnTo>
                                <a:lnTo>
                                  <a:pt x="41" y="0"/>
                                </a:lnTo>
                                <a:lnTo>
                                  <a:pt x="82" y="41"/>
                                </a:lnTo>
                                <a:lnTo>
                                  <a:pt x="41" y="82"/>
                                </a:lnTo>
                                <a:close/>
                              </a:path>
                            </a:pathLst>
                          </a:custGeom>
                          <a:solidFill>
                            <a:srgbClr val="000080"/>
                          </a:solidFill>
                          <a:ln>
                            <a:noFill/>
                          </a:ln>
                          <a:effectLst/>
                        </wps:spPr>
                        <wps:bodyPr upright="1"/>
                      </wps:wsp>
                      <wps:wsp>
                        <wps:cNvPr id="223" name="任意多边形 233"/>
                        <wps:cNvSpPr/>
                        <wps:spPr>
                          <a:xfrm>
                            <a:off x="9342" y="3493"/>
                            <a:ext cx="83" cy="83"/>
                          </a:xfrm>
                          <a:custGeom>
                            <a:avLst/>
                            <a:gdLst/>
                            <a:ahLst/>
                            <a:cxnLst/>
                            <a:pathLst>
                              <a:path w="83" h="83">
                                <a:moveTo>
                                  <a:pt x="41" y="0"/>
                                </a:moveTo>
                                <a:lnTo>
                                  <a:pt x="82" y="41"/>
                                </a:lnTo>
                                <a:lnTo>
                                  <a:pt x="41" y="82"/>
                                </a:lnTo>
                                <a:lnTo>
                                  <a:pt x="0" y="41"/>
                                </a:lnTo>
                                <a:lnTo>
                                  <a:pt x="41" y="0"/>
                                </a:lnTo>
                                <a:close/>
                              </a:path>
                            </a:pathLst>
                          </a:custGeom>
                          <a:noFill/>
                          <a:ln w="8707" cap="flat" cmpd="sng">
                            <a:solidFill>
                              <a:srgbClr val="000080"/>
                            </a:solidFill>
                            <a:prstDash val="solid"/>
                            <a:headEnd type="none" w="med" len="med"/>
                            <a:tailEnd type="none" w="med" len="med"/>
                          </a:ln>
                          <a:effectLst/>
                        </wps:spPr>
                        <wps:bodyPr upright="1"/>
                      </wps:wsp>
                      <wps:wsp>
                        <wps:cNvPr id="224" name="任意多边形 234"/>
                        <wps:cNvSpPr/>
                        <wps:spPr>
                          <a:xfrm>
                            <a:off x="10002" y="4096"/>
                            <a:ext cx="83" cy="83"/>
                          </a:xfrm>
                          <a:custGeom>
                            <a:avLst/>
                            <a:gdLst/>
                            <a:ahLst/>
                            <a:cxnLst/>
                            <a:pathLst>
                              <a:path w="83" h="83">
                                <a:moveTo>
                                  <a:pt x="41" y="82"/>
                                </a:moveTo>
                                <a:lnTo>
                                  <a:pt x="0" y="41"/>
                                </a:lnTo>
                                <a:lnTo>
                                  <a:pt x="41" y="0"/>
                                </a:lnTo>
                                <a:lnTo>
                                  <a:pt x="83" y="41"/>
                                </a:lnTo>
                                <a:lnTo>
                                  <a:pt x="41" y="82"/>
                                </a:lnTo>
                                <a:close/>
                              </a:path>
                            </a:pathLst>
                          </a:custGeom>
                          <a:solidFill>
                            <a:srgbClr val="000080"/>
                          </a:solidFill>
                          <a:ln>
                            <a:noFill/>
                          </a:ln>
                          <a:effectLst/>
                        </wps:spPr>
                        <wps:bodyPr upright="1"/>
                      </wps:wsp>
                      <wps:wsp>
                        <wps:cNvPr id="225" name="任意多边形 235"/>
                        <wps:cNvSpPr/>
                        <wps:spPr>
                          <a:xfrm>
                            <a:off x="10002" y="4096"/>
                            <a:ext cx="83" cy="83"/>
                          </a:xfrm>
                          <a:custGeom>
                            <a:avLst/>
                            <a:gdLst/>
                            <a:ahLst/>
                            <a:cxnLst/>
                            <a:pathLst>
                              <a:path w="83" h="83">
                                <a:moveTo>
                                  <a:pt x="41" y="0"/>
                                </a:moveTo>
                                <a:lnTo>
                                  <a:pt x="83" y="41"/>
                                </a:lnTo>
                                <a:lnTo>
                                  <a:pt x="41" y="82"/>
                                </a:lnTo>
                                <a:lnTo>
                                  <a:pt x="0" y="41"/>
                                </a:lnTo>
                                <a:lnTo>
                                  <a:pt x="41" y="0"/>
                                </a:lnTo>
                                <a:close/>
                              </a:path>
                            </a:pathLst>
                          </a:custGeom>
                          <a:noFill/>
                          <a:ln w="8707" cap="flat" cmpd="sng">
                            <a:solidFill>
                              <a:srgbClr val="000080"/>
                            </a:solidFill>
                            <a:prstDash val="solid"/>
                            <a:headEnd type="none" w="med" len="med"/>
                            <a:tailEnd type="none" w="med" len="med"/>
                          </a:ln>
                          <a:effectLst/>
                        </wps:spPr>
                        <wps:bodyPr upright="1"/>
                      </wps:wsp>
                      <wps:wsp>
                        <wps:cNvPr id="226" name="矩形 236"/>
                        <wps:cNvSpPr/>
                        <wps:spPr>
                          <a:xfrm>
                            <a:off x="1663" y="1729"/>
                            <a:ext cx="8804" cy="3586"/>
                          </a:xfrm>
                          <a:prstGeom prst="rect">
                            <a:avLst/>
                          </a:prstGeom>
                          <a:noFill/>
                          <a:ln w="9144" cap="flat" cmpd="sng">
                            <a:solidFill>
                              <a:srgbClr val="8DB3E2"/>
                            </a:solidFill>
                            <a:prstDash val="solid"/>
                            <a:miter/>
                            <a:headEnd type="none" w="med" len="med"/>
                            <a:tailEnd type="none" w="med" len="med"/>
                          </a:ln>
                          <a:effectLst/>
                        </wps:spPr>
                        <wps:bodyPr upright="1"/>
                      </wps:wsp>
                      <wps:wsp>
                        <wps:cNvPr id="227" name="文本框 237"/>
                        <wps:cNvSpPr txBox="1"/>
                        <wps:spPr>
                          <a:xfrm>
                            <a:off x="1670" y="1743"/>
                            <a:ext cx="8782" cy="3565"/>
                          </a:xfrm>
                          <a:prstGeom prst="rect">
                            <a:avLst/>
                          </a:prstGeom>
                          <a:noFill/>
                          <a:ln>
                            <a:noFill/>
                          </a:ln>
                          <a:effectLst/>
                        </wps:spPr>
                        <wps:txbx>
                          <w:txbxContent>
                            <w:p>
                              <w:pPr>
                                <w:spacing w:before="6"/>
                                <w:ind w:left="448" w:right="0" w:firstLine="0"/>
                                <w:jc w:val="left"/>
                                <w:rPr>
                                  <w:rFonts w:hint="default" w:ascii="Times New Roman" w:hAnsi="Times New Roman" w:cs="Times New Roman"/>
                                  <w:sz w:val="22"/>
                                </w:rPr>
                              </w:pPr>
                              <w:r>
                                <w:rPr>
                                  <w:rFonts w:hint="default" w:ascii="Times New Roman" w:hAnsi="Times New Roman" w:cs="Times New Roman"/>
                                  <w:sz w:val="22"/>
                                </w:rPr>
                                <w:t>30</w:t>
                              </w:r>
                            </w:p>
                            <w:p>
                              <w:pPr>
                                <w:spacing w:before="7" w:line="240" w:lineRule="auto"/>
                                <w:rPr>
                                  <w:rFonts w:hint="default" w:ascii="Times New Roman" w:hAnsi="Times New Roman" w:cs="Times New Roman"/>
                                  <w:b/>
                                  <w:sz w:val="16"/>
                                </w:rPr>
                              </w:pPr>
                            </w:p>
                            <w:p>
                              <w:pPr>
                                <w:spacing w:before="0"/>
                                <w:ind w:left="448" w:right="0" w:firstLine="0"/>
                                <w:jc w:val="left"/>
                                <w:rPr>
                                  <w:rFonts w:hint="default" w:ascii="Times New Roman" w:hAnsi="Times New Roman" w:cs="Times New Roman"/>
                                  <w:sz w:val="22"/>
                                </w:rPr>
                              </w:pPr>
                              <w:r>
                                <w:rPr>
                                  <w:rFonts w:hint="default" w:ascii="Times New Roman" w:hAnsi="Times New Roman" w:cs="Times New Roman"/>
                                  <w:sz w:val="22"/>
                                </w:rPr>
                                <w:t>25</w:t>
                              </w:r>
                            </w:p>
                            <w:p>
                              <w:pPr>
                                <w:spacing w:before="5" w:line="240" w:lineRule="auto"/>
                                <w:rPr>
                                  <w:rFonts w:hint="default" w:ascii="Times New Roman" w:hAnsi="Times New Roman" w:cs="Times New Roman"/>
                                  <w:b/>
                                  <w:sz w:val="16"/>
                                </w:rPr>
                              </w:pPr>
                            </w:p>
                            <w:p>
                              <w:pPr>
                                <w:spacing w:before="0"/>
                                <w:ind w:left="448" w:right="0" w:firstLine="0"/>
                                <w:jc w:val="left"/>
                                <w:rPr>
                                  <w:rFonts w:hint="default" w:ascii="Times New Roman" w:hAnsi="Times New Roman" w:cs="Times New Roman"/>
                                  <w:sz w:val="22"/>
                                </w:rPr>
                              </w:pPr>
                              <w:r>
                                <w:rPr>
                                  <w:rFonts w:hint="default" w:ascii="Times New Roman" w:hAnsi="Times New Roman" w:cs="Times New Roman"/>
                                  <w:sz w:val="22"/>
                                </w:rPr>
                                <w:t>20</w:t>
                              </w:r>
                            </w:p>
                            <w:p>
                              <w:pPr>
                                <w:spacing w:before="5" w:line="240" w:lineRule="auto"/>
                                <w:rPr>
                                  <w:rFonts w:hint="default" w:ascii="Times New Roman" w:hAnsi="Times New Roman" w:cs="Times New Roman"/>
                                  <w:b/>
                                  <w:sz w:val="16"/>
                                </w:rPr>
                              </w:pPr>
                            </w:p>
                            <w:p>
                              <w:pPr>
                                <w:spacing w:before="1"/>
                                <w:ind w:left="448" w:right="0" w:firstLine="0"/>
                                <w:jc w:val="left"/>
                                <w:rPr>
                                  <w:rFonts w:hint="default" w:ascii="Times New Roman" w:hAnsi="Times New Roman" w:cs="Times New Roman"/>
                                  <w:sz w:val="22"/>
                                </w:rPr>
                              </w:pPr>
                              <w:r>
                                <w:rPr>
                                  <w:rFonts w:hint="default" w:ascii="Times New Roman" w:hAnsi="Times New Roman" w:cs="Times New Roman"/>
                                  <w:sz w:val="22"/>
                                </w:rPr>
                                <w:t>15</w:t>
                              </w:r>
                            </w:p>
                            <w:p>
                              <w:pPr>
                                <w:spacing w:before="5" w:line="240" w:lineRule="auto"/>
                                <w:rPr>
                                  <w:rFonts w:hint="default" w:ascii="Times New Roman" w:hAnsi="Times New Roman" w:cs="Times New Roman"/>
                                  <w:b/>
                                  <w:sz w:val="15"/>
                                </w:rPr>
                              </w:pPr>
                            </w:p>
                            <w:p>
                              <w:pPr>
                                <w:spacing w:before="1"/>
                                <w:ind w:left="448" w:right="0" w:firstLine="0"/>
                                <w:jc w:val="left"/>
                                <w:rPr>
                                  <w:rFonts w:hint="default" w:ascii="Times New Roman" w:hAnsi="Times New Roman" w:cs="Times New Roman"/>
                                  <w:sz w:val="22"/>
                                </w:rPr>
                              </w:pPr>
                              <w:r>
                                <w:rPr>
                                  <w:rFonts w:hint="default" w:ascii="Times New Roman" w:hAnsi="Times New Roman" w:cs="Times New Roman"/>
                                  <w:sz w:val="22"/>
                                </w:rPr>
                                <w:t>10</w:t>
                              </w:r>
                            </w:p>
                            <w:p>
                              <w:pPr>
                                <w:spacing w:before="4" w:line="240" w:lineRule="auto"/>
                                <w:rPr>
                                  <w:rFonts w:hint="default" w:ascii="Times New Roman" w:hAnsi="Times New Roman" w:cs="Times New Roman"/>
                                  <w:b/>
                                  <w:sz w:val="16"/>
                                </w:rPr>
                              </w:pPr>
                            </w:p>
                            <w:p>
                              <w:pPr>
                                <w:spacing w:before="1"/>
                                <w:ind w:left="556" w:right="0" w:firstLine="0"/>
                                <w:jc w:val="left"/>
                                <w:rPr>
                                  <w:rFonts w:hint="default" w:ascii="Times New Roman" w:hAnsi="Times New Roman" w:cs="Times New Roman"/>
                                  <w:sz w:val="22"/>
                                </w:rPr>
                              </w:pPr>
                              <w:r>
                                <w:rPr>
                                  <w:rFonts w:hint="default" w:ascii="Times New Roman" w:hAnsi="Times New Roman" w:cs="Times New Roman"/>
                                  <w:w w:val="99"/>
                                  <w:sz w:val="22"/>
                                </w:rPr>
                                <w:t>5</w:t>
                              </w:r>
                            </w:p>
                            <w:p>
                              <w:pPr>
                                <w:spacing w:before="5" w:line="240" w:lineRule="auto"/>
                                <w:rPr>
                                  <w:rFonts w:hint="default" w:ascii="Times New Roman" w:hAnsi="Times New Roman" w:cs="Times New Roman"/>
                                  <w:b/>
                                  <w:sz w:val="16"/>
                                </w:rPr>
                              </w:pPr>
                            </w:p>
                            <w:p>
                              <w:pPr>
                                <w:spacing w:before="0"/>
                                <w:ind w:left="556" w:right="0" w:firstLine="0"/>
                                <w:jc w:val="left"/>
                                <w:rPr>
                                  <w:rFonts w:hint="default" w:ascii="Times New Roman" w:hAnsi="Times New Roman" w:cs="Times New Roman"/>
                                  <w:sz w:val="22"/>
                                </w:rPr>
                              </w:pPr>
                              <w:r>
                                <w:rPr>
                                  <w:rFonts w:hint="default" w:ascii="Times New Roman" w:hAnsi="Times New Roman" w:cs="Times New Roman"/>
                                  <w:w w:val="99"/>
                                  <w:sz w:val="22"/>
                                </w:rPr>
                                <w:t>0</w:t>
                              </w:r>
                            </w:p>
                            <w:p>
                              <w:pPr>
                                <w:tabs>
                                  <w:tab w:val="left" w:pos="1655"/>
                                  <w:tab w:val="left" w:pos="2301"/>
                                  <w:tab w:val="left" w:pos="2961"/>
                                  <w:tab w:val="left" w:pos="3621"/>
                                  <w:tab w:val="left" w:pos="4279"/>
                                  <w:tab w:val="left" w:pos="4924"/>
                                  <w:tab w:val="left" w:pos="5584"/>
                                  <w:tab w:val="left" w:pos="6244"/>
                                  <w:tab w:val="left" w:pos="6849"/>
                                  <w:tab w:val="left" w:pos="7494"/>
                                  <w:tab w:val="left" w:pos="8152"/>
                                </w:tabs>
                                <w:spacing w:before="6"/>
                                <w:ind w:left="998" w:right="0" w:firstLine="0"/>
                                <w:jc w:val="left"/>
                                <w:rPr>
                                  <w:sz w:val="22"/>
                                </w:rPr>
                              </w:pPr>
                              <w:r>
                                <w:rPr>
                                  <w:rFonts w:hint="default" w:ascii="Times New Roman" w:hAnsi="Times New Roman" w:cs="Times New Roman"/>
                                  <w:sz w:val="22"/>
                                </w:rPr>
                                <w:t>1月</w:t>
                              </w:r>
                              <w:r>
                                <w:rPr>
                                  <w:rFonts w:hint="default" w:ascii="Times New Roman" w:hAnsi="Times New Roman" w:cs="Times New Roman"/>
                                  <w:sz w:val="22"/>
                                </w:rPr>
                                <w:tab/>
                              </w:r>
                              <w:r>
                                <w:rPr>
                                  <w:rFonts w:hint="default" w:ascii="Times New Roman" w:hAnsi="Times New Roman" w:cs="Times New Roman"/>
                                  <w:sz w:val="22"/>
                                </w:rPr>
                                <w:t>2月</w:t>
                              </w:r>
                              <w:r>
                                <w:rPr>
                                  <w:rFonts w:hint="default" w:ascii="Times New Roman" w:hAnsi="Times New Roman" w:cs="Times New Roman"/>
                                  <w:sz w:val="22"/>
                                </w:rPr>
                                <w:tab/>
                              </w:r>
                              <w:r>
                                <w:rPr>
                                  <w:rFonts w:hint="default" w:ascii="Times New Roman" w:hAnsi="Times New Roman" w:cs="Times New Roman"/>
                                  <w:sz w:val="22"/>
                                </w:rPr>
                                <w:t>3月</w:t>
                              </w:r>
                              <w:r>
                                <w:rPr>
                                  <w:rFonts w:hint="default" w:ascii="Times New Roman" w:hAnsi="Times New Roman" w:cs="Times New Roman"/>
                                  <w:sz w:val="22"/>
                                </w:rPr>
                                <w:tab/>
                              </w:r>
                              <w:r>
                                <w:rPr>
                                  <w:rFonts w:hint="default" w:ascii="Times New Roman" w:hAnsi="Times New Roman" w:cs="Times New Roman"/>
                                  <w:sz w:val="22"/>
                                </w:rPr>
                                <w:t>4月</w:t>
                              </w:r>
                              <w:r>
                                <w:rPr>
                                  <w:rFonts w:hint="default" w:ascii="Times New Roman" w:hAnsi="Times New Roman" w:cs="Times New Roman"/>
                                  <w:sz w:val="22"/>
                                </w:rPr>
                                <w:tab/>
                              </w:r>
                              <w:r>
                                <w:rPr>
                                  <w:rFonts w:hint="default" w:ascii="Times New Roman" w:hAnsi="Times New Roman" w:cs="Times New Roman"/>
                                  <w:sz w:val="22"/>
                                </w:rPr>
                                <w:t>5月</w:t>
                              </w:r>
                              <w:r>
                                <w:rPr>
                                  <w:rFonts w:hint="default" w:ascii="Times New Roman" w:hAnsi="Times New Roman" w:cs="Times New Roman"/>
                                  <w:sz w:val="22"/>
                                </w:rPr>
                                <w:tab/>
                              </w:r>
                              <w:r>
                                <w:rPr>
                                  <w:rFonts w:hint="default" w:ascii="Times New Roman" w:hAnsi="Times New Roman" w:cs="Times New Roman"/>
                                  <w:sz w:val="22"/>
                                </w:rPr>
                                <w:t>6月</w:t>
                              </w:r>
                              <w:r>
                                <w:rPr>
                                  <w:rFonts w:hint="default" w:ascii="Times New Roman" w:hAnsi="Times New Roman" w:cs="Times New Roman"/>
                                  <w:sz w:val="22"/>
                                </w:rPr>
                                <w:tab/>
                              </w:r>
                              <w:r>
                                <w:rPr>
                                  <w:rFonts w:hint="default" w:ascii="Times New Roman" w:hAnsi="Times New Roman" w:cs="Times New Roman"/>
                                  <w:sz w:val="22"/>
                                </w:rPr>
                                <w:t>7月</w:t>
                              </w:r>
                              <w:r>
                                <w:rPr>
                                  <w:rFonts w:hint="default" w:ascii="Times New Roman" w:hAnsi="Times New Roman" w:cs="Times New Roman"/>
                                  <w:sz w:val="22"/>
                                </w:rPr>
                                <w:tab/>
                              </w:r>
                              <w:r>
                                <w:rPr>
                                  <w:rFonts w:hint="default" w:ascii="Times New Roman" w:hAnsi="Times New Roman" w:cs="Times New Roman"/>
                                  <w:sz w:val="22"/>
                                </w:rPr>
                                <w:t>8月</w:t>
                              </w:r>
                              <w:r>
                                <w:rPr>
                                  <w:rFonts w:hint="default" w:ascii="Times New Roman" w:hAnsi="Times New Roman" w:cs="Times New Roman"/>
                                  <w:sz w:val="22"/>
                                </w:rPr>
                                <w:tab/>
                              </w:r>
                              <w:r>
                                <w:rPr>
                                  <w:rFonts w:hint="default" w:ascii="Times New Roman" w:hAnsi="Times New Roman" w:cs="Times New Roman"/>
                                  <w:sz w:val="22"/>
                                </w:rPr>
                                <w:t>9月</w:t>
                              </w:r>
                              <w:r>
                                <w:rPr>
                                  <w:rFonts w:hint="default" w:ascii="Times New Roman" w:hAnsi="Times New Roman" w:cs="Times New Roman"/>
                                  <w:sz w:val="22"/>
                                </w:rPr>
                                <w:tab/>
                              </w:r>
                              <w:r>
                                <w:rPr>
                                  <w:rFonts w:hint="default" w:ascii="Times New Roman" w:hAnsi="Times New Roman" w:cs="Times New Roman"/>
                                  <w:sz w:val="22"/>
                                </w:rPr>
                                <w:t>10月</w:t>
                              </w:r>
                              <w:r>
                                <w:rPr>
                                  <w:rFonts w:hint="default" w:ascii="Times New Roman" w:hAnsi="Times New Roman" w:cs="Times New Roman"/>
                                  <w:sz w:val="22"/>
                                </w:rPr>
                                <w:tab/>
                              </w:r>
                              <w:r>
                                <w:rPr>
                                  <w:rFonts w:hint="default" w:ascii="Times New Roman" w:hAnsi="Times New Roman" w:cs="Times New Roman"/>
                                  <w:sz w:val="22"/>
                                </w:rPr>
                                <w:t>11月</w:t>
                              </w:r>
                              <w:r>
                                <w:rPr>
                                  <w:rFonts w:hint="default" w:ascii="Times New Roman" w:hAnsi="Times New Roman" w:cs="Times New Roman"/>
                                  <w:sz w:val="22"/>
                                </w:rPr>
                                <w:tab/>
                              </w:r>
                              <w:r>
                                <w:rPr>
                                  <w:rFonts w:hint="default" w:ascii="Times New Roman" w:hAnsi="Times New Roman" w:cs="Times New Roman"/>
                                  <w:sz w:val="22"/>
                                </w:rPr>
                                <w:t>12月</w:t>
                              </w:r>
                            </w:p>
                          </w:txbxContent>
                        </wps:txbx>
                        <wps:bodyPr lIns="0" tIns="0" rIns="0" bIns="0" upright="1"/>
                      </wps:wsp>
                    </wpg:wgp>
                  </a:graphicData>
                </a:graphic>
              </wp:anchor>
            </w:drawing>
          </mc:Choice>
          <mc:Fallback>
            <w:pict>
              <v:group id="_x0000_s1026" o:spid="_x0000_s1026" o:spt="203" style="position:absolute;left:0pt;margin-left:83.7pt;margin-top:13.25pt;height:180pt;width:440.9pt;mso-position-horizontal-relative:page;z-index:252409856;mso-width-relative:page;mso-height-relative:page;" coordorigin="1656,1722" coordsize="8818,3600" o:gfxdata="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">
                <o:lock v:ext="edit" aspectratio="f"/>
                <v:rect id="矩形 206" o:spid="_x0000_s1026" o:spt="1" style="position:absolute;left:1670;top:1736;height:3572;width:8789;" filled="f" stroked="t" coordsize="21600,21600" o:gfxdata="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o7krsAAADc&#10;AAAADwAAAAAAAAABACAAAAAiAAAAZHJzL2Rvd25yZXYueG1sUEsBAhQAFAAAAAgAh07iQDMvBZ47&#10;AAAAOQAAABAAAAAAAAAAAQAgAAAACgEAAGRycy9zaGFwZXhtbC54bWxQSwUGAAAAAAYABgBbAQAA&#10;tAMAAAAA&#10;">
                  <v:fill on="f" focussize="0,0"/>
                  <v:stroke weight="0.685590551181102pt" color="#000000" joinstyle="miter"/>
                  <v:imagedata o:title=""/>
                  <o:lock v:ext="edit" aspectratio="f"/>
                </v:rect>
                <v:rect id="矩形 207" o:spid="_x0000_s1026" o:spt="1" style="position:absolute;left:2502;top:1878;height:2943;width:7871;" fillcolor="#C0C0C0" filled="t" stroked="f" coordsize="21600,21600" o:gfxdata="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1ENI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08" o:spid="_x0000_s1026" o:spt="100" style="position:absolute;left:20857;top:-105058;height:20415;width:65584;" filled="f" stroked="t" coordsize="65584,20415" o:gfxdata="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64MSugAAANwA&#10;AAAPAAAAAAAAAAEAIAAAACIAAABkcnMvZG93bnJldi54bWxQSwECFAAUAAAACACHTuJAMy8FnjsA&#10;AAA5AAAAEAAAAAAAAAABACAAAAAJAQAAZHJzL3NoYXBleG1sLnhtbFBLBQYAAAAABgAGAFsBAACz&#10;AwAAAAA=&#10;" path="m-18355,109387l-10485,109387m-18355,108894l-10485,108894m-18355,108415l-10485,108415m-18355,107922l-10485,107922m-18355,107430l-10485,107430m-18355,106937l-10485,106937e">
                  <v:fill on="f" focussize="0,0"/>
                  <v:stroke weight="0.685590551181102pt" color="#000000" joinstyle="round"/>
                  <v:imagedata o:title=""/>
                  <o:lock v:ext="edit" aspectratio="f"/>
                </v:shape>
                <v:shape id="任意多边形 209" o:spid="_x0000_s1026" o:spt="100" style="position:absolute;left:20857;top:-109163;height:24520;width:65584;" filled="f" stroked="t" coordsize="65584,24520" o:gfxdata="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SW8C8AAAA&#10;3AAAAA8AAAAAAAAAAQAgAAAAIgAAAGRycy9kb3ducmV2LnhtbFBLAQIUABQAAAAIAIdO4kAzLwWe&#10;OwAAADkAAAAQAAAAAAAAAAEAIAAAAAsBAABkcnMvc2hhcGV4bWwueG1sUEsFBgAAAAAGAAYAWwEA&#10;ALUDAAAAAA==&#10;" path="m-18355,111042l-10485,111042m-10485,111042l-10485,113984m-10485,113984l-18355,113984m-18355,113984l-18355,111042e">
                  <v:fill on="f" focussize="0,0"/>
                  <v:stroke weight="0.685590551181102pt" color="#808080" joinstyle="round"/>
                  <v:imagedata o:title=""/>
                  <o:lock v:ext="edit" aspectratio="f"/>
                </v:shape>
                <v:shape id="任意多边形 210" o:spid="_x0000_s1026" o:spt="100" style="position:absolute;left:20857;top:-109163;height:24520;width:65584;" filled="f" stroked="t" coordsize="65584,24520" o:gfxdata="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Z5MjvQAA&#10;ANwAAAAPAAAAAAAAAAEAIAAAACIAAABkcnMvZG93bnJldi54bWxQSwECFAAUAAAACACHTuJAMy8F&#10;njsAAAA5AAAAEAAAAAAAAAABACAAAAAMAQAAZHJzL3NoYXBleG1sLnhtbFBLBQYAAAAABgAGAFsB&#10;AAC2AwAAAAA=&#10;" path="m-18355,111042l-18355,113984m-18355,113984l-18286,113984m-18355,113492l-18286,113492m-18355,112999l-18286,112999m-18355,112520l-18286,112520m-18355,112027l-18286,112027m-18355,111535l-18286,111535m-18355,111042l-18286,111042m-18355,113984l-10485,113984m-18355,113984l-18355,113916m-17696,113984l-17696,113916m-17037,113984l-17037,113916m-16391,113984l-16391,113916m-15732,113984l-15732,113916m-15072,113984l-15072,113916m-14413,113984l-14413,113916m-13768,113984l-13768,113916m-13108,113984l-13108,113916m-12449,113984l-12449,113916m-11790,113984l-11790,113916m-11144,113984l-11144,113916m-10485,113984l-10485,113916e">
                  <v:fill on="f" focussize="0,0"/>
                  <v:stroke weight="0.685590551181102pt" color="#000000" joinstyle="round"/>
                  <v:imagedata o:title=""/>
                  <o:lock v:ext="edit" aspectratio="f"/>
                </v:shape>
                <v:shape id="任意多边形 211" o:spid="_x0000_s1026" o:spt="100" style="position:absolute;left:23605;top:-108023;height:22125;width:60090;" filled="f" stroked="t" coordsize="60090,22125" o:gfxdata="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vcl3vQAA&#10;ANwAAAAPAAAAAAAAAAEAIAAAACIAAABkcnMvZG93bnJldi54bWxQSwECFAAUAAAACACHTuJAMy8F&#10;njsAAAA5AAAAEAAAAAAAAAABACAAAAAMAQAAZHJzL3NoYXBleG1sLnhtbFBLBQYAAAAABgAGAFsB&#10;AAC2AwAAAAA=&#10;" path="m-20772,112707l-20113,112160m-20113,112160l-19468,111818m-19468,111818l-18808,111380m-18808,111380l-18149,110641m-18149,110641l-17490,110271m-17490,110271l-16844,110052m-16844,110052l-16185,110176m-16185,110176l-15526,110436m-15526,110436l-14866,111106m-14866,111106l-14221,111558m-14221,111558l-13562,112160e">
                  <v:fill on="f" focussize="0,0"/>
                  <v:stroke weight="0.685590551181102pt" color="#000080" joinstyle="round"/>
                  <v:imagedata o:title=""/>
                  <o:lock v:ext="edit" aspectratio="f"/>
                </v:shape>
                <v:shape id="任意多边形 212" o:spid="_x0000_s1026" o:spt="100" style="position:absolute;left:2791;top:4643;height:83;width:83;" fillcolor="#000080" filled="t" stroked="f" coordsize="83,83" o:gfxdata="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O5pBrUAAADcAAAADwAA&#10;AAAAAAABACAAAAAiAAAAZHJzL2Rvd25yZXYueG1sUEsBAhQAFAAAAAgAh07iQDMvBZ47AAAAOQAA&#10;ABAAAAAAAAAAAQAgAAAABAEAAGRycy9zaGFwZXhtbC54bWxQSwUGAAAAAAYABgBbAQAArgMAAAAA&#10;" path="m42,82l0,41,42,0,83,41,42,82xe">
                  <v:fill on="t" focussize="0,0"/>
                  <v:stroke on="f"/>
                  <v:imagedata o:title=""/>
                  <o:lock v:ext="edit" aspectratio="f"/>
                </v:shape>
                <v:shape id="任意多边形 213" o:spid="_x0000_s1026" o:spt="100" style="position:absolute;left:2791;top:4643;height:83;width:83;" filled="f" stroked="t" coordsize="83,83" o:gfxdata="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Fpdz&#10;wAAAANwAAAAPAAAAAAAAAAEAIAAAACIAAABkcnMvZG93bnJldi54bWxQSwECFAAUAAAACACHTuJA&#10;My8FnjsAAAA5AAAAEAAAAAAAAAABACAAAAAPAQAAZHJzL3NoYXBleG1sLnhtbFBLBQYAAAAABgAG&#10;AFsBAAC5AwAAAAA=&#10;" path="m42,0l83,41,42,82,0,41,42,0xe">
                  <v:fill on="f" focussize="0,0"/>
                  <v:stroke weight="0.685590551181102pt" color="#000080" joinstyle="round"/>
                  <v:imagedata o:title=""/>
                  <o:lock v:ext="edit" aspectratio="f"/>
                </v:shape>
                <v:shape id="任意多边形 214" o:spid="_x0000_s1026" o:spt="100" style="position:absolute;left:3450;top:4096;height:83;width:83;" fillcolor="#000080" filled="t" stroked="f" coordsize="83,83" o:gfxdata="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w893G2AAAA3AAAAA8A&#10;AAAAAAAAAQAgAAAAIgAAAGRycy9kb3ducmV2LnhtbFBLAQIUABQAAAAIAIdO4kAzLwWeOwAAADkA&#10;AAAQAAAAAAAAAAEAIAAAAAUBAABkcnMvc2hhcGV4bWwueG1sUEsFBgAAAAAGAAYAWwEAAK8DAAAA&#10;AA==&#10;" path="m41,82l0,41,41,0,82,41,41,82xe">
                  <v:fill on="t" focussize="0,0"/>
                  <v:stroke on="f"/>
                  <v:imagedata o:title=""/>
                  <o:lock v:ext="edit" aspectratio="f"/>
                </v:shape>
                <v:shape id="任意多边形 215" o:spid="_x0000_s1026" o:spt="100" style="position:absolute;left:3450;top:4096;height:83;width:83;" filled="f" stroked="t" coordsize="83,83" o:gfxdata="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zqpy/&#10;AAAA3AAAAA8AAAAAAAAAAQAgAAAAIgAAAGRycy9kb3ducmV2LnhtbFBLAQIUABQAAAAIAIdO4kAz&#10;LwWeOwAAADkAAAAQAAAAAAAAAAEAIAAAAA4BAABkcnMvc2hhcGV4bWwueG1sUEsFBgAAAAAGAAYA&#10;WwEAALgDAAAAAA==&#10;" path="m41,0l82,41,41,82,0,41,41,0xe">
                  <v:fill on="f" focussize="0,0"/>
                  <v:stroke weight="0.685590551181102pt" color="#000080" joinstyle="round"/>
                  <v:imagedata o:title=""/>
                  <o:lock v:ext="edit" aspectratio="f"/>
                </v:shape>
                <v:shape id="任意多边形 216" o:spid="_x0000_s1026" o:spt="100" style="position:absolute;left:4096;top:3753;height:83;width:83;" fillcolor="#000080" filled="t" stroked="f" coordsize="83,83" o:gfxdata="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xLaO8AAAA&#10;3AAAAA8AAAAAAAAAAQAgAAAAIgAAAGRycy9kb3ducmV2LnhtbFBLAQIUABQAAAAIAIdO4kAzLwWe&#10;OwAAADkAAAAQAAAAAAAAAAEAIAAAAAsBAABkcnMvc2hhcGV4bWwueG1sUEsFBgAAAAAGAAYAWwEA&#10;ALUDAAAAAA==&#10;" path="m41,82l0,41,41,0,83,41,41,82xe">
                  <v:fill on="t" focussize="0,0"/>
                  <v:stroke on="f"/>
                  <v:imagedata o:title=""/>
                  <o:lock v:ext="edit" aspectratio="f"/>
                </v:shape>
                <v:shape id="任意多边形 217" o:spid="_x0000_s1026" o:spt="100" style="position:absolute;left:4096;top:3753;height:83;width:83;" filled="f" stroked="t" coordsize="83,83" o:gfxdata="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nBOvQAA&#10;ANwAAAAPAAAAAAAAAAEAIAAAACIAAABkcnMvZG93bnJldi54bWxQSwECFAAUAAAACACHTuJAMy8F&#10;njsAAAA5AAAAEAAAAAAAAAABACAAAAAMAQAAZHJzL3NoYXBleG1sLnhtbFBLBQYAAAAABgAGAFsB&#10;AAC2AwAAAAA=&#10;" path="m41,0l83,41,41,82,0,41,41,0xe">
                  <v:fill on="f" focussize="0,0"/>
                  <v:stroke weight="0.685590551181102pt" color="#000080" joinstyle="round"/>
                  <v:imagedata o:title=""/>
                  <o:lock v:ext="edit" aspectratio="f"/>
                </v:shape>
                <v:shape id="任意多边形 218" o:spid="_x0000_s1026" o:spt="100" style="position:absolute;left:4755;top:3315;height:83;width:83;" fillcolor="#000080" filled="t" stroked="f" coordsize="83,83" o:gfxdata="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yZyp62AAAA3AAAAA8A&#10;AAAAAAAAAQAgAAAAIgAAAGRycy9kb3ducmV2LnhtbFBLAQIUABQAAAAIAIdO4kAzLwWeOwAAADkA&#10;AAAQAAAAAAAAAAEAIAAAAAUBAABkcnMvc2hhcGV4bWwueG1sUEsFBgAAAAAGAAYAWwEAAK8DAAAA&#10;AA==&#10;" path="m42,82l0,41,42,0,83,41,42,82xe">
                  <v:fill on="t" focussize="0,0"/>
                  <v:stroke on="f"/>
                  <v:imagedata o:title=""/>
                  <o:lock v:ext="edit" aspectratio="f"/>
                </v:shape>
                <v:shape id="任意多边形 219" o:spid="_x0000_s1026" o:spt="100" style="position:absolute;left:4755;top:3315;height:83;width:83;" filled="f" stroked="t" coordsize="83,83" o:gfxdata="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oJm8AAAA&#10;3AAAAA8AAAAAAAAAAQAgAAAAIgAAAGRycy9kb3ducmV2LnhtbFBLAQIUABQAAAAIAIdO4kAzLwWe&#10;OwAAADkAAAAQAAAAAAAAAAEAIAAAAAsBAABkcnMvc2hhcGV4bWwueG1sUEsFBgAAAAAGAAYAWwEA&#10;ALUDAAAAAA==&#10;" path="m42,0l83,41,42,82,0,41,42,0xe">
                  <v:fill on="f" focussize="0,0"/>
                  <v:stroke weight="0.685590551181102pt" color="#000080" joinstyle="round"/>
                  <v:imagedata o:title=""/>
                  <o:lock v:ext="edit" aspectratio="f"/>
                </v:shape>
                <v:shape id="任意多边形 220" o:spid="_x0000_s1026" o:spt="100" style="position:absolute;left:5414;top:2576;height:83;width:83;" fillcolor="#000080" filled="t" stroked="f" coordsize="83,83" o:gfxdata="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8J6a8AAAA&#10;3AAAAA8AAAAAAAAAAQAgAAAAIgAAAGRycy9kb3ducmV2LnhtbFBLAQIUABQAAAAIAIdO4kAzLwWe&#10;OwAAADkAAAAQAAAAAAAAAAEAIAAAAAsBAABkcnMvc2hhcGV4bWwueG1sUEsFBgAAAAAGAAYAWwEA&#10;ALUDAAAAAA==&#10;" path="m41,82l0,41,41,0,82,41,41,82xe">
                  <v:fill on="t" focussize="0,0"/>
                  <v:stroke on="f"/>
                  <v:imagedata o:title=""/>
                  <o:lock v:ext="edit" aspectratio="f"/>
                </v:shape>
                <v:shape id="任意多边形 221" o:spid="_x0000_s1026" o:spt="100" style="position:absolute;left:5414;top:2576;height:83;width:83;" filled="f" stroked="t" coordsize="83,83" o:gfxdata="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kZiK8AAAA&#10;3AAAAA8AAAAAAAAAAQAgAAAAIgAAAGRycy9kb3ducmV2LnhtbFBLAQIUABQAAAAIAIdO4kAzLwWe&#10;OwAAADkAAAAQAAAAAAAAAAEAIAAAAAsBAABkcnMvc2hhcGV4bWwueG1sUEsFBgAAAAAGAAYAWwEA&#10;ALUDAAAAAA==&#10;" path="m41,0l82,41,41,82,0,41,41,0xe">
                  <v:fill on="f" focussize="0,0"/>
                  <v:stroke weight="0.685590551181102pt" color="#000080" joinstyle="round"/>
                  <v:imagedata o:title=""/>
                  <o:lock v:ext="edit" aspectratio="f"/>
                </v:shape>
                <v:shape id="任意多边形 222" o:spid="_x0000_s1026" o:spt="100" style="position:absolute;left:6073;top:2207;height:83;width:83;" fillcolor="#000080" filled="t" stroked="f" coordsize="83,83" o:gfxdata="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PVbwW2AAAA3AAAAA8A&#10;AAAAAAAAAQAgAAAAIgAAAGRycy9kb3ducmV2LnhtbFBLAQIUABQAAAAIAIdO4kAzLwWeOwAAADkA&#10;AAAQAAAAAAAAAAEAIAAAAAUBAABkcnMvc2hhcGV4bWwueG1sUEsFBgAAAAAGAAYAWwEAAK8DAAAA&#10;AA==&#10;" path="m41,82l0,41,41,0,82,41,41,82xe">
                  <v:fill on="t" focussize="0,0"/>
                  <v:stroke on="f"/>
                  <v:imagedata o:title=""/>
                  <o:lock v:ext="edit" aspectratio="f"/>
                </v:shape>
                <v:shape id="任意多边形 223" o:spid="_x0000_s1026" o:spt="100" style="position:absolute;left:6073;top:2207;height:83;width:83;" filled="f" stroked="t" coordsize="83,83" o:gfxdata="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idPWvQAA&#10;ANwAAAAPAAAAAAAAAAEAIAAAACIAAABkcnMvZG93bnJldi54bWxQSwECFAAUAAAACACHTuJAMy8F&#10;njsAAAA5AAAAEAAAAAAAAAABACAAAAAMAQAAZHJzL3NoYXBleG1sLnhtbFBLBQYAAAAABgAGAFsB&#10;AAC2AwAAAAA=&#10;" path="m41,0l82,41,41,82,0,41,41,0xe">
                  <v:fill on="f" focussize="0,0"/>
                  <v:stroke weight="0.685590551181102pt" color="#000080" joinstyle="round"/>
                  <v:imagedata o:title=""/>
                  <o:lock v:ext="edit" aspectratio="f"/>
                </v:shape>
                <v:shape id="任意多边形 224" o:spid="_x0000_s1026" o:spt="100" style="position:absolute;left:6719;top:1988;height:83;width:83;" fillcolor="#000080" filled="t" stroked="f" coordsize="83,83" o:gfxdata="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KYZQC2AAAA3AAAAA8A&#10;AAAAAAAAAQAgAAAAIgAAAGRycy9kb3ducmV2LnhtbFBLAQIUABQAAAAIAIdO4kAzLwWeOwAAADkA&#10;AAAQAAAAAAAAAAEAIAAAAAUBAABkcnMvc2hhcGV4bWwueG1sUEsFBgAAAAAGAAYAWwEAAK8DAAAA&#10;AA==&#10;" path="m41,82l0,41,41,0,82,41,41,82xe">
                  <v:fill on="t" focussize="0,0"/>
                  <v:stroke on="f"/>
                  <v:imagedata o:title=""/>
                  <o:lock v:ext="edit" aspectratio="f"/>
                </v:shape>
                <v:shape id="任意多边形 225" o:spid="_x0000_s1026" o:spt="100" style="position:absolute;left:6719;top:1988;height:83;width:83;" filled="f" stroked="t" coordsize="83,83" o:gfxdata="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tDCL4A&#10;AADcAAAADwAAAAAAAAABACAAAAAiAAAAZHJzL2Rvd25yZXYueG1sUEsBAhQAFAAAAAgAh07iQDMv&#10;BZ47AAAAOQAAABAAAAAAAAAAAQAgAAAADQEAAGRycy9zaGFwZXhtbC54bWxQSwUGAAAAAAYABgBb&#10;AQAAtwMAAAAA&#10;" path="m41,0l82,41,41,82,0,41,41,0xe">
                  <v:fill on="f" focussize="0,0"/>
                  <v:stroke weight="0.685590551181102pt" color="#000080" joinstyle="round"/>
                  <v:imagedata o:title=""/>
                  <o:lock v:ext="edit" aspectratio="f"/>
                </v:shape>
                <v:shape id="任意多边形 226" o:spid="_x0000_s1026" o:spt="100" style="position:absolute;left:7378;top:2111;height:83;width:83;" fillcolor="#000080" filled="t" stroked="f" coordsize="83,83" o:gfxdata="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qcQ3ugAAANwA&#10;AAAPAAAAAAAAAAEAIAAAACIAAABkcnMvZG93bnJldi54bWxQSwECFAAUAAAACACHTuJAMy8FnjsA&#10;AAA5AAAAEAAAAAAAAAABACAAAAAJAQAAZHJzL3NoYXBleG1sLnhtbFBLBQYAAAAABgAGAFsBAACz&#10;AwAAAAA=&#10;" path="m41,82l0,41,41,0,82,41,41,82xe">
                  <v:fill on="t" focussize="0,0"/>
                  <v:stroke on="f"/>
                  <v:imagedata o:title=""/>
                  <o:lock v:ext="edit" aspectratio="f"/>
                </v:shape>
                <v:shape id="任意多边形 227" o:spid="_x0000_s1026" o:spt="100" style="position:absolute;left:7378;top:2111;height:83;width:83;" filled="f" stroked="t" coordsize="83,83" o:gfxdata="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HOCQvQAA&#10;ANwAAAAPAAAAAAAAAAEAIAAAACIAAABkcnMvZG93bnJldi54bWxQSwECFAAUAAAACACHTuJAMy8F&#10;njsAAAA5AAAAEAAAAAAAAAABACAAAAAMAQAAZHJzL3NoYXBleG1sLnhtbFBLBQYAAAAABgAGAFsB&#10;AAC2AwAAAAA=&#10;" path="m41,0l82,41,41,82,0,41,41,0xe">
                  <v:fill on="f" focussize="0,0"/>
                  <v:stroke weight="0.685590551181102pt" color="#000080" joinstyle="round"/>
                  <v:imagedata o:title=""/>
                  <o:lock v:ext="edit" aspectratio="f"/>
                </v:shape>
                <v:shape id="任意多边形 228" o:spid="_x0000_s1026" o:spt="100" style="position:absolute;left:8038;top:2371;height:83;width:83;" fillcolor="#000080" filled="t" stroked="f" coordsize="83,83" o:gfxdata="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KlVe8AAAA&#10;3AAAAA8AAAAAAAAAAQAgAAAAIgAAAGRycy9kb3ducmV2LnhtbFBLAQIUABQAAAAIAIdO4kAzLwWe&#10;OwAAADkAAAAQAAAAAAAAAAEAIAAAAAsBAABkcnMvc2hhcGV4bWwueG1sUEsFBgAAAAAGAAYAWwEA&#10;ALUDAAAAAA==&#10;" path="m41,82l0,41,41,0,83,41,41,82xe">
                  <v:fill on="t" focussize="0,0"/>
                  <v:stroke on="f"/>
                  <v:imagedata o:title=""/>
                  <o:lock v:ext="edit" aspectratio="f"/>
                </v:shape>
                <v:shape id="任意多边形 229" o:spid="_x0000_s1026" o:spt="100" style="position:absolute;left:8038;top:2371;height:83;width:83;" filled="f" stroked="t" coordsize="83,83" o:gfxdata="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CBJo&#10;wAAAANwAAAAPAAAAAAAAAAEAIAAAACIAAABkcnMvZG93bnJldi54bWxQSwECFAAUAAAACACHTuJA&#10;My8FnjsAAAA5AAAAEAAAAAAAAAABACAAAAAPAQAAZHJzL3NoYXBleG1sLnhtbFBLBQYAAAAABgAG&#10;AFsBAAC5AwAAAAA=&#10;" path="m41,0l83,41,41,82,0,41,41,0xe">
                  <v:fill on="f" focussize="0,0"/>
                  <v:stroke weight="0.685590551181102pt" color="#000080" joinstyle="round"/>
                  <v:imagedata o:title=""/>
                  <o:lock v:ext="edit" aspectratio="f"/>
                </v:shape>
                <v:shape id="任意多边形 230" o:spid="_x0000_s1026" o:spt="100" style="position:absolute;left:8697;top:3042;height:83;width:83;" fillcolor="#000080" filled="t" stroked="f" coordsize="83,83" o:gfxdata="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oBYm8AAAA&#10;3AAAAA8AAAAAAAAAAQAgAAAAIgAAAGRycy9kb3ducmV2LnhtbFBLAQIUABQAAAAIAIdO4kAzLwWe&#10;OwAAADkAAAAQAAAAAAAAAAEAIAAAAAsBAABkcnMvc2hhcGV4bWwueG1sUEsFBgAAAAAGAAYAWwEA&#10;ALUDAAAAAA==&#10;" path="m42,82l0,41,42,0,83,41,42,82xe">
                  <v:fill on="t" focussize="0,0"/>
                  <v:stroke on="f"/>
                  <v:imagedata o:title=""/>
                  <o:lock v:ext="edit" aspectratio="f"/>
                </v:shape>
                <v:shape id="任意多边形 231" o:spid="_x0000_s1026" o:spt="100" style="position:absolute;left:8697;top:3042;height:83;width:83;" filled="f" stroked="t" coordsize="83,83" o:gfxdata="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I3Xk&#10;wAAAANwAAAAPAAAAAAAAAAEAIAAAACIAAABkcnMvZG93bnJldi54bWxQSwECFAAUAAAACACHTuJA&#10;My8FnjsAAAA5AAAAEAAAAAAAAAABACAAAAAPAQAAZHJzL3NoYXBleG1sLnhtbFBLBQYAAAAABgAG&#10;AFsBAAC5AwAAAAA=&#10;" path="m42,0l83,41,42,82,0,41,42,0xe">
                  <v:fill on="f" focussize="0,0"/>
                  <v:stroke weight="0.685590551181102pt" color="#000080" joinstyle="round"/>
                  <v:imagedata o:title=""/>
                  <o:lock v:ext="edit" aspectratio="f"/>
                </v:shape>
                <v:shape id="任意多边形 232" o:spid="_x0000_s1026" o:spt="100" style="position:absolute;left:9342;top:3493;height:83;width:83;" fillcolor="#000080" filled="t" stroked="f" coordsize="83,83" o:gfxdata="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X/JN7gAAADcAAAA&#10;DwAAAAAAAAABACAAAAAiAAAAZHJzL2Rvd25yZXYueG1sUEsBAhQAFAAAAAgAh07iQDMvBZ47AAAA&#10;OQAAABAAAAAAAAAAAQAgAAAABwEAAGRycy9zaGFwZXhtbC54bWxQSwUGAAAAAAYABgBbAQAAsQMA&#10;AAAA&#10;" path="m41,82l0,41,41,0,82,41,41,82xe">
                  <v:fill on="t" focussize="0,0"/>
                  <v:stroke on="f"/>
                  <v:imagedata o:title=""/>
                  <o:lock v:ext="edit" aspectratio="f"/>
                </v:shape>
                <v:shape id="任意多边形 233" o:spid="_x0000_s1026" o:spt="100" style="position:absolute;left:9342;top:3493;height:83;width:83;" filled="f" stroked="t" coordsize="83,83" o:gfxdata="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9Tgi/&#10;AAAA3AAAAA8AAAAAAAAAAQAgAAAAIgAAAGRycy9kb3ducmV2LnhtbFBLAQIUABQAAAAIAIdO4kAz&#10;LwWeOwAAADkAAAAQAAAAAAAAAAEAIAAAAA4BAABkcnMvc2hhcGV4bWwueG1sUEsFBgAAAAAGAAYA&#10;WwEAALgDAAAAAA==&#10;" path="m41,0l82,41,41,82,0,41,41,0xe">
                  <v:fill on="f" focussize="0,0"/>
                  <v:stroke weight="0.685590551181102pt" color="#000080" joinstyle="round"/>
                  <v:imagedata o:title=""/>
                  <o:lock v:ext="edit" aspectratio="f"/>
                </v:shape>
                <v:shape id="任意多边形 234" o:spid="_x0000_s1026" o:spt="100" style="position:absolute;left:10002;top:4096;height:83;width:83;" fillcolor="#000080" filled="t" stroked="f" coordsize="83,83" o:gfxdata="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dr02LgAAADcAAAA&#10;DwAAAAAAAAABACAAAAAiAAAAZHJzL2Rvd25yZXYueG1sUEsBAhQAFAAAAAgAh07iQDMvBZ47AAAA&#10;OQAAABAAAAAAAAAAAQAgAAAABwEAAGRycy9zaGFwZXhtbC54bWxQSwUGAAAAAAYABgBbAQAAsQMA&#10;AAAA&#10;" path="m41,82l0,41,41,0,83,41,41,82xe">
                  <v:fill on="t" focussize="0,0"/>
                  <v:stroke on="f"/>
                  <v:imagedata o:title=""/>
                  <o:lock v:ext="edit" aspectratio="f"/>
                </v:shape>
                <v:shape id="任意多边形 235" o:spid="_x0000_s1026" o:spt="100" style="position:absolute;left:10002;top:4096;height:83;width:83;" filled="f" stroked="t" coordsize="83,83" o:gfxdata="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Yc+e/&#10;AAAA3AAAAA8AAAAAAAAAAQAgAAAAIgAAAGRycy9kb3ducmV2LnhtbFBLAQIUABQAAAAIAIdO4kAz&#10;LwWeOwAAADkAAAAQAAAAAAAAAAEAIAAAAA4BAABkcnMvc2hhcGV4bWwueG1sUEsFBgAAAAAGAAYA&#10;WwEAALgDAAAAAA==&#10;" path="m41,0l83,41,41,82,0,41,41,0xe">
                  <v:fill on="f" focussize="0,0"/>
                  <v:stroke weight="0.685590551181102pt" color="#000080" joinstyle="round"/>
                  <v:imagedata o:title=""/>
                  <o:lock v:ext="edit" aspectratio="f"/>
                </v:shape>
                <v:rect id="矩形 236" o:spid="_x0000_s1026" o:spt="1" style="position:absolute;left:1663;top:1729;height:3586;width:8804;" filled="f" stroked="t" coordsize="21600,21600" o:gfxdata="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e3vwvQAA&#10;ANwAAAAPAAAAAAAAAAEAIAAAACIAAABkcnMvZG93bnJldi54bWxQSwECFAAUAAAACACHTuJAMy8F&#10;njsAAAA5AAAAEAAAAAAAAAABACAAAAAMAQAAZHJzL3NoYXBleG1sLnhtbFBLBQYAAAAABgAGAFsB&#10;AAC2AwAAAAA=&#10;">
                  <v:fill on="f" focussize="0,0"/>
                  <v:stroke weight="0.72pt" color="#8DB3E2" joinstyle="miter"/>
                  <v:imagedata o:title=""/>
                  <o:lock v:ext="edit" aspectratio="f"/>
                </v:rect>
                <v:shape id="文本框 237" o:spid="_x0000_s1026" o:spt="202" type="#_x0000_t202" style="position:absolute;left:1670;top:1743;height:3565;width:8782;" filled="f" stroked="f" coordsize="21600,21600" o:gfxdata="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nz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6"/>
                          <w:ind w:left="448" w:right="0" w:firstLine="0"/>
                          <w:jc w:val="left"/>
                          <w:rPr>
                            <w:rFonts w:hint="default" w:ascii="Times New Roman" w:hAnsi="Times New Roman" w:cs="Times New Roman"/>
                            <w:sz w:val="22"/>
                          </w:rPr>
                        </w:pPr>
                        <w:r>
                          <w:rPr>
                            <w:rFonts w:hint="default" w:ascii="Times New Roman" w:hAnsi="Times New Roman" w:cs="Times New Roman"/>
                            <w:sz w:val="22"/>
                          </w:rPr>
                          <w:t>30</w:t>
                        </w:r>
                      </w:p>
                      <w:p>
                        <w:pPr>
                          <w:spacing w:before="7" w:line="240" w:lineRule="auto"/>
                          <w:rPr>
                            <w:rFonts w:hint="default" w:ascii="Times New Roman" w:hAnsi="Times New Roman" w:cs="Times New Roman"/>
                            <w:b/>
                            <w:sz w:val="16"/>
                          </w:rPr>
                        </w:pPr>
                      </w:p>
                      <w:p>
                        <w:pPr>
                          <w:spacing w:before="0"/>
                          <w:ind w:left="448" w:right="0" w:firstLine="0"/>
                          <w:jc w:val="left"/>
                          <w:rPr>
                            <w:rFonts w:hint="default" w:ascii="Times New Roman" w:hAnsi="Times New Roman" w:cs="Times New Roman"/>
                            <w:sz w:val="22"/>
                          </w:rPr>
                        </w:pPr>
                        <w:r>
                          <w:rPr>
                            <w:rFonts w:hint="default" w:ascii="Times New Roman" w:hAnsi="Times New Roman" w:cs="Times New Roman"/>
                            <w:sz w:val="22"/>
                          </w:rPr>
                          <w:t>25</w:t>
                        </w:r>
                      </w:p>
                      <w:p>
                        <w:pPr>
                          <w:spacing w:before="5" w:line="240" w:lineRule="auto"/>
                          <w:rPr>
                            <w:rFonts w:hint="default" w:ascii="Times New Roman" w:hAnsi="Times New Roman" w:cs="Times New Roman"/>
                            <w:b/>
                            <w:sz w:val="16"/>
                          </w:rPr>
                        </w:pPr>
                      </w:p>
                      <w:p>
                        <w:pPr>
                          <w:spacing w:before="0"/>
                          <w:ind w:left="448" w:right="0" w:firstLine="0"/>
                          <w:jc w:val="left"/>
                          <w:rPr>
                            <w:rFonts w:hint="default" w:ascii="Times New Roman" w:hAnsi="Times New Roman" w:cs="Times New Roman"/>
                            <w:sz w:val="22"/>
                          </w:rPr>
                        </w:pPr>
                        <w:r>
                          <w:rPr>
                            <w:rFonts w:hint="default" w:ascii="Times New Roman" w:hAnsi="Times New Roman" w:cs="Times New Roman"/>
                            <w:sz w:val="22"/>
                          </w:rPr>
                          <w:t>20</w:t>
                        </w:r>
                      </w:p>
                      <w:p>
                        <w:pPr>
                          <w:spacing w:before="5" w:line="240" w:lineRule="auto"/>
                          <w:rPr>
                            <w:rFonts w:hint="default" w:ascii="Times New Roman" w:hAnsi="Times New Roman" w:cs="Times New Roman"/>
                            <w:b/>
                            <w:sz w:val="16"/>
                          </w:rPr>
                        </w:pPr>
                      </w:p>
                      <w:p>
                        <w:pPr>
                          <w:spacing w:before="1"/>
                          <w:ind w:left="448" w:right="0" w:firstLine="0"/>
                          <w:jc w:val="left"/>
                          <w:rPr>
                            <w:rFonts w:hint="default" w:ascii="Times New Roman" w:hAnsi="Times New Roman" w:cs="Times New Roman"/>
                            <w:sz w:val="22"/>
                          </w:rPr>
                        </w:pPr>
                        <w:r>
                          <w:rPr>
                            <w:rFonts w:hint="default" w:ascii="Times New Roman" w:hAnsi="Times New Roman" w:cs="Times New Roman"/>
                            <w:sz w:val="22"/>
                          </w:rPr>
                          <w:t>15</w:t>
                        </w:r>
                      </w:p>
                      <w:p>
                        <w:pPr>
                          <w:spacing w:before="5" w:line="240" w:lineRule="auto"/>
                          <w:rPr>
                            <w:rFonts w:hint="default" w:ascii="Times New Roman" w:hAnsi="Times New Roman" w:cs="Times New Roman"/>
                            <w:b/>
                            <w:sz w:val="15"/>
                          </w:rPr>
                        </w:pPr>
                      </w:p>
                      <w:p>
                        <w:pPr>
                          <w:spacing w:before="1"/>
                          <w:ind w:left="448" w:right="0" w:firstLine="0"/>
                          <w:jc w:val="left"/>
                          <w:rPr>
                            <w:rFonts w:hint="default" w:ascii="Times New Roman" w:hAnsi="Times New Roman" w:cs="Times New Roman"/>
                            <w:sz w:val="22"/>
                          </w:rPr>
                        </w:pPr>
                        <w:r>
                          <w:rPr>
                            <w:rFonts w:hint="default" w:ascii="Times New Roman" w:hAnsi="Times New Roman" w:cs="Times New Roman"/>
                            <w:sz w:val="22"/>
                          </w:rPr>
                          <w:t>10</w:t>
                        </w:r>
                      </w:p>
                      <w:p>
                        <w:pPr>
                          <w:spacing w:before="4" w:line="240" w:lineRule="auto"/>
                          <w:rPr>
                            <w:rFonts w:hint="default" w:ascii="Times New Roman" w:hAnsi="Times New Roman" w:cs="Times New Roman"/>
                            <w:b/>
                            <w:sz w:val="16"/>
                          </w:rPr>
                        </w:pPr>
                      </w:p>
                      <w:p>
                        <w:pPr>
                          <w:spacing w:before="1"/>
                          <w:ind w:left="556" w:right="0" w:firstLine="0"/>
                          <w:jc w:val="left"/>
                          <w:rPr>
                            <w:rFonts w:hint="default" w:ascii="Times New Roman" w:hAnsi="Times New Roman" w:cs="Times New Roman"/>
                            <w:sz w:val="22"/>
                          </w:rPr>
                        </w:pPr>
                        <w:r>
                          <w:rPr>
                            <w:rFonts w:hint="default" w:ascii="Times New Roman" w:hAnsi="Times New Roman" w:cs="Times New Roman"/>
                            <w:w w:val="99"/>
                            <w:sz w:val="22"/>
                          </w:rPr>
                          <w:t>5</w:t>
                        </w:r>
                      </w:p>
                      <w:p>
                        <w:pPr>
                          <w:spacing w:before="5" w:line="240" w:lineRule="auto"/>
                          <w:rPr>
                            <w:rFonts w:hint="default" w:ascii="Times New Roman" w:hAnsi="Times New Roman" w:cs="Times New Roman"/>
                            <w:b/>
                            <w:sz w:val="16"/>
                          </w:rPr>
                        </w:pPr>
                      </w:p>
                      <w:p>
                        <w:pPr>
                          <w:spacing w:before="0"/>
                          <w:ind w:left="556" w:right="0" w:firstLine="0"/>
                          <w:jc w:val="left"/>
                          <w:rPr>
                            <w:rFonts w:hint="default" w:ascii="Times New Roman" w:hAnsi="Times New Roman" w:cs="Times New Roman"/>
                            <w:sz w:val="22"/>
                          </w:rPr>
                        </w:pPr>
                        <w:r>
                          <w:rPr>
                            <w:rFonts w:hint="default" w:ascii="Times New Roman" w:hAnsi="Times New Roman" w:cs="Times New Roman"/>
                            <w:w w:val="99"/>
                            <w:sz w:val="22"/>
                          </w:rPr>
                          <w:t>0</w:t>
                        </w:r>
                      </w:p>
                      <w:p>
                        <w:pPr>
                          <w:tabs>
                            <w:tab w:val="left" w:pos="1655"/>
                            <w:tab w:val="left" w:pos="2301"/>
                            <w:tab w:val="left" w:pos="2961"/>
                            <w:tab w:val="left" w:pos="3621"/>
                            <w:tab w:val="left" w:pos="4279"/>
                            <w:tab w:val="left" w:pos="4924"/>
                            <w:tab w:val="left" w:pos="5584"/>
                            <w:tab w:val="left" w:pos="6244"/>
                            <w:tab w:val="left" w:pos="6849"/>
                            <w:tab w:val="left" w:pos="7494"/>
                            <w:tab w:val="left" w:pos="8152"/>
                          </w:tabs>
                          <w:spacing w:before="6"/>
                          <w:ind w:left="998" w:right="0" w:firstLine="0"/>
                          <w:jc w:val="left"/>
                          <w:rPr>
                            <w:sz w:val="22"/>
                          </w:rPr>
                        </w:pPr>
                        <w:r>
                          <w:rPr>
                            <w:rFonts w:hint="default" w:ascii="Times New Roman" w:hAnsi="Times New Roman" w:cs="Times New Roman"/>
                            <w:sz w:val="22"/>
                          </w:rPr>
                          <w:t>1月</w:t>
                        </w:r>
                        <w:r>
                          <w:rPr>
                            <w:rFonts w:hint="default" w:ascii="Times New Roman" w:hAnsi="Times New Roman" w:cs="Times New Roman"/>
                            <w:sz w:val="22"/>
                          </w:rPr>
                          <w:tab/>
                        </w:r>
                        <w:r>
                          <w:rPr>
                            <w:rFonts w:hint="default" w:ascii="Times New Roman" w:hAnsi="Times New Roman" w:cs="Times New Roman"/>
                            <w:sz w:val="22"/>
                          </w:rPr>
                          <w:t>2月</w:t>
                        </w:r>
                        <w:r>
                          <w:rPr>
                            <w:rFonts w:hint="default" w:ascii="Times New Roman" w:hAnsi="Times New Roman" w:cs="Times New Roman"/>
                            <w:sz w:val="22"/>
                          </w:rPr>
                          <w:tab/>
                        </w:r>
                        <w:r>
                          <w:rPr>
                            <w:rFonts w:hint="default" w:ascii="Times New Roman" w:hAnsi="Times New Roman" w:cs="Times New Roman"/>
                            <w:sz w:val="22"/>
                          </w:rPr>
                          <w:t>3月</w:t>
                        </w:r>
                        <w:r>
                          <w:rPr>
                            <w:rFonts w:hint="default" w:ascii="Times New Roman" w:hAnsi="Times New Roman" w:cs="Times New Roman"/>
                            <w:sz w:val="22"/>
                          </w:rPr>
                          <w:tab/>
                        </w:r>
                        <w:r>
                          <w:rPr>
                            <w:rFonts w:hint="default" w:ascii="Times New Roman" w:hAnsi="Times New Roman" w:cs="Times New Roman"/>
                            <w:sz w:val="22"/>
                          </w:rPr>
                          <w:t>4月</w:t>
                        </w:r>
                        <w:r>
                          <w:rPr>
                            <w:rFonts w:hint="default" w:ascii="Times New Roman" w:hAnsi="Times New Roman" w:cs="Times New Roman"/>
                            <w:sz w:val="22"/>
                          </w:rPr>
                          <w:tab/>
                        </w:r>
                        <w:r>
                          <w:rPr>
                            <w:rFonts w:hint="default" w:ascii="Times New Roman" w:hAnsi="Times New Roman" w:cs="Times New Roman"/>
                            <w:sz w:val="22"/>
                          </w:rPr>
                          <w:t>5月</w:t>
                        </w:r>
                        <w:r>
                          <w:rPr>
                            <w:rFonts w:hint="default" w:ascii="Times New Roman" w:hAnsi="Times New Roman" w:cs="Times New Roman"/>
                            <w:sz w:val="22"/>
                          </w:rPr>
                          <w:tab/>
                        </w:r>
                        <w:r>
                          <w:rPr>
                            <w:rFonts w:hint="default" w:ascii="Times New Roman" w:hAnsi="Times New Roman" w:cs="Times New Roman"/>
                            <w:sz w:val="22"/>
                          </w:rPr>
                          <w:t>6月</w:t>
                        </w:r>
                        <w:r>
                          <w:rPr>
                            <w:rFonts w:hint="default" w:ascii="Times New Roman" w:hAnsi="Times New Roman" w:cs="Times New Roman"/>
                            <w:sz w:val="22"/>
                          </w:rPr>
                          <w:tab/>
                        </w:r>
                        <w:r>
                          <w:rPr>
                            <w:rFonts w:hint="default" w:ascii="Times New Roman" w:hAnsi="Times New Roman" w:cs="Times New Roman"/>
                            <w:sz w:val="22"/>
                          </w:rPr>
                          <w:t>7月</w:t>
                        </w:r>
                        <w:r>
                          <w:rPr>
                            <w:rFonts w:hint="default" w:ascii="Times New Roman" w:hAnsi="Times New Roman" w:cs="Times New Roman"/>
                            <w:sz w:val="22"/>
                          </w:rPr>
                          <w:tab/>
                        </w:r>
                        <w:r>
                          <w:rPr>
                            <w:rFonts w:hint="default" w:ascii="Times New Roman" w:hAnsi="Times New Roman" w:cs="Times New Roman"/>
                            <w:sz w:val="22"/>
                          </w:rPr>
                          <w:t>8月</w:t>
                        </w:r>
                        <w:r>
                          <w:rPr>
                            <w:rFonts w:hint="default" w:ascii="Times New Roman" w:hAnsi="Times New Roman" w:cs="Times New Roman"/>
                            <w:sz w:val="22"/>
                          </w:rPr>
                          <w:tab/>
                        </w:r>
                        <w:r>
                          <w:rPr>
                            <w:rFonts w:hint="default" w:ascii="Times New Roman" w:hAnsi="Times New Roman" w:cs="Times New Roman"/>
                            <w:sz w:val="22"/>
                          </w:rPr>
                          <w:t>9月</w:t>
                        </w:r>
                        <w:r>
                          <w:rPr>
                            <w:rFonts w:hint="default" w:ascii="Times New Roman" w:hAnsi="Times New Roman" w:cs="Times New Roman"/>
                            <w:sz w:val="22"/>
                          </w:rPr>
                          <w:tab/>
                        </w:r>
                        <w:r>
                          <w:rPr>
                            <w:rFonts w:hint="default" w:ascii="Times New Roman" w:hAnsi="Times New Roman" w:cs="Times New Roman"/>
                            <w:sz w:val="22"/>
                          </w:rPr>
                          <w:t>10月</w:t>
                        </w:r>
                        <w:r>
                          <w:rPr>
                            <w:rFonts w:hint="default" w:ascii="Times New Roman" w:hAnsi="Times New Roman" w:cs="Times New Roman"/>
                            <w:sz w:val="22"/>
                          </w:rPr>
                          <w:tab/>
                        </w:r>
                        <w:r>
                          <w:rPr>
                            <w:rFonts w:hint="default" w:ascii="Times New Roman" w:hAnsi="Times New Roman" w:cs="Times New Roman"/>
                            <w:sz w:val="22"/>
                          </w:rPr>
                          <w:t>11月</w:t>
                        </w:r>
                        <w:r>
                          <w:rPr>
                            <w:rFonts w:hint="default" w:ascii="Times New Roman" w:hAnsi="Times New Roman" w:cs="Times New Roman"/>
                            <w:sz w:val="22"/>
                          </w:rPr>
                          <w:tab/>
                        </w:r>
                        <w:r>
                          <w:rPr>
                            <w:rFonts w:hint="default" w:ascii="Times New Roman" w:hAnsi="Times New Roman" w:cs="Times New Roman"/>
                            <w:sz w:val="22"/>
                          </w:rPr>
                          <w:t>12月</w:t>
                        </w:r>
                      </w:p>
                    </w:txbxContent>
                  </v:textbox>
                </v:shape>
              </v:group>
            </w:pict>
          </mc:Fallback>
        </mc:AlternateContent>
      </w:r>
    </w:p>
    <w:p>
      <w:pPr>
        <w:pStyle w:val="12"/>
        <w:rPr>
          <w:sz w:val="26"/>
        </w:rPr>
      </w:pPr>
      <w:r>
        <mc:AlternateContent>
          <mc:Choice Requires="wps">
            <w:drawing>
              <wp:anchor distT="0" distB="0" distL="114300" distR="114300" simplePos="0" relativeHeight="252410880" behindDoc="0" locked="0" layoutInCell="1" allowOverlap="1">
                <wp:simplePos x="0" y="0"/>
                <wp:positionH relativeFrom="page">
                  <wp:posOffset>875030</wp:posOffset>
                </wp:positionH>
                <wp:positionV relativeFrom="paragraph">
                  <wp:posOffset>267335</wp:posOffset>
                </wp:positionV>
                <wp:extent cx="165100" cy="65151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65100" cy="651510"/>
                        </a:xfrm>
                        <a:prstGeom prst="rect">
                          <a:avLst/>
                        </a:prstGeom>
                        <a:noFill/>
                        <a:ln>
                          <a:noFill/>
                        </a:ln>
                        <a:effectLst/>
                      </wps:spPr>
                      <wps:txbx>
                        <w:txbxContent>
                          <w:p>
                            <w:pPr>
                              <w:spacing w:before="0" w:line="260" w:lineRule="exact"/>
                              <w:ind w:left="20" w:right="0" w:firstLine="0"/>
                              <w:jc w:val="left"/>
                              <w:rPr>
                                <w:sz w:val="22"/>
                              </w:rPr>
                            </w:pPr>
                            <w:r>
                              <w:rPr>
                                <w:sz w:val="22"/>
                              </w:rPr>
                              <w:t>温度（℃)</w:t>
                            </w:r>
                          </w:p>
                        </w:txbxContent>
                      </wps:txbx>
                      <wps:bodyPr vert="vert270" lIns="0" tIns="0" rIns="0" bIns="0" upright="1"/>
                    </wps:wsp>
                  </a:graphicData>
                </a:graphic>
              </wp:anchor>
            </w:drawing>
          </mc:Choice>
          <mc:Fallback>
            <w:pict>
              <v:shape id="_x0000_s1026" o:spid="_x0000_s1026" o:spt="202" type="#_x0000_t202" style="position:absolute;left:0pt;margin-left:68.9pt;margin-top:21.05pt;height:51.3pt;width:13pt;mso-position-horizontal-relative:page;z-index:252410880;mso-width-relative:page;mso-height-relative:page;" filled="f" stroked="f" coordsize="21600,21600" o:gfxdata="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TuAwvtYAAAAKAQAA&#10;DwAAAAAAAAABACAAAAAiAAAAZHJzL2Rvd25yZXYueG1sUEsBAhQAFAAAAAgAh07iQKwpwa+pAQAA&#10;RAMAAA4AAAAAAAAAAQAgAAAAJQEAAGRycy9lMm9Eb2MueG1sUEsFBgAAAAAGAAYAWQEAAEAFAAAA&#10;AA==&#10;">
                <v:fill on="f" focussize="0,0"/>
                <v:stroke on="f"/>
                <v:imagedata o:title=""/>
                <o:lock v:ext="edit" aspectratio="f"/>
                <v:textbox inset="0mm,0mm,0mm,0mm" style="layout-flow:vertical;mso-layout-flow-alt:bottom-to-top;">
                  <w:txbxContent>
                    <w:p>
                      <w:pPr>
                        <w:spacing w:before="0" w:line="260" w:lineRule="exact"/>
                        <w:ind w:left="20" w:right="0" w:firstLine="0"/>
                        <w:jc w:val="left"/>
                        <w:rPr>
                          <w:sz w:val="22"/>
                        </w:rPr>
                      </w:pPr>
                      <w:r>
                        <w:rPr>
                          <w:sz w:val="22"/>
                        </w:rPr>
                        <w:t>温度（℃)</w:t>
                      </w:r>
                    </w:p>
                  </w:txbxContent>
                </v:textbox>
              </v:shape>
            </w:pict>
          </mc:Fallback>
        </mc:AlternateContent>
      </w:r>
    </w:p>
    <w:p>
      <w:pPr>
        <w:pStyle w:val="12"/>
        <w:rPr>
          <w:sz w:val="26"/>
        </w:rPr>
      </w:pPr>
    </w:p>
    <w:p>
      <w:pPr>
        <w:pStyle w:val="12"/>
        <w:rPr>
          <w:sz w:val="26"/>
        </w:rPr>
      </w:pPr>
    </w:p>
    <w:p>
      <w:pPr>
        <w:pStyle w:val="12"/>
        <w:rPr>
          <w:sz w:val="26"/>
        </w:rPr>
      </w:pPr>
    </w:p>
    <w:p>
      <w:pPr>
        <w:pStyle w:val="12"/>
        <w:rPr>
          <w:sz w:val="26"/>
        </w:rPr>
      </w:pPr>
    </w:p>
    <w:p>
      <w:pPr>
        <w:tabs>
          <w:tab w:val="left" w:pos="1043"/>
        </w:tabs>
        <w:spacing w:before="0"/>
        <w:ind w:left="0" w:right="317" w:firstLine="0"/>
        <w:jc w:val="center"/>
        <w:rPr>
          <w:b/>
          <w:sz w:val="24"/>
        </w:rPr>
      </w:pPr>
      <w:r>
        <w:rPr>
          <w:b/>
          <w:sz w:val="24"/>
        </w:rPr>
        <w:t>图</w:t>
      </w:r>
      <w:r>
        <w:rPr>
          <w:b/>
          <w:spacing w:val="-60"/>
          <w:sz w:val="24"/>
        </w:rPr>
        <w:t xml:space="preserve"> </w:t>
      </w:r>
      <w:r>
        <w:rPr>
          <w:rFonts w:ascii="Times New Roman" w:eastAsia="Times New Roman"/>
          <w:b/>
          <w:sz w:val="24"/>
        </w:rPr>
        <w:t>4.2-1</w:t>
      </w:r>
      <w:r>
        <w:rPr>
          <w:rFonts w:ascii="Times New Roman" w:eastAsia="Times New Roman"/>
          <w:b/>
          <w:sz w:val="24"/>
        </w:rPr>
        <w:tab/>
      </w:r>
      <w:r>
        <w:rPr>
          <w:b/>
          <w:sz w:val="24"/>
        </w:rPr>
        <w:t>六安市年平均温度的月变化图</w:t>
      </w:r>
    </w:p>
    <w:p>
      <w:pPr>
        <w:pStyle w:val="12"/>
        <w:spacing w:before="74" w:line="362" w:lineRule="auto"/>
        <w:ind w:left="238" w:right="550" w:firstLine="480"/>
        <w:rPr>
          <w:sz w:val="24"/>
          <w:szCs w:val="24"/>
        </w:rPr>
      </w:pPr>
      <w:r>
        <w:rPr>
          <w:spacing w:val="-20"/>
          <w:sz w:val="24"/>
          <w:szCs w:val="24"/>
        </w:rPr>
        <w:t xml:space="preserve">从表 </w:t>
      </w:r>
      <w:r>
        <w:rPr>
          <w:rFonts w:ascii="Times New Roman" w:hAnsi="Times New Roman" w:eastAsia="Times New Roman"/>
          <w:sz w:val="24"/>
          <w:szCs w:val="24"/>
        </w:rPr>
        <w:t>4.2-1</w:t>
      </w:r>
      <w:r>
        <w:rPr>
          <w:spacing w:val="-20"/>
          <w:sz w:val="24"/>
          <w:szCs w:val="24"/>
        </w:rPr>
        <w:t>和</w:t>
      </w:r>
      <w:r>
        <w:rPr>
          <w:rFonts w:hint="eastAsia"/>
          <w:spacing w:val="-20"/>
          <w:sz w:val="24"/>
          <w:szCs w:val="24"/>
          <w:lang w:val="en-US" w:eastAsia="zh-CN"/>
        </w:rPr>
        <w:t xml:space="preserve"> </w:t>
      </w:r>
      <w:r>
        <w:rPr>
          <w:spacing w:val="-20"/>
          <w:sz w:val="24"/>
          <w:szCs w:val="24"/>
        </w:rPr>
        <w:t xml:space="preserve">图 </w:t>
      </w:r>
      <w:r>
        <w:rPr>
          <w:rFonts w:ascii="Times New Roman" w:hAnsi="Times New Roman" w:eastAsia="Times New Roman"/>
          <w:sz w:val="24"/>
          <w:szCs w:val="24"/>
        </w:rPr>
        <w:t>4.2-1</w:t>
      </w:r>
      <w:r>
        <w:rPr>
          <w:spacing w:val="-12"/>
          <w:sz w:val="24"/>
          <w:szCs w:val="24"/>
        </w:rPr>
        <w:t>可知，全年平均气温为</w:t>
      </w:r>
      <w:r>
        <w:rPr>
          <w:rFonts w:ascii="Times New Roman" w:hAnsi="Times New Roman" w:eastAsia="Times New Roman"/>
          <w:spacing w:val="-8"/>
          <w:sz w:val="24"/>
          <w:szCs w:val="24"/>
        </w:rPr>
        <w:t>16.7</w:t>
      </w:r>
      <w:r>
        <w:rPr>
          <w:spacing w:val="-5"/>
          <w:sz w:val="24"/>
          <w:szCs w:val="24"/>
        </w:rPr>
        <w:t>℃，其中夏季气温明显高于其余季</w:t>
      </w:r>
      <w:r>
        <w:rPr>
          <w:spacing w:val="-10"/>
          <w:sz w:val="24"/>
          <w:szCs w:val="24"/>
        </w:rPr>
        <w:t xml:space="preserve">节，其中以 </w:t>
      </w:r>
      <w:r>
        <w:rPr>
          <w:rFonts w:ascii="Times New Roman" w:hAnsi="Times New Roman" w:eastAsia="Times New Roman"/>
          <w:sz w:val="24"/>
          <w:szCs w:val="24"/>
        </w:rPr>
        <w:t>7</w:t>
      </w:r>
      <w:r>
        <w:rPr>
          <w:spacing w:val="-6"/>
          <w:sz w:val="24"/>
          <w:szCs w:val="24"/>
        </w:rPr>
        <w:t>月温度最高，平均为</w:t>
      </w:r>
      <w:r>
        <w:rPr>
          <w:rFonts w:ascii="Times New Roman" w:hAnsi="Times New Roman" w:eastAsia="Times New Roman"/>
          <w:sz w:val="24"/>
          <w:szCs w:val="24"/>
        </w:rPr>
        <w:t>28.4</w:t>
      </w:r>
      <w:r>
        <w:rPr>
          <w:sz w:val="24"/>
          <w:szCs w:val="24"/>
        </w:rPr>
        <w:t>℃，</w:t>
      </w:r>
      <w:r>
        <w:rPr>
          <w:rFonts w:ascii="Times New Roman" w:hAnsi="Times New Roman" w:eastAsia="Times New Roman"/>
          <w:sz w:val="24"/>
          <w:szCs w:val="24"/>
        </w:rPr>
        <w:t>1</w:t>
      </w:r>
      <w:r>
        <w:rPr>
          <w:spacing w:val="-6"/>
          <w:sz w:val="24"/>
          <w:szCs w:val="24"/>
        </w:rPr>
        <w:t>月温度最低，平均为</w:t>
      </w:r>
      <w:r>
        <w:rPr>
          <w:rFonts w:ascii="Times New Roman" w:hAnsi="Times New Roman" w:eastAsia="Times New Roman"/>
          <w:sz w:val="24"/>
          <w:szCs w:val="24"/>
        </w:rPr>
        <w:t>1.4</w:t>
      </w:r>
      <w:r>
        <w:rPr>
          <w:sz w:val="24"/>
          <w:szCs w:val="24"/>
        </w:rPr>
        <w:t>℃。</w:t>
      </w:r>
    </w:p>
    <w:p>
      <w:pPr>
        <w:pStyle w:val="12"/>
        <w:spacing w:before="5"/>
        <w:ind w:left="718"/>
        <w:rPr>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sz w:val="24"/>
          <w:szCs w:val="24"/>
        </w:rPr>
        <w:t>风速</w:t>
      </w:r>
    </w:p>
    <w:p>
      <w:pPr>
        <w:spacing w:before="0"/>
        <w:ind w:right="0" w:firstLine="240" w:firstLineChars="100"/>
        <w:jc w:val="center"/>
        <w:rPr>
          <w:spacing w:val="-17"/>
          <w:sz w:val="24"/>
          <w:szCs w:val="24"/>
        </w:rPr>
      </w:pPr>
      <w:r>
        <w:rPr>
          <w:sz w:val="24"/>
          <w:szCs w:val="24"/>
        </w:rPr>
        <mc:AlternateContent>
          <mc:Choice Requires="wpg">
            <w:drawing>
              <wp:anchor distT="0" distB="0" distL="114300" distR="114300" simplePos="0" relativeHeight="252411904" behindDoc="0" locked="0" layoutInCell="1" allowOverlap="1">
                <wp:simplePos x="0" y="0"/>
                <wp:positionH relativeFrom="page">
                  <wp:posOffset>1069340</wp:posOffset>
                </wp:positionH>
                <wp:positionV relativeFrom="paragraph">
                  <wp:posOffset>-34055050</wp:posOffset>
                </wp:positionV>
                <wp:extent cx="53336190" cy="36870005"/>
                <wp:effectExtent l="4445" t="0" r="0" b="7620"/>
                <wp:wrapNone/>
                <wp:docPr id="172" name="组合 172"/>
                <wp:cNvGraphicFramePr/>
                <a:graphic xmlns:a="http://schemas.openxmlformats.org/drawingml/2006/main">
                  <a:graphicData uri="http://schemas.microsoft.com/office/word/2010/wordprocessingGroup">
                    <wpg:wgp>
                      <wpg:cNvGrpSpPr/>
                      <wpg:grpSpPr>
                        <a:xfrm>
                          <a:off x="0" y="0"/>
                          <a:ext cx="53336190" cy="36870005"/>
                          <a:chOff x="1508" y="-52184"/>
                          <a:chExt cx="83994" cy="58063"/>
                        </a:xfrm>
                      </wpg:grpSpPr>
                      <wps:wsp>
                        <wps:cNvPr id="89" name="矩形 89"/>
                        <wps:cNvSpPr/>
                        <wps:spPr>
                          <a:xfrm>
                            <a:off x="2497" y="2359"/>
                            <a:ext cx="7763" cy="2945"/>
                          </a:xfrm>
                          <a:prstGeom prst="rect">
                            <a:avLst/>
                          </a:prstGeom>
                          <a:solidFill>
                            <a:srgbClr val="C0C0C0"/>
                          </a:solidFill>
                          <a:ln>
                            <a:noFill/>
                          </a:ln>
                        </wps:spPr>
                        <wps:bodyPr upright="1"/>
                      </wps:wsp>
                      <wps:wsp>
                        <wps:cNvPr id="98" name="任意多边形 98"/>
                        <wps:cNvSpPr/>
                        <wps:spPr>
                          <a:xfrm>
                            <a:off x="20815" y="-49104"/>
                            <a:ext cx="64687" cy="21454"/>
                          </a:xfrm>
                          <a:custGeom>
                            <a:avLst/>
                            <a:gdLst/>
                            <a:ahLst/>
                            <a:cxnLst/>
                            <a:pathLst>
                              <a:path w="64687" h="21454">
                                <a:moveTo>
                                  <a:pt x="-18317" y="54037"/>
                                </a:moveTo>
                                <a:lnTo>
                                  <a:pt x="-10555" y="54037"/>
                                </a:lnTo>
                                <a:moveTo>
                                  <a:pt x="-18317" y="53667"/>
                                </a:moveTo>
                                <a:lnTo>
                                  <a:pt x="-10555" y="53667"/>
                                </a:lnTo>
                                <a:moveTo>
                                  <a:pt x="-18317" y="53298"/>
                                </a:moveTo>
                                <a:lnTo>
                                  <a:pt x="-10555" y="53298"/>
                                </a:lnTo>
                                <a:moveTo>
                                  <a:pt x="-18317" y="52941"/>
                                </a:moveTo>
                                <a:lnTo>
                                  <a:pt x="-10555" y="52941"/>
                                </a:lnTo>
                                <a:moveTo>
                                  <a:pt x="-18317" y="52572"/>
                                </a:moveTo>
                                <a:lnTo>
                                  <a:pt x="-10555" y="52572"/>
                                </a:lnTo>
                                <a:moveTo>
                                  <a:pt x="-18317" y="52202"/>
                                </a:moveTo>
                                <a:lnTo>
                                  <a:pt x="-10555" y="52202"/>
                                </a:lnTo>
                                <a:moveTo>
                                  <a:pt x="-18317" y="51832"/>
                                </a:moveTo>
                                <a:lnTo>
                                  <a:pt x="-10555" y="51832"/>
                                </a:lnTo>
                                <a:moveTo>
                                  <a:pt x="-18317" y="51463"/>
                                </a:moveTo>
                                <a:lnTo>
                                  <a:pt x="-10555" y="51463"/>
                                </a:lnTo>
                              </a:path>
                            </a:pathLst>
                          </a:custGeom>
                          <a:noFill/>
                          <a:ln w="8710" cap="flat" cmpd="sng">
                            <a:solidFill>
                              <a:srgbClr val="000000"/>
                            </a:solidFill>
                            <a:prstDash val="solid"/>
                            <a:round/>
                            <a:headEnd type="none" w="med" len="med"/>
                            <a:tailEnd type="none" w="med" len="med"/>
                          </a:ln>
                        </wps:spPr>
                        <wps:bodyPr upright="1"/>
                      </wps:wsp>
                      <wps:wsp>
                        <wps:cNvPr id="100" name="任意多边形 100"/>
                        <wps:cNvSpPr/>
                        <wps:spPr>
                          <a:xfrm>
                            <a:off x="20815" y="-52184"/>
                            <a:ext cx="64687" cy="24534"/>
                          </a:xfrm>
                          <a:custGeom>
                            <a:avLst/>
                            <a:gdLst/>
                            <a:ahLst/>
                            <a:cxnLst/>
                            <a:pathLst>
                              <a:path w="64687" h="24534">
                                <a:moveTo>
                                  <a:pt x="-18317" y="54543"/>
                                </a:moveTo>
                                <a:lnTo>
                                  <a:pt x="-10555" y="54543"/>
                                </a:lnTo>
                                <a:moveTo>
                                  <a:pt x="-10555" y="54543"/>
                                </a:moveTo>
                                <a:lnTo>
                                  <a:pt x="-10555" y="57487"/>
                                </a:lnTo>
                                <a:moveTo>
                                  <a:pt x="-10555" y="57487"/>
                                </a:moveTo>
                                <a:lnTo>
                                  <a:pt x="-18317" y="57487"/>
                                </a:lnTo>
                                <a:moveTo>
                                  <a:pt x="-18317" y="57487"/>
                                </a:moveTo>
                                <a:lnTo>
                                  <a:pt x="-18317" y="54543"/>
                                </a:lnTo>
                              </a:path>
                            </a:pathLst>
                          </a:custGeom>
                          <a:noFill/>
                          <a:ln w="8710" cap="flat" cmpd="sng">
                            <a:solidFill>
                              <a:srgbClr val="808080"/>
                            </a:solidFill>
                            <a:prstDash val="solid"/>
                            <a:round/>
                            <a:headEnd type="none" w="med" len="med"/>
                            <a:tailEnd type="none" w="med" len="med"/>
                          </a:ln>
                        </wps:spPr>
                        <wps:bodyPr upright="1"/>
                      </wps:wsp>
                      <wps:wsp>
                        <wps:cNvPr id="102" name="任意多边形 102"/>
                        <wps:cNvSpPr/>
                        <wps:spPr>
                          <a:xfrm>
                            <a:off x="20815" y="-52184"/>
                            <a:ext cx="64687" cy="24534"/>
                          </a:xfrm>
                          <a:custGeom>
                            <a:avLst/>
                            <a:gdLst/>
                            <a:ahLst/>
                            <a:cxnLst/>
                            <a:pathLst>
                              <a:path w="64687" h="24534">
                                <a:moveTo>
                                  <a:pt x="-18317" y="54543"/>
                                </a:moveTo>
                                <a:lnTo>
                                  <a:pt x="-18317" y="57487"/>
                                </a:lnTo>
                                <a:moveTo>
                                  <a:pt x="-18317" y="57487"/>
                                </a:moveTo>
                                <a:lnTo>
                                  <a:pt x="-18249" y="57487"/>
                                </a:lnTo>
                                <a:moveTo>
                                  <a:pt x="-18317" y="57117"/>
                                </a:moveTo>
                                <a:lnTo>
                                  <a:pt x="-18249" y="57117"/>
                                </a:lnTo>
                                <a:moveTo>
                                  <a:pt x="-18317" y="56747"/>
                                </a:moveTo>
                                <a:lnTo>
                                  <a:pt x="-18249" y="56747"/>
                                </a:lnTo>
                                <a:moveTo>
                                  <a:pt x="-18317" y="56378"/>
                                </a:moveTo>
                                <a:lnTo>
                                  <a:pt x="-18249" y="56378"/>
                                </a:lnTo>
                                <a:moveTo>
                                  <a:pt x="-18317" y="56021"/>
                                </a:moveTo>
                                <a:lnTo>
                                  <a:pt x="-18249" y="56021"/>
                                </a:lnTo>
                                <a:moveTo>
                                  <a:pt x="-18317" y="55652"/>
                                </a:moveTo>
                                <a:lnTo>
                                  <a:pt x="-18249" y="55652"/>
                                </a:lnTo>
                                <a:moveTo>
                                  <a:pt x="-18317" y="55282"/>
                                </a:moveTo>
                                <a:lnTo>
                                  <a:pt x="-18249" y="55282"/>
                                </a:lnTo>
                                <a:moveTo>
                                  <a:pt x="-18317" y="54912"/>
                                </a:moveTo>
                                <a:lnTo>
                                  <a:pt x="-18249" y="54912"/>
                                </a:lnTo>
                                <a:moveTo>
                                  <a:pt x="-18317" y="54543"/>
                                </a:moveTo>
                                <a:lnTo>
                                  <a:pt x="-18249" y="54543"/>
                                </a:lnTo>
                                <a:moveTo>
                                  <a:pt x="-18317" y="57487"/>
                                </a:moveTo>
                                <a:lnTo>
                                  <a:pt x="-10555" y="57487"/>
                                </a:lnTo>
                                <a:moveTo>
                                  <a:pt x="-18317" y="57487"/>
                                </a:moveTo>
                                <a:lnTo>
                                  <a:pt x="-18317" y="57418"/>
                                </a:lnTo>
                                <a:moveTo>
                                  <a:pt x="-17671" y="57487"/>
                                </a:moveTo>
                                <a:lnTo>
                                  <a:pt x="-17671" y="57418"/>
                                </a:lnTo>
                                <a:moveTo>
                                  <a:pt x="-17026" y="57487"/>
                                </a:moveTo>
                                <a:lnTo>
                                  <a:pt x="-17026" y="57418"/>
                                </a:lnTo>
                                <a:moveTo>
                                  <a:pt x="-16380" y="57487"/>
                                </a:moveTo>
                                <a:lnTo>
                                  <a:pt x="-16380" y="57418"/>
                                </a:lnTo>
                                <a:moveTo>
                                  <a:pt x="-15734" y="57487"/>
                                </a:moveTo>
                                <a:lnTo>
                                  <a:pt x="-15734" y="57418"/>
                                </a:lnTo>
                                <a:moveTo>
                                  <a:pt x="-15089" y="57487"/>
                                </a:moveTo>
                                <a:lnTo>
                                  <a:pt x="-15089" y="57418"/>
                                </a:lnTo>
                                <a:moveTo>
                                  <a:pt x="-14429" y="57487"/>
                                </a:moveTo>
                                <a:lnTo>
                                  <a:pt x="-14429" y="57418"/>
                                </a:lnTo>
                                <a:moveTo>
                                  <a:pt x="-13783" y="57487"/>
                                </a:moveTo>
                                <a:lnTo>
                                  <a:pt x="-13783" y="57418"/>
                                </a:lnTo>
                                <a:moveTo>
                                  <a:pt x="-13138" y="57487"/>
                                </a:moveTo>
                                <a:lnTo>
                                  <a:pt x="-13138" y="57418"/>
                                </a:lnTo>
                                <a:moveTo>
                                  <a:pt x="-12492" y="57487"/>
                                </a:moveTo>
                                <a:lnTo>
                                  <a:pt x="-12492" y="57418"/>
                                </a:lnTo>
                                <a:moveTo>
                                  <a:pt x="-11846" y="57487"/>
                                </a:moveTo>
                                <a:lnTo>
                                  <a:pt x="-11846" y="57418"/>
                                </a:lnTo>
                                <a:moveTo>
                                  <a:pt x="-11201" y="57487"/>
                                </a:moveTo>
                                <a:lnTo>
                                  <a:pt x="-11201" y="57418"/>
                                </a:lnTo>
                                <a:moveTo>
                                  <a:pt x="-10555" y="57487"/>
                                </a:moveTo>
                                <a:lnTo>
                                  <a:pt x="-10555" y="57418"/>
                                </a:lnTo>
                              </a:path>
                            </a:pathLst>
                          </a:custGeom>
                          <a:noFill/>
                          <a:ln w="8710" cap="flat" cmpd="sng">
                            <a:solidFill>
                              <a:srgbClr val="000000"/>
                            </a:solidFill>
                            <a:prstDash val="solid"/>
                            <a:round/>
                            <a:headEnd type="none" w="med" len="med"/>
                            <a:tailEnd type="none" w="med" len="med"/>
                          </a:ln>
                        </wps:spPr>
                        <wps:bodyPr upright="1"/>
                      </wps:wsp>
                      <wps:wsp>
                        <wps:cNvPr id="106" name="任意多边形 106"/>
                        <wps:cNvSpPr/>
                        <wps:spPr>
                          <a:xfrm>
                            <a:off x="23563" y="-35637"/>
                            <a:ext cx="59190" cy="5478"/>
                          </a:xfrm>
                          <a:custGeom>
                            <a:avLst/>
                            <a:gdLst/>
                            <a:ahLst/>
                            <a:cxnLst/>
                            <a:pathLst>
                              <a:path w="59190" h="5478">
                                <a:moveTo>
                                  <a:pt x="-20736" y="38654"/>
                                </a:moveTo>
                                <a:lnTo>
                                  <a:pt x="-20091" y="38366"/>
                                </a:lnTo>
                                <a:moveTo>
                                  <a:pt x="-20091" y="38366"/>
                                </a:moveTo>
                                <a:lnTo>
                                  <a:pt x="-19445" y="38298"/>
                                </a:lnTo>
                                <a:moveTo>
                                  <a:pt x="-19445" y="38298"/>
                                </a:moveTo>
                                <a:lnTo>
                                  <a:pt x="-18799" y="38366"/>
                                </a:lnTo>
                                <a:moveTo>
                                  <a:pt x="-18799" y="38366"/>
                                </a:moveTo>
                                <a:lnTo>
                                  <a:pt x="-18153" y="38517"/>
                                </a:lnTo>
                                <a:moveTo>
                                  <a:pt x="-18153" y="38517"/>
                                </a:moveTo>
                                <a:lnTo>
                                  <a:pt x="-17508" y="38654"/>
                                </a:lnTo>
                                <a:moveTo>
                                  <a:pt x="-17508" y="38654"/>
                                </a:moveTo>
                                <a:lnTo>
                                  <a:pt x="-16862" y="38736"/>
                                </a:lnTo>
                                <a:moveTo>
                                  <a:pt x="-16862" y="38736"/>
                                </a:moveTo>
                                <a:lnTo>
                                  <a:pt x="-16216" y="38654"/>
                                </a:lnTo>
                                <a:moveTo>
                                  <a:pt x="-16216" y="38654"/>
                                </a:moveTo>
                                <a:lnTo>
                                  <a:pt x="-15571" y="38955"/>
                                </a:lnTo>
                                <a:moveTo>
                                  <a:pt x="-15571" y="38955"/>
                                </a:moveTo>
                                <a:lnTo>
                                  <a:pt x="-14925" y="38804"/>
                                </a:lnTo>
                                <a:moveTo>
                                  <a:pt x="-14925" y="38804"/>
                                </a:moveTo>
                                <a:lnTo>
                                  <a:pt x="-14279" y="38435"/>
                                </a:lnTo>
                                <a:moveTo>
                                  <a:pt x="-14279" y="38435"/>
                                </a:moveTo>
                                <a:lnTo>
                                  <a:pt x="-13634" y="38585"/>
                                </a:lnTo>
                              </a:path>
                            </a:pathLst>
                          </a:custGeom>
                          <a:noFill/>
                          <a:ln w="8710" cap="flat" cmpd="sng">
                            <a:solidFill>
                              <a:srgbClr val="000080"/>
                            </a:solidFill>
                            <a:prstDash val="solid"/>
                            <a:round/>
                            <a:headEnd type="none" w="med" len="med"/>
                            <a:tailEnd type="none" w="med" len="med"/>
                          </a:ln>
                        </wps:spPr>
                        <wps:bodyPr upright="1"/>
                      </wps:wsp>
                      <wps:wsp>
                        <wps:cNvPr id="110" name="任意多边形 110"/>
                        <wps:cNvSpPr/>
                        <wps:spPr>
                          <a:xfrm>
                            <a:off x="2786" y="2975"/>
                            <a:ext cx="83" cy="83"/>
                          </a:xfrm>
                          <a:custGeom>
                            <a:avLst/>
                            <a:gdLst/>
                            <a:ahLst/>
                            <a:cxnLst/>
                            <a:pathLst>
                              <a:path w="83" h="83">
                                <a:moveTo>
                                  <a:pt x="42" y="82"/>
                                </a:moveTo>
                                <a:lnTo>
                                  <a:pt x="0" y="41"/>
                                </a:lnTo>
                                <a:lnTo>
                                  <a:pt x="42" y="0"/>
                                </a:lnTo>
                                <a:lnTo>
                                  <a:pt x="83" y="41"/>
                                </a:lnTo>
                                <a:lnTo>
                                  <a:pt x="42" y="82"/>
                                </a:lnTo>
                                <a:close/>
                              </a:path>
                            </a:pathLst>
                          </a:custGeom>
                          <a:solidFill>
                            <a:srgbClr val="000080"/>
                          </a:solidFill>
                          <a:ln>
                            <a:noFill/>
                          </a:ln>
                        </wps:spPr>
                        <wps:bodyPr upright="1"/>
                      </wps:wsp>
                      <wps:wsp>
                        <wps:cNvPr id="118" name="任意多边形 118"/>
                        <wps:cNvSpPr/>
                        <wps:spPr>
                          <a:xfrm>
                            <a:off x="2786" y="2975"/>
                            <a:ext cx="83" cy="83"/>
                          </a:xfrm>
                          <a:custGeom>
                            <a:avLst/>
                            <a:gdLst/>
                            <a:ahLst/>
                            <a:cxnLst/>
                            <a:pathLst>
                              <a:path w="83" h="83">
                                <a:moveTo>
                                  <a:pt x="42" y="0"/>
                                </a:moveTo>
                                <a:lnTo>
                                  <a:pt x="83" y="41"/>
                                </a:lnTo>
                                <a:lnTo>
                                  <a:pt x="42" y="82"/>
                                </a:lnTo>
                                <a:lnTo>
                                  <a:pt x="0" y="41"/>
                                </a:lnTo>
                                <a:lnTo>
                                  <a:pt x="42" y="0"/>
                                </a:lnTo>
                                <a:close/>
                              </a:path>
                            </a:pathLst>
                          </a:custGeom>
                          <a:noFill/>
                          <a:ln w="8710" cap="flat" cmpd="sng">
                            <a:solidFill>
                              <a:srgbClr val="000080"/>
                            </a:solidFill>
                            <a:prstDash val="solid"/>
                            <a:round/>
                            <a:headEnd type="none" w="med" len="med"/>
                            <a:tailEnd type="none" w="med" len="med"/>
                          </a:ln>
                        </wps:spPr>
                        <wps:bodyPr upright="1"/>
                      </wps:wsp>
                      <wps:wsp>
                        <wps:cNvPr id="128" name="任意多边形 128"/>
                        <wps:cNvSpPr/>
                        <wps:spPr>
                          <a:xfrm>
                            <a:off x="3432" y="2688"/>
                            <a:ext cx="83" cy="83"/>
                          </a:xfrm>
                          <a:custGeom>
                            <a:avLst/>
                            <a:gdLst/>
                            <a:ahLst/>
                            <a:cxnLst/>
                            <a:pathLst>
                              <a:path w="83" h="83">
                                <a:moveTo>
                                  <a:pt x="41" y="82"/>
                                </a:moveTo>
                                <a:lnTo>
                                  <a:pt x="0" y="41"/>
                                </a:lnTo>
                                <a:lnTo>
                                  <a:pt x="41" y="0"/>
                                </a:lnTo>
                                <a:lnTo>
                                  <a:pt x="83" y="41"/>
                                </a:lnTo>
                                <a:lnTo>
                                  <a:pt x="41" y="82"/>
                                </a:lnTo>
                                <a:close/>
                              </a:path>
                            </a:pathLst>
                          </a:custGeom>
                          <a:solidFill>
                            <a:srgbClr val="000080"/>
                          </a:solidFill>
                          <a:ln>
                            <a:noFill/>
                          </a:ln>
                        </wps:spPr>
                        <wps:bodyPr upright="1"/>
                      </wps:wsp>
                      <wps:wsp>
                        <wps:cNvPr id="132" name="任意多边形 132"/>
                        <wps:cNvSpPr/>
                        <wps:spPr>
                          <a:xfrm>
                            <a:off x="3432" y="2688"/>
                            <a:ext cx="83" cy="83"/>
                          </a:xfrm>
                          <a:custGeom>
                            <a:avLst/>
                            <a:gdLst/>
                            <a:ahLst/>
                            <a:cxnLst/>
                            <a:pathLst>
                              <a:path w="83" h="83">
                                <a:moveTo>
                                  <a:pt x="41" y="0"/>
                                </a:moveTo>
                                <a:lnTo>
                                  <a:pt x="82" y="41"/>
                                </a:lnTo>
                                <a:lnTo>
                                  <a:pt x="41" y="82"/>
                                </a:lnTo>
                                <a:lnTo>
                                  <a:pt x="0" y="41"/>
                                </a:lnTo>
                                <a:lnTo>
                                  <a:pt x="41" y="0"/>
                                </a:lnTo>
                                <a:close/>
                              </a:path>
                            </a:pathLst>
                          </a:custGeom>
                          <a:noFill/>
                          <a:ln w="8710" cap="flat" cmpd="sng">
                            <a:solidFill>
                              <a:srgbClr val="000080"/>
                            </a:solidFill>
                            <a:prstDash val="solid"/>
                            <a:round/>
                            <a:headEnd type="none" w="med" len="med"/>
                            <a:tailEnd type="none" w="med" len="med"/>
                          </a:ln>
                        </wps:spPr>
                        <wps:bodyPr upright="1"/>
                      </wps:wsp>
                      <wps:wsp>
                        <wps:cNvPr id="136" name="任意多边形 136"/>
                        <wps:cNvSpPr/>
                        <wps:spPr>
                          <a:xfrm>
                            <a:off x="4077" y="2619"/>
                            <a:ext cx="83" cy="83"/>
                          </a:xfrm>
                          <a:custGeom>
                            <a:avLst/>
                            <a:gdLst/>
                            <a:ahLst/>
                            <a:cxnLst/>
                            <a:pathLst>
                              <a:path w="83" h="83">
                                <a:moveTo>
                                  <a:pt x="41" y="82"/>
                                </a:moveTo>
                                <a:lnTo>
                                  <a:pt x="0" y="41"/>
                                </a:lnTo>
                                <a:lnTo>
                                  <a:pt x="41" y="0"/>
                                </a:lnTo>
                                <a:lnTo>
                                  <a:pt x="82" y="41"/>
                                </a:lnTo>
                                <a:lnTo>
                                  <a:pt x="41" y="82"/>
                                </a:lnTo>
                                <a:close/>
                              </a:path>
                            </a:pathLst>
                          </a:custGeom>
                          <a:solidFill>
                            <a:srgbClr val="000080"/>
                          </a:solidFill>
                          <a:ln>
                            <a:noFill/>
                          </a:ln>
                        </wps:spPr>
                        <wps:bodyPr upright="1"/>
                      </wps:wsp>
                      <wps:wsp>
                        <wps:cNvPr id="138" name="任意多边形 138"/>
                        <wps:cNvSpPr/>
                        <wps:spPr>
                          <a:xfrm>
                            <a:off x="4077" y="2619"/>
                            <a:ext cx="83" cy="83"/>
                          </a:xfrm>
                          <a:custGeom>
                            <a:avLst/>
                            <a:gdLst/>
                            <a:ahLst/>
                            <a:cxnLst/>
                            <a:pathLst>
                              <a:path w="83" h="83">
                                <a:moveTo>
                                  <a:pt x="41" y="0"/>
                                </a:moveTo>
                                <a:lnTo>
                                  <a:pt x="82" y="41"/>
                                </a:lnTo>
                                <a:lnTo>
                                  <a:pt x="41" y="82"/>
                                </a:lnTo>
                                <a:lnTo>
                                  <a:pt x="0" y="41"/>
                                </a:lnTo>
                                <a:lnTo>
                                  <a:pt x="41" y="0"/>
                                </a:lnTo>
                                <a:close/>
                              </a:path>
                            </a:pathLst>
                          </a:custGeom>
                          <a:noFill/>
                          <a:ln w="8710" cap="flat" cmpd="sng">
                            <a:solidFill>
                              <a:srgbClr val="000080"/>
                            </a:solidFill>
                            <a:prstDash val="solid"/>
                            <a:round/>
                            <a:headEnd type="none" w="med" len="med"/>
                            <a:tailEnd type="none" w="med" len="med"/>
                          </a:ln>
                        </wps:spPr>
                        <wps:bodyPr upright="1"/>
                      </wps:wsp>
                      <wps:wsp>
                        <wps:cNvPr id="147" name="任意多边形 147"/>
                        <wps:cNvSpPr/>
                        <wps:spPr>
                          <a:xfrm>
                            <a:off x="4723" y="2688"/>
                            <a:ext cx="83" cy="83"/>
                          </a:xfrm>
                          <a:custGeom>
                            <a:avLst/>
                            <a:gdLst/>
                            <a:ahLst/>
                            <a:cxnLst/>
                            <a:pathLst>
                              <a:path w="83" h="83">
                                <a:moveTo>
                                  <a:pt x="41" y="82"/>
                                </a:moveTo>
                                <a:lnTo>
                                  <a:pt x="0" y="41"/>
                                </a:lnTo>
                                <a:lnTo>
                                  <a:pt x="41" y="0"/>
                                </a:lnTo>
                                <a:lnTo>
                                  <a:pt x="82" y="41"/>
                                </a:lnTo>
                                <a:lnTo>
                                  <a:pt x="41" y="82"/>
                                </a:lnTo>
                                <a:close/>
                              </a:path>
                            </a:pathLst>
                          </a:custGeom>
                          <a:solidFill>
                            <a:srgbClr val="000080"/>
                          </a:solidFill>
                          <a:ln>
                            <a:noFill/>
                          </a:ln>
                        </wps:spPr>
                        <wps:bodyPr upright="1"/>
                      </wps:wsp>
                      <wps:wsp>
                        <wps:cNvPr id="148" name="任意多边形 148"/>
                        <wps:cNvSpPr/>
                        <wps:spPr>
                          <a:xfrm>
                            <a:off x="4723" y="2688"/>
                            <a:ext cx="83" cy="83"/>
                          </a:xfrm>
                          <a:custGeom>
                            <a:avLst/>
                            <a:gdLst/>
                            <a:ahLst/>
                            <a:cxnLst/>
                            <a:pathLst>
                              <a:path w="83" h="83">
                                <a:moveTo>
                                  <a:pt x="41" y="0"/>
                                </a:moveTo>
                                <a:lnTo>
                                  <a:pt x="82" y="41"/>
                                </a:lnTo>
                                <a:lnTo>
                                  <a:pt x="41" y="82"/>
                                </a:lnTo>
                                <a:lnTo>
                                  <a:pt x="0" y="41"/>
                                </a:lnTo>
                                <a:lnTo>
                                  <a:pt x="41" y="0"/>
                                </a:lnTo>
                                <a:close/>
                              </a:path>
                            </a:pathLst>
                          </a:custGeom>
                          <a:noFill/>
                          <a:ln w="8710" cap="flat" cmpd="sng">
                            <a:solidFill>
                              <a:srgbClr val="000080"/>
                            </a:solidFill>
                            <a:prstDash val="solid"/>
                            <a:round/>
                            <a:headEnd type="none" w="med" len="med"/>
                            <a:tailEnd type="none" w="med" len="med"/>
                          </a:ln>
                        </wps:spPr>
                        <wps:bodyPr upright="1"/>
                      </wps:wsp>
                      <wps:wsp>
                        <wps:cNvPr id="149" name="任意多边形 149"/>
                        <wps:cNvSpPr/>
                        <wps:spPr>
                          <a:xfrm>
                            <a:off x="5369" y="2838"/>
                            <a:ext cx="83" cy="83"/>
                          </a:xfrm>
                          <a:custGeom>
                            <a:avLst/>
                            <a:gdLst/>
                            <a:ahLst/>
                            <a:cxnLst/>
                            <a:pathLst>
                              <a:path w="83" h="83">
                                <a:moveTo>
                                  <a:pt x="42" y="82"/>
                                </a:moveTo>
                                <a:lnTo>
                                  <a:pt x="0" y="41"/>
                                </a:lnTo>
                                <a:lnTo>
                                  <a:pt x="42" y="0"/>
                                </a:lnTo>
                                <a:lnTo>
                                  <a:pt x="83" y="41"/>
                                </a:lnTo>
                                <a:lnTo>
                                  <a:pt x="42" y="82"/>
                                </a:lnTo>
                                <a:close/>
                              </a:path>
                            </a:pathLst>
                          </a:custGeom>
                          <a:solidFill>
                            <a:srgbClr val="000080"/>
                          </a:solidFill>
                          <a:ln>
                            <a:noFill/>
                          </a:ln>
                        </wps:spPr>
                        <wps:bodyPr upright="1"/>
                      </wps:wsp>
                      <wps:wsp>
                        <wps:cNvPr id="150" name="任意多边形 150"/>
                        <wps:cNvSpPr/>
                        <wps:spPr>
                          <a:xfrm>
                            <a:off x="5369" y="2838"/>
                            <a:ext cx="83" cy="83"/>
                          </a:xfrm>
                          <a:custGeom>
                            <a:avLst/>
                            <a:gdLst/>
                            <a:ahLst/>
                            <a:cxnLst/>
                            <a:pathLst>
                              <a:path w="83" h="83">
                                <a:moveTo>
                                  <a:pt x="41" y="0"/>
                                </a:moveTo>
                                <a:lnTo>
                                  <a:pt x="83" y="41"/>
                                </a:lnTo>
                                <a:lnTo>
                                  <a:pt x="41" y="82"/>
                                </a:lnTo>
                                <a:lnTo>
                                  <a:pt x="0" y="41"/>
                                </a:lnTo>
                                <a:lnTo>
                                  <a:pt x="41" y="0"/>
                                </a:lnTo>
                                <a:close/>
                              </a:path>
                            </a:pathLst>
                          </a:custGeom>
                          <a:noFill/>
                          <a:ln w="8710" cap="flat" cmpd="sng">
                            <a:solidFill>
                              <a:srgbClr val="000080"/>
                            </a:solidFill>
                            <a:prstDash val="solid"/>
                            <a:round/>
                            <a:headEnd type="none" w="med" len="med"/>
                            <a:tailEnd type="none" w="med" len="med"/>
                          </a:ln>
                        </wps:spPr>
                        <wps:bodyPr upright="1"/>
                      </wps:wsp>
                      <wps:wsp>
                        <wps:cNvPr id="151" name="任意多边形 151"/>
                        <wps:cNvSpPr/>
                        <wps:spPr>
                          <a:xfrm>
                            <a:off x="6015" y="2975"/>
                            <a:ext cx="83" cy="83"/>
                          </a:xfrm>
                          <a:custGeom>
                            <a:avLst/>
                            <a:gdLst/>
                            <a:ahLst/>
                            <a:cxnLst/>
                            <a:pathLst>
                              <a:path w="83" h="83">
                                <a:moveTo>
                                  <a:pt x="41" y="82"/>
                                </a:moveTo>
                                <a:lnTo>
                                  <a:pt x="0" y="41"/>
                                </a:lnTo>
                                <a:lnTo>
                                  <a:pt x="41" y="0"/>
                                </a:lnTo>
                                <a:lnTo>
                                  <a:pt x="82" y="41"/>
                                </a:lnTo>
                                <a:lnTo>
                                  <a:pt x="41" y="82"/>
                                </a:lnTo>
                                <a:close/>
                              </a:path>
                            </a:pathLst>
                          </a:custGeom>
                          <a:solidFill>
                            <a:srgbClr val="000080"/>
                          </a:solidFill>
                          <a:ln>
                            <a:noFill/>
                          </a:ln>
                        </wps:spPr>
                        <wps:bodyPr upright="1"/>
                      </wps:wsp>
                      <wps:wsp>
                        <wps:cNvPr id="154" name="任意多边形 154"/>
                        <wps:cNvSpPr/>
                        <wps:spPr>
                          <a:xfrm>
                            <a:off x="6015" y="2975"/>
                            <a:ext cx="83" cy="83"/>
                          </a:xfrm>
                          <a:custGeom>
                            <a:avLst/>
                            <a:gdLst/>
                            <a:ahLst/>
                            <a:cxnLst/>
                            <a:pathLst>
                              <a:path w="83" h="83">
                                <a:moveTo>
                                  <a:pt x="41" y="0"/>
                                </a:moveTo>
                                <a:lnTo>
                                  <a:pt x="82" y="41"/>
                                </a:lnTo>
                                <a:lnTo>
                                  <a:pt x="41" y="82"/>
                                </a:lnTo>
                                <a:lnTo>
                                  <a:pt x="0" y="41"/>
                                </a:lnTo>
                                <a:lnTo>
                                  <a:pt x="41" y="0"/>
                                </a:lnTo>
                                <a:close/>
                              </a:path>
                            </a:pathLst>
                          </a:custGeom>
                          <a:noFill/>
                          <a:ln w="8710" cap="flat" cmpd="sng">
                            <a:solidFill>
                              <a:srgbClr val="000080"/>
                            </a:solidFill>
                            <a:prstDash val="solid"/>
                            <a:round/>
                            <a:headEnd type="none" w="med" len="med"/>
                            <a:tailEnd type="none" w="med" len="med"/>
                          </a:ln>
                        </wps:spPr>
                        <wps:bodyPr upright="1"/>
                      </wps:wsp>
                      <wps:wsp>
                        <wps:cNvPr id="155" name="任意多边形 155"/>
                        <wps:cNvSpPr/>
                        <wps:spPr>
                          <a:xfrm>
                            <a:off x="6660" y="3057"/>
                            <a:ext cx="83" cy="83"/>
                          </a:xfrm>
                          <a:custGeom>
                            <a:avLst/>
                            <a:gdLst/>
                            <a:ahLst/>
                            <a:cxnLst/>
                            <a:pathLst>
                              <a:path w="83" h="83">
                                <a:moveTo>
                                  <a:pt x="41" y="82"/>
                                </a:moveTo>
                                <a:lnTo>
                                  <a:pt x="0" y="41"/>
                                </a:lnTo>
                                <a:lnTo>
                                  <a:pt x="41" y="0"/>
                                </a:lnTo>
                                <a:lnTo>
                                  <a:pt x="82" y="41"/>
                                </a:lnTo>
                                <a:lnTo>
                                  <a:pt x="41" y="82"/>
                                </a:lnTo>
                                <a:close/>
                              </a:path>
                            </a:pathLst>
                          </a:custGeom>
                          <a:solidFill>
                            <a:srgbClr val="000080"/>
                          </a:solidFill>
                          <a:ln>
                            <a:noFill/>
                          </a:ln>
                        </wps:spPr>
                        <wps:bodyPr upright="1"/>
                      </wps:wsp>
                      <wps:wsp>
                        <wps:cNvPr id="156" name="任意多边形 156"/>
                        <wps:cNvSpPr/>
                        <wps:spPr>
                          <a:xfrm>
                            <a:off x="6660" y="3057"/>
                            <a:ext cx="83" cy="83"/>
                          </a:xfrm>
                          <a:custGeom>
                            <a:avLst/>
                            <a:gdLst/>
                            <a:ahLst/>
                            <a:cxnLst/>
                            <a:pathLst>
                              <a:path w="83" h="83">
                                <a:moveTo>
                                  <a:pt x="41" y="0"/>
                                </a:moveTo>
                                <a:lnTo>
                                  <a:pt x="82" y="41"/>
                                </a:lnTo>
                                <a:lnTo>
                                  <a:pt x="41" y="82"/>
                                </a:lnTo>
                                <a:lnTo>
                                  <a:pt x="0" y="41"/>
                                </a:lnTo>
                                <a:lnTo>
                                  <a:pt x="41" y="0"/>
                                </a:lnTo>
                                <a:close/>
                              </a:path>
                            </a:pathLst>
                          </a:custGeom>
                          <a:noFill/>
                          <a:ln w="8710" cap="flat" cmpd="sng">
                            <a:solidFill>
                              <a:srgbClr val="000080"/>
                            </a:solidFill>
                            <a:prstDash val="solid"/>
                            <a:round/>
                            <a:headEnd type="none" w="med" len="med"/>
                            <a:tailEnd type="none" w="med" len="med"/>
                          </a:ln>
                        </wps:spPr>
                        <wps:bodyPr upright="1"/>
                      </wps:wsp>
                      <wps:wsp>
                        <wps:cNvPr id="157" name="任意多边形 157"/>
                        <wps:cNvSpPr/>
                        <wps:spPr>
                          <a:xfrm>
                            <a:off x="7306" y="2975"/>
                            <a:ext cx="83" cy="83"/>
                          </a:xfrm>
                          <a:custGeom>
                            <a:avLst/>
                            <a:gdLst/>
                            <a:ahLst/>
                            <a:cxnLst/>
                            <a:pathLst>
                              <a:path w="83" h="83">
                                <a:moveTo>
                                  <a:pt x="42" y="82"/>
                                </a:moveTo>
                                <a:lnTo>
                                  <a:pt x="0" y="41"/>
                                </a:lnTo>
                                <a:lnTo>
                                  <a:pt x="42" y="0"/>
                                </a:lnTo>
                                <a:lnTo>
                                  <a:pt x="83" y="41"/>
                                </a:lnTo>
                                <a:lnTo>
                                  <a:pt x="42" y="82"/>
                                </a:lnTo>
                                <a:close/>
                              </a:path>
                            </a:pathLst>
                          </a:custGeom>
                          <a:solidFill>
                            <a:srgbClr val="000080"/>
                          </a:solidFill>
                          <a:ln>
                            <a:noFill/>
                          </a:ln>
                        </wps:spPr>
                        <wps:bodyPr upright="1"/>
                      </wps:wsp>
                      <wps:wsp>
                        <wps:cNvPr id="159" name="任意多边形 159"/>
                        <wps:cNvSpPr/>
                        <wps:spPr>
                          <a:xfrm>
                            <a:off x="7306" y="2975"/>
                            <a:ext cx="83" cy="83"/>
                          </a:xfrm>
                          <a:custGeom>
                            <a:avLst/>
                            <a:gdLst/>
                            <a:ahLst/>
                            <a:cxnLst/>
                            <a:pathLst>
                              <a:path w="83" h="83">
                                <a:moveTo>
                                  <a:pt x="42" y="0"/>
                                </a:moveTo>
                                <a:lnTo>
                                  <a:pt x="83" y="41"/>
                                </a:lnTo>
                                <a:lnTo>
                                  <a:pt x="42" y="82"/>
                                </a:lnTo>
                                <a:lnTo>
                                  <a:pt x="0" y="41"/>
                                </a:lnTo>
                                <a:lnTo>
                                  <a:pt x="42" y="0"/>
                                </a:lnTo>
                                <a:close/>
                              </a:path>
                            </a:pathLst>
                          </a:custGeom>
                          <a:noFill/>
                          <a:ln w="8710" cap="flat" cmpd="sng">
                            <a:solidFill>
                              <a:srgbClr val="000080"/>
                            </a:solidFill>
                            <a:prstDash val="solid"/>
                            <a:round/>
                            <a:headEnd type="none" w="med" len="med"/>
                            <a:tailEnd type="none" w="med" len="med"/>
                          </a:ln>
                        </wps:spPr>
                        <wps:bodyPr upright="1"/>
                      </wps:wsp>
                      <wps:wsp>
                        <wps:cNvPr id="160" name="任意多边形 160"/>
                        <wps:cNvSpPr/>
                        <wps:spPr>
                          <a:xfrm>
                            <a:off x="7952" y="3276"/>
                            <a:ext cx="83" cy="83"/>
                          </a:xfrm>
                          <a:custGeom>
                            <a:avLst/>
                            <a:gdLst/>
                            <a:ahLst/>
                            <a:cxnLst/>
                            <a:pathLst>
                              <a:path w="83" h="83">
                                <a:moveTo>
                                  <a:pt x="41" y="82"/>
                                </a:moveTo>
                                <a:lnTo>
                                  <a:pt x="0" y="41"/>
                                </a:lnTo>
                                <a:lnTo>
                                  <a:pt x="41" y="0"/>
                                </a:lnTo>
                                <a:lnTo>
                                  <a:pt x="82" y="41"/>
                                </a:lnTo>
                                <a:lnTo>
                                  <a:pt x="41" y="82"/>
                                </a:lnTo>
                                <a:close/>
                              </a:path>
                            </a:pathLst>
                          </a:custGeom>
                          <a:solidFill>
                            <a:srgbClr val="000080"/>
                          </a:solidFill>
                          <a:ln>
                            <a:noFill/>
                          </a:ln>
                        </wps:spPr>
                        <wps:bodyPr upright="1"/>
                      </wps:wsp>
                      <wps:wsp>
                        <wps:cNvPr id="161" name="任意多边形 161"/>
                        <wps:cNvSpPr/>
                        <wps:spPr>
                          <a:xfrm>
                            <a:off x="7952" y="3276"/>
                            <a:ext cx="83" cy="83"/>
                          </a:xfrm>
                          <a:custGeom>
                            <a:avLst/>
                            <a:gdLst/>
                            <a:ahLst/>
                            <a:cxnLst/>
                            <a:pathLst>
                              <a:path w="83" h="83">
                                <a:moveTo>
                                  <a:pt x="41" y="0"/>
                                </a:moveTo>
                                <a:lnTo>
                                  <a:pt x="82" y="41"/>
                                </a:lnTo>
                                <a:lnTo>
                                  <a:pt x="41" y="82"/>
                                </a:lnTo>
                                <a:lnTo>
                                  <a:pt x="0" y="41"/>
                                </a:lnTo>
                                <a:lnTo>
                                  <a:pt x="41" y="0"/>
                                </a:lnTo>
                                <a:close/>
                              </a:path>
                            </a:pathLst>
                          </a:custGeom>
                          <a:noFill/>
                          <a:ln w="8710" cap="flat" cmpd="sng">
                            <a:solidFill>
                              <a:srgbClr val="000080"/>
                            </a:solidFill>
                            <a:prstDash val="solid"/>
                            <a:round/>
                            <a:headEnd type="none" w="med" len="med"/>
                            <a:tailEnd type="none" w="med" len="med"/>
                          </a:ln>
                        </wps:spPr>
                        <wps:bodyPr upright="1"/>
                      </wps:wsp>
                      <wps:wsp>
                        <wps:cNvPr id="165" name="任意多边形 165"/>
                        <wps:cNvSpPr/>
                        <wps:spPr>
                          <a:xfrm>
                            <a:off x="8597" y="3126"/>
                            <a:ext cx="83" cy="83"/>
                          </a:xfrm>
                          <a:custGeom>
                            <a:avLst/>
                            <a:gdLst/>
                            <a:ahLst/>
                            <a:cxnLst/>
                            <a:pathLst>
                              <a:path w="83" h="83">
                                <a:moveTo>
                                  <a:pt x="41" y="83"/>
                                </a:moveTo>
                                <a:lnTo>
                                  <a:pt x="0" y="41"/>
                                </a:lnTo>
                                <a:lnTo>
                                  <a:pt x="41" y="0"/>
                                </a:lnTo>
                                <a:lnTo>
                                  <a:pt x="82" y="41"/>
                                </a:lnTo>
                                <a:lnTo>
                                  <a:pt x="41" y="83"/>
                                </a:lnTo>
                                <a:close/>
                              </a:path>
                            </a:pathLst>
                          </a:custGeom>
                          <a:solidFill>
                            <a:srgbClr val="000080"/>
                          </a:solidFill>
                          <a:ln>
                            <a:noFill/>
                          </a:ln>
                        </wps:spPr>
                        <wps:bodyPr upright="1"/>
                      </wps:wsp>
                      <wps:wsp>
                        <wps:cNvPr id="166" name="任意多边形 166"/>
                        <wps:cNvSpPr/>
                        <wps:spPr>
                          <a:xfrm>
                            <a:off x="8597" y="3126"/>
                            <a:ext cx="83" cy="83"/>
                          </a:xfrm>
                          <a:custGeom>
                            <a:avLst/>
                            <a:gdLst/>
                            <a:ahLst/>
                            <a:cxnLst/>
                            <a:pathLst>
                              <a:path w="83" h="83">
                                <a:moveTo>
                                  <a:pt x="41" y="0"/>
                                </a:moveTo>
                                <a:lnTo>
                                  <a:pt x="82" y="41"/>
                                </a:lnTo>
                                <a:lnTo>
                                  <a:pt x="41" y="83"/>
                                </a:lnTo>
                                <a:lnTo>
                                  <a:pt x="0" y="41"/>
                                </a:lnTo>
                                <a:lnTo>
                                  <a:pt x="41" y="0"/>
                                </a:lnTo>
                                <a:close/>
                              </a:path>
                            </a:pathLst>
                          </a:custGeom>
                          <a:noFill/>
                          <a:ln w="8710" cap="flat" cmpd="sng">
                            <a:solidFill>
                              <a:srgbClr val="000080"/>
                            </a:solidFill>
                            <a:prstDash val="solid"/>
                            <a:round/>
                            <a:headEnd type="none" w="med" len="med"/>
                            <a:tailEnd type="none" w="med" len="med"/>
                          </a:ln>
                        </wps:spPr>
                        <wps:bodyPr upright="1"/>
                      </wps:wsp>
                      <wps:wsp>
                        <wps:cNvPr id="167" name="任意多边形 167"/>
                        <wps:cNvSpPr/>
                        <wps:spPr>
                          <a:xfrm>
                            <a:off x="9243" y="2756"/>
                            <a:ext cx="83" cy="83"/>
                          </a:xfrm>
                          <a:custGeom>
                            <a:avLst/>
                            <a:gdLst/>
                            <a:ahLst/>
                            <a:cxnLst/>
                            <a:pathLst>
                              <a:path w="83" h="83">
                                <a:moveTo>
                                  <a:pt x="42" y="82"/>
                                </a:moveTo>
                                <a:lnTo>
                                  <a:pt x="0" y="41"/>
                                </a:lnTo>
                                <a:lnTo>
                                  <a:pt x="42" y="0"/>
                                </a:lnTo>
                                <a:lnTo>
                                  <a:pt x="83" y="41"/>
                                </a:lnTo>
                                <a:lnTo>
                                  <a:pt x="42" y="82"/>
                                </a:lnTo>
                                <a:close/>
                              </a:path>
                            </a:pathLst>
                          </a:custGeom>
                          <a:solidFill>
                            <a:srgbClr val="000080"/>
                          </a:solidFill>
                          <a:ln>
                            <a:noFill/>
                          </a:ln>
                        </wps:spPr>
                        <wps:bodyPr upright="1"/>
                      </wps:wsp>
                      <wps:wsp>
                        <wps:cNvPr id="168" name="任意多边形 168"/>
                        <wps:cNvSpPr/>
                        <wps:spPr>
                          <a:xfrm>
                            <a:off x="9243" y="2756"/>
                            <a:ext cx="83" cy="83"/>
                          </a:xfrm>
                          <a:custGeom>
                            <a:avLst/>
                            <a:gdLst/>
                            <a:ahLst/>
                            <a:cxnLst/>
                            <a:pathLst>
                              <a:path w="83" h="83">
                                <a:moveTo>
                                  <a:pt x="42" y="0"/>
                                </a:moveTo>
                                <a:lnTo>
                                  <a:pt x="83" y="41"/>
                                </a:lnTo>
                                <a:lnTo>
                                  <a:pt x="42" y="82"/>
                                </a:lnTo>
                                <a:lnTo>
                                  <a:pt x="0" y="41"/>
                                </a:lnTo>
                                <a:lnTo>
                                  <a:pt x="42" y="0"/>
                                </a:lnTo>
                                <a:close/>
                              </a:path>
                            </a:pathLst>
                          </a:custGeom>
                          <a:noFill/>
                          <a:ln w="8710" cap="flat" cmpd="sng">
                            <a:solidFill>
                              <a:srgbClr val="000080"/>
                            </a:solidFill>
                            <a:prstDash val="solid"/>
                            <a:round/>
                            <a:headEnd type="none" w="med" len="med"/>
                            <a:tailEnd type="none" w="med" len="med"/>
                          </a:ln>
                        </wps:spPr>
                        <wps:bodyPr upright="1"/>
                      </wps:wsp>
                      <wps:wsp>
                        <wps:cNvPr id="169" name="任意多边形 169"/>
                        <wps:cNvSpPr/>
                        <wps:spPr>
                          <a:xfrm>
                            <a:off x="9889" y="2907"/>
                            <a:ext cx="83" cy="83"/>
                          </a:xfrm>
                          <a:custGeom>
                            <a:avLst/>
                            <a:gdLst/>
                            <a:ahLst/>
                            <a:cxnLst/>
                            <a:pathLst>
                              <a:path w="83" h="83">
                                <a:moveTo>
                                  <a:pt x="41" y="82"/>
                                </a:moveTo>
                                <a:lnTo>
                                  <a:pt x="0" y="41"/>
                                </a:lnTo>
                                <a:lnTo>
                                  <a:pt x="41" y="0"/>
                                </a:lnTo>
                                <a:lnTo>
                                  <a:pt x="83" y="41"/>
                                </a:lnTo>
                                <a:lnTo>
                                  <a:pt x="41" y="82"/>
                                </a:lnTo>
                                <a:close/>
                              </a:path>
                            </a:pathLst>
                          </a:custGeom>
                          <a:solidFill>
                            <a:srgbClr val="000080"/>
                          </a:solidFill>
                          <a:ln>
                            <a:noFill/>
                          </a:ln>
                        </wps:spPr>
                        <wps:bodyPr upright="1"/>
                      </wps:wsp>
                      <wps:wsp>
                        <wps:cNvPr id="170" name="任意多边形 170"/>
                        <wps:cNvSpPr/>
                        <wps:spPr>
                          <a:xfrm>
                            <a:off x="9889" y="2907"/>
                            <a:ext cx="83" cy="83"/>
                          </a:xfrm>
                          <a:custGeom>
                            <a:avLst/>
                            <a:gdLst/>
                            <a:ahLst/>
                            <a:cxnLst/>
                            <a:pathLst>
                              <a:path w="83" h="83">
                                <a:moveTo>
                                  <a:pt x="41" y="0"/>
                                </a:moveTo>
                                <a:lnTo>
                                  <a:pt x="83" y="41"/>
                                </a:lnTo>
                                <a:lnTo>
                                  <a:pt x="41" y="82"/>
                                </a:lnTo>
                                <a:lnTo>
                                  <a:pt x="0" y="41"/>
                                </a:lnTo>
                                <a:lnTo>
                                  <a:pt x="41" y="0"/>
                                </a:lnTo>
                                <a:close/>
                              </a:path>
                            </a:pathLst>
                          </a:custGeom>
                          <a:noFill/>
                          <a:ln w="8710" cap="flat" cmpd="sng">
                            <a:solidFill>
                              <a:srgbClr val="000080"/>
                            </a:solidFill>
                            <a:prstDash val="solid"/>
                            <a:round/>
                            <a:headEnd type="none" w="med" len="med"/>
                            <a:tailEnd type="none" w="med" len="med"/>
                          </a:ln>
                        </wps:spPr>
                        <wps:bodyPr upright="1"/>
                      </wps:wsp>
                      <wps:wsp>
                        <wps:cNvPr id="171" name="文本框 171"/>
                        <wps:cNvSpPr txBox="1"/>
                        <wps:spPr>
                          <a:xfrm>
                            <a:off x="1508" y="2058"/>
                            <a:ext cx="8876" cy="3821"/>
                          </a:xfrm>
                          <a:prstGeom prst="rect">
                            <a:avLst/>
                          </a:prstGeom>
                          <a:noFill/>
                          <a:ln w="8710" cap="flat" cmpd="sng">
                            <a:solidFill>
                              <a:srgbClr val="000000"/>
                            </a:solidFill>
                            <a:prstDash val="solid"/>
                            <a:miter/>
                            <a:headEnd type="none" w="med" len="med"/>
                            <a:tailEnd type="none" w="med" len="med"/>
                          </a:ln>
                        </wps:spPr>
                        <wps:txbx>
                          <w:txbxContent>
                            <w:p>
                              <w:pPr>
                                <w:spacing w:before="151"/>
                                <w:ind w:left="0" w:right="8042" w:firstLine="0"/>
                                <w:jc w:val="right"/>
                                <w:rPr>
                                  <w:rFonts w:hint="default" w:ascii="Times New Roman" w:hAnsi="Times New Roman" w:cs="Times New Roman"/>
                                  <w:sz w:val="22"/>
                                </w:rPr>
                              </w:pPr>
                              <w:r>
                                <w:rPr>
                                  <w:rFonts w:hint="default" w:ascii="Times New Roman" w:hAnsi="Times New Roman" w:cs="Times New Roman"/>
                                  <w:w w:val="99"/>
                                  <w:sz w:val="22"/>
                                </w:rPr>
                                <w:t>4</w:t>
                              </w:r>
                            </w:p>
                            <w:p>
                              <w:pPr>
                                <w:spacing w:before="88"/>
                                <w:ind w:left="0" w:right="8042" w:firstLine="0"/>
                                <w:jc w:val="right"/>
                                <w:rPr>
                                  <w:rFonts w:hint="default" w:ascii="Times New Roman" w:hAnsi="Times New Roman" w:cs="Times New Roman"/>
                                  <w:sz w:val="22"/>
                                </w:rPr>
                              </w:pPr>
                              <w:r>
                                <w:rPr>
                                  <w:rFonts w:hint="default" w:ascii="Times New Roman" w:hAnsi="Times New Roman" w:cs="Times New Roman"/>
                                  <w:spacing w:val="-1"/>
                                  <w:sz w:val="22"/>
                                </w:rPr>
                                <w:t>3.5</w:t>
                              </w:r>
                            </w:p>
                            <w:p>
                              <w:pPr>
                                <w:spacing w:before="90"/>
                                <w:ind w:left="0" w:right="8042" w:firstLine="0"/>
                                <w:jc w:val="right"/>
                                <w:rPr>
                                  <w:rFonts w:hint="default" w:ascii="Times New Roman" w:hAnsi="Times New Roman" w:cs="Times New Roman"/>
                                  <w:sz w:val="22"/>
                                </w:rPr>
                              </w:pPr>
                              <w:r>
                                <w:rPr>
                                  <w:rFonts w:hint="default" w:ascii="Times New Roman" w:hAnsi="Times New Roman" w:cs="Times New Roman"/>
                                  <w:w w:val="99"/>
                                  <w:sz w:val="22"/>
                                </w:rPr>
                                <w:t>3</w:t>
                              </w:r>
                            </w:p>
                            <w:p>
                              <w:pPr>
                                <w:spacing w:before="87"/>
                                <w:ind w:left="0" w:right="8042" w:firstLine="0"/>
                                <w:jc w:val="right"/>
                                <w:rPr>
                                  <w:rFonts w:hint="default" w:ascii="Times New Roman" w:hAnsi="Times New Roman" w:cs="Times New Roman"/>
                                  <w:sz w:val="22"/>
                                </w:rPr>
                              </w:pPr>
                              <w:r>
                                <w:rPr>
                                  <w:rFonts w:hint="default" w:ascii="Times New Roman" w:hAnsi="Times New Roman" w:cs="Times New Roman"/>
                                  <w:spacing w:val="-1"/>
                                  <w:sz w:val="22"/>
                                </w:rPr>
                                <w:t>2.5</w:t>
                              </w:r>
                            </w:p>
                            <w:p>
                              <w:pPr>
                                <w:spacing w:before="88"/>
                                <w:ind w:left="0" w:right="8042" w:firstLine="0"/>
                                <w:jc w:val="right"/>
                                <w:rPr>
                                  <w:rFonts w:hint="default" w:ascii="Times New Roman" w:hAnsi="Times New Roman" w:cs="Times New Roman"/>
                                  <w:sz w:val="22"/>
                                </w:rPr>
                              </w:pPr>
                              <w:r>
                                <w:rPr>
                                  <w:rFonts w:hint="default" w:ascii="Times New Roman" w:hAnsi="Times New Roman" w:cs="Times New Roman"/>
                                  <w:w w:val="99"/>
                                  <w:sz w:val="22"/>
                                </w:rPr>
                                <w:t>2</w:t>
                              </w:r>
                            </w:p>
                            <w:p>
                              <w:pPr>
                                <w:spacing w:before="74"/>
                                <w:ind w:left="0" w:right="8042" w:firstLine="0"/>
                                <w:jc w:val="right"/>
                                <w:rPr>
                                  <w:rFonts w:hint="default" w:ascii="Times New Roman" w:hAnsi="Times New Roman" w:cs="Times New Roman"/>
                                  <w:sz w:val="22"/>
                                </w:rPr>
                              </w:pPr>
                              <w:r>
                                <w:rPr>
                                  <w:rFonts w:hint="default" w:ascii="Times New Roman" w:hAnsi="Times New Roman" w:cs="Times New Roman"/>
                                  <w:spacing w:val="-1"/>
                                  <w:sz w:val="22"/>
                                </w:rPr>
                                <w:t>1.5</w:t>
                              </w:r>
                            </w:p>
                            <w:p>
                              <w:pPr>
                                <w:spacing w:before="87"/>
                                <w:ind w:left="0" w:right="8042" w:firstLine="0"/>
                                <w:jc w:val="right"/>
                                <w:rPr>
                                  <w:rFonts w:hint="default" w:ascii="Times New Roman" w:hAnsi="Times New Roman" w:cs="Times New Roman"/>
                                  <w:sz w:val="22"/>
                                </w:rPr>
                              </w:pPr>
                              <w:r>
                                <w:rPr>
                                  <w:rFonts w:hint="default" w:ascii="Times New Roman" w:hAnsi="Times New Roman" w:cs="Times New Roman"/>
                                  <w:w w:val="99"/>
                                  <w:sz w:val="22"/>
                                </w:rPr>
                                <w:t>1</w:t>
                              </w:r>
                            </w:p>
                            <w:p>
                              <w:pPr>
                                <w:spacing w:before="88"/>
                                <w:ind w:left="0" w:right="8042" w:firstLine="0"/>
                                <w:jc w:val="right"/>
                                <w:rPr>
                                  <w:rFonts w:hint="default" w:ascii="Times New Roman" w:hAnsi="Times New Roman" w:cs="Times New Roman"/>
                                  <w:sz w:val="22"/>
                                </w:rPr>
                              </w:pPr>
                              <w:r>
                                <w:rPr>
                                  <w:rFonts w:hint="default" w:ascii="Times New Roman" w:hAnsi="Times New Roman" w:cs="Times New Roman"/>
                                  <w:spacing w:val="-1"/>
                                  <w:sz w:val="22"/>
                                </w:rPr>
                                <w:t>0.5</w:t>
                              </w:r>
                            </w:p>
                            <w:p>
                              <w:pPr>
                                <w:spacing w:before="88"/>
                                <w:ind w:left="0" w:right="8042" w:firstLine="0"/>
                                <w:jc w:val="right"/>
                                <w:rPr>
                                  <w:rFonts w:hint="default" w:ascii="Times New Roman" w:hAnsi="Times New Roman" w:cs="Times New Roman"/>
                                  <w:sz w:val="22"/>
                                </w:rPr>
                              </w:pPr>
                              <w:r>
                                <w:rPr>
                                  <w:rFonts w:hint="default" w:ascii="Times New Roman" w:hAnsi="Times New Roman" w:cs="Times New Roman"/>
                                  <w:w w:val="99"/>
                                  <w:sz w:val="22"/>
                                </w:rPr>
                                <w:t>0</w:t>
                              </w:r>
                            </w:p>
                            <w:p>
                              <w:pPr>
                                <w:tabs>
                                  <w:tab w:val="left" w:pos="1793"/>
                                  <w:tab w:val="left" w:pos="2439"/>
                                  <w:tab w:val="left" w:pos="3085"/>
                                  <w:tab w:val="left" w:pos="3730"/>
                                  <w:tab w:val="left" w:pos="4376"/>
                                  <w:tab w:val="left" w:pos="5021"/>
                                  <w:tab w:val="left" w:pos="5667"/>
                                  <w:tab w:val="left" w:pos="6313"/>
                                  <w:tab w:val="left" w:pos="6903"/>
                                  <w:tab w:val="left" w:pos="7549"/>
                                  <w:tab w:val="left" w:pos="8194"/>
                                </w:tabs>
                                <w:spacing w:before="6"/>
                                <w:ind w:left="1148" w:right="0" w:firstLine="0"/>
                                <w:jc w:val="left"/>
                                <w:rPr>
                                  <w:rFonts w:hint="default" w:ascii="Times New Roman" w:hAnsi="Times New Roman" w:cs="Times New Roman"/>
                                  <w:sz w:val="22"/>
                                </w:rPr>
                              </w:pPr>
                              <w:r>
                                <w:rPr>
                                  <w:rFonts w:hint="default" w:ascii="Times New Roman" w:hAnsi="Times New Roman" w:cs="Times New Roman"/>
                                  <w:sz w:val="22"/>
                                </w:rPr>
                                <w:t>1月</w:t>
                              </w:r>
                              <w:r>
                                <w:rPr>
                                  <w:rFonts w:hint="default" w:ascii="Times New Roman" w:hAnsi="Times New Roman" w:cs="Times New Roman"/>
                                  <w:sz w:val="22"/>
                                </w:rPr>
                                <w:tab/>
                              </w:r>
                              <w:r>
                                <w:rPr>
                                  <w:rFonts w:hint="default" w:ascii="Times New Roman" w:hAnsi="Times New Roman" w:cs="Times New Roman"/>
                                  <w:sz w:val="22"/>
                                </w:rPr>
                                <w:t>2月</w:t>
                              </w:r>
                              <w:r>
                                <w:rPr>
                                  <w:rFonts w:hint="default" w:ascii="Times New Roman" w:hAnsi="Times New Roman" w:cs="Times New Roman"/>
                                  <w:sz w:val="22"/>
                                </w:rPr>
                                <w:tab/>
                              </w:r>
                              <w:r>
                                <w:rPr>
                                  <w:rFonts w:hint="default" w:ascii="Times New Roman" w:hAnsi="Times New Roman" w:cs="Times New Roman"/>
                                  <w:sz w:val="22"/>
                                </w:rPr>
                                <w:t>3月</w:t>
                              </w:r>
                              <w:r>
                                <w:rPr>
                                  <w:rFonts w:hint="default" w:ascii="Times New Roman" w:hAnsi="Times New Roman" w:cs="Times New Roman"/>
                                  <w:sz w:val="22"/>
                                </w:rPr>
                                <w:tab/>
                              </w:r>
                              <w:r>
                                <w:rPr>
                                  <w:rFonts w:hint="default" w:ascii="Times New Roman" w:hAnsi="Times New Roman" w:cs="Times New Roman"/>
                                  <w:sz w:val="22"/>
                                </w:rPr>
                                <w:t>4月</w:t>
                              </w:r>
                              <w:r>
                                <w:rPr>
                                  <w:rFonts w:hint="default" w:ascii="Times New Roman" w:hAnsi="Times New Roman" w:cs="Times New Roman"/>
                                  <w:sz w:val="22"/>
                                </w:rPr>
                                <w:tab/>
                              </w:r>
                              <w:r>
                                <w:rPr>
                                  <w:rFonts w:hint="default" w:ascii="Times New Roman" w:hAnsi="Times New Roman" w:cs="Times New Roman"/>
                                  <w:sz w:val="22"/>
                                </w:rPr>
                                <w:t>5月</w:t>
                              </w:r>
                              <w:r>
                                <w:rPr>
                                  <w:rFonts w:hint="default" w:ascii="Times New Roman" w:hAnsi="Times New Roman" w:cs="Times New Roman"/>
                                  <w:sz w:val="22"/>
                                </w:rPr>
                                <w:tab/>
                              </w:r>
                              <w:r>
                                <w:rPr>
                                  <w:rFonts w:hint="default" w:ascii="Times New Roman" w:hAnsi="Times New Roman" w:cs="Times New Roman"/>
                                  <w:sz w:val="22"/>
                                </w:rPr>
                                <w:t>6月</w:t>
                              </w:r>
                              <w:r>
                                <w:rPr>
                                  <w:rFonts w:hint="default" w:ascii="Times New Roman" w:hAnsi="Times New Roman" w:cs="Times New Roman"/>
                                  <w:sz w:val="22"/>
                                </w:rPr>
                                <w:tab/>
                              </w:r>
                              <w:r>
                                <w:rPr>
                                  <w:rFonts w:hint="default" w:ascii="Times New Roman" w:hAnsi="Times New Roman" w:cs="Times New Roman"/>
                                  <w:sz w:val="22"/>
                                </w:rPr>
                                <w:t>7月</w:t>
                              </w:r>
                              <w:r>
                                <w:rPr>
                                  <w:rFonts w:hint="default" w:ascii="Times New Roman" w:hAnsi="Times New Roman" w:cs="Times New Roman"/>
                                  <w:sz w:val="22"/>
                                </w:rPr>
                                <w:tab/>
                              </w:r>
                              <w:r>
                                <w:rPr>
                                  <w:rFonts w:hint="default" w:ascii="Times New Roman" w:hAnsi="Times New Roman" w:cs="Times New Roman"/>
                                  <w:sz w:val="22"/>
                                </w:rPr>
                                <w:t>8月</w:t>
                              </w:r>
                              <w:r>
                                <w:rPr>
                                  <w:rFonts w:hint="default" w:ascii="Times New Roman" w:hAnsi="Times New Roman" w:cs="Times New Roman"/>
                                  <w:sz w:val="22"/>
                                </w:rPr>
                                <w:tab/>
                              </w:r>
                              <w:r>
                                <w:rPr>
                                  <w:rFonts w:hint="default" w:ascii="Times New Roman" w:hAnsi="Times New Roman" w:cs="Times New Roman"/>
                                  <w:sz w:val="22"/>
                                </w:rPr>
                                <w:t>9月</w:t>
                              </w:r>
                              <w:r>
                                <w:rPr>
                                  <w:rFonts w:hint="default" w:ascii="Times New Roman" w:hAnsi="Times New Roman" w:cs="Times New Roman"/>
                                  <w:sz w:val="22"/>
                                </w:rPr>
                                <w:tab/>
                              </w:r>
                              <w:r>
                                <w:rPr>
                                  <w:rFonts w:hint="default" w:ascii="Times New Roman" w:hAnsi="Times New Roman" w:cs="Times New Roman"/>
                                  <w:sz w:val="22"/>
                                </w:rPr>
                                <w:t>10月</w:t>
                              </w:r>
                              <w:r>
                                <w:rPr>
                                  <w:rFonts w:hint="default" w:ascii="Times New Roman" w:hAnsi="Times New Roman" w:cs="Times New Roman"/>
                                  <w:sz w:val="22"/>
                                </w:rPr>
                                <w:tab/>
                              </w:r>
                              <w:r>
                                <w:rPr>
                                  <w:rFonts w:hint="default" w:ascii="Times New Roman" w:hAnsi="Times New Roman" w:cs="Times New Roman"/>
                                  <w:sz w:val="22"/>
                                </w:rPr>
                                <w:t>11月</w:t>
                              </w:r>
                              <w:r>
                                <w:rPr>
                                  <w:rFonts w:hint="default" w:ascii="Times New Roman" w:hAnsi="Times New Roman" w:cs="Times New Roman"/>
                                  <w:sz w:val="22"/>
                                </w:rPr>
                                <w:tab/>
                              </w:r>
                              <w:r>
                                <w:rPr>
                                  <w:rFonts w:hint="default" w:ascii="Times New Roman" w:hAnsi="Times New Roman" w:cs="Times New Roman"/>
                                  <w:sz w:val="22"/>
                                </w:rPr>
                                <w:t>12月</w:t>
                              </w:r>
                            </w:p>
                          </w:txbxContent>
                        </wps:txbx>
                        <wps:bodyPr lIns="0" tIns="0" rIns="0" bIns="0" upright="1"/>
                      </wps:wsp>
                    </wpg:wgp>
                  </a:graphicData>
                </a:graphic>
              </wp:anchor>
            </w:drawing>
          </mc:Choice>
          <mc:Fallback>
            <w:pict>
              <v:group id="_x0000_s1026" o:spid="_x0000_s1026" o:spt="203" style="position:absolute;left:0pt;margin-left:84.2pt;margin-top:-2681.5pt;height:2903.15pt;width:4199.7pt;mso-position-horizontal-relative:page;z-index:252411904;mso-width-relative:page;mso-height-relative:page;" coordorigin="1508,-52184" coordsize="83994,58063" o:gfxdata="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">
                <o:lock v:ext="edit" aspectratio="f"/>
                <v:rect id="_x0000_s1026" o:spid="_x0000_s1026" o:spt="1" style="position:absolute;left:2497;top:2359;height:2945;width:7763;" fillcolor="#C0C0C0" filled="t" stroked="f" coordsize="21600,21600" o:gfxdata="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dU7sAAADb&#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20815;top:-49104;height:21454;width:64687;" filled="f" stroked="t" coordsize="64687,21454" o:gfxdata="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Tida8AAAA&#10;2wAAAA8AAAAAAAAAAQAgAAAAIgAAAGRycy9kb3ducmV2LnhtbFBLAQIUABQAAAAIAIdO4kAzLwWe&#10;OwAAADkAAAAQAAAAAAAAAAEAIAAAAAsBAABkcnMvc2hhcGV4bWwueG1sUEsFBgAAAAAGAAYAWwEA&#10;ALUDAAAAAA==&#10;" path="m-18317,54037l-10555,54037m-18317,53667l-10555,53667m-18317,53298l-10555,53298m-18317,52941l-10555,52941m-18317,52572l-10555,52572m-18317,52202l-10555,52202m-18317,51832l-10555,51832m-18317,51463l-10555,51463e">
                  <v:fill on="f" focussize="0,0"/>
                  <v:stroke weight="0.685826771653543pt" color="#000000" joinstyle="round"/>
                  <v:imagedata o:title=""/>
                  <o:lock v:ext="edit" aspectratio="f"/>
                </v:shape>
                <v:shape id="_x0000_s1026" o:spid="_x0000_s1026" o:spt="100" style="position:absolute;left:20815;top:-52184;height:24534;width:64687;" filled="f" stroked="t" coordsize="64687,24534" o:gfxdata="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mRikvQAA&#10;ANwAAAAPAAAAAAAAAAEAIAAAACIAAABkcnMvZG93bnJldi54bWxQSwECFAAUAAAACACHTuJAMy8F&#10;njsAAAA5AAAAEAAAAAAAAAABACAAAAAMAQAAZHJzL3NoYXBleG1sLnhtbFBLBQYAAAAABgAGAFsB&#10;AAC2AwAAAAA=&#10;" path="m-18317,54543l-10555,54543m-10555,54543l-10555,57487m-10555,57487l-18317,57487m-18317,57487l-18317,54543e">
                  <v:fill on="f" focussize="0,0"/>
                  <v:stroke weight="0.685826771653543pt" color="#808080" joinstyle="round"/>
                  <v:imagedata o:title=""/>
                  <o:lock v:ext="edit" aspectratio="f"/>
                </v:shape>
                <v:shape id="_x0000_s1026" o:spid="_x0000_s1026" o:spt="100" style="position:absolute;left:20815;top:-52184;height:24534;width:64687;" filled="f" stroked="t" coordsize="64687,24534" o:gfxdata="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fKilvQAA&#10;ANwAAAAPAAAAAAAAAAEAIAAAACIAAABkcnMvZG93bnJldi54bWxQSwECFAAUAAAACACHTuJAMy8F&#10;njsAAAA5AAAAEAAAAAAAAAABACAAAAAMAQAAZHJzL3NoYXBleG1sLnhtbFBLBQYAAAAABgAGAFsB&#10;AAC2AwAAAAA=&#10;" path="m-18317,54543l-18317,57487m-18317,57487l-18249,57487m-18317,57117l-18249,57117m-18317,56747l-18249,56747m-18317,56378l-18249,56378m-18317,56021l-18249,56021m-18317,55652l-18249,55652m-18317,55282l-18249,55282m-18317,54912l-18249,54912m-18317,54543l-18249,54543m-18317,57487l-10555,57487m-18317,57487l-18317,57418m-17671,57487l-17671,57418m-17026,57487l-17026,57418m-16380,57487l-16380,57418m-15734,57487l-15734,57418m-15089,57487l-15089,57418m-14429,57487l-14429,57418m-13783,57487l-13783,57418m-13138,57487l-13138,57418m-12492,57487l-12492,57418m-11846,57487l-11846,57418m-11201,57487l-11201,57418m-10555,57487l-10555,57418e">
                  <v:fill on="f" focussize="0,0"/>
                  <v:stroke weight="0.685826771653543pt" color="#000000" joinstyle="round"/>
                  <v:imagedata o:title=""/>
                  <o:lock v:ext="edit" aspectratio="f"/>
                </v:shape>
                <v:shape id="_x0000_s1026" o:spid="_x0000_s1026" o:spt="100" style="position:absolute;left:23563;top:-35637;height:5478;width:59190;" filled="f" stroked="t" coordsize="59190,5478" o:gfxdata="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4g7+8AAAA&#10;3AAAAA8AAAAAAAAAAQAgAAAAIgAAAGRycy9kb3ducmV2LnhtbFBLAQIUABQAAAAIAIdO4kAzLwWe&#10;OwAAADkAAAAQAAAAAAAAAAEAIAAAAAsBAABkcnMvc2hhcGV4bWwueG1sUEsFBgAAAAAGAAYAWwEA&#10;ALUDAAAAAA==&#10;" path="m-20736,38654l-20091,38366m-20091,38366l-19445,38298m-19445,38298l-18799,38366m-18799,38366l-18153,38517m-18153,38517l-17508,38654m-17508,38654l-16862,38736m-16862,38736l-16216,38654m-16216,38654l-15571,38955m-15571,38955l-14925,38804m-14925,38804l-14279,38435m-14279,38435l-13634,38585e">
                  <v:fill on="f" focussize="0,0"/>
                  <v:stroke weight="0.685826771653543pt" color="#000080" joinstyle="round"/>
                  <v:imagedata o:title=""/>
                  <o:lock v:ext="edit" aspectratio="f"/>
                </v:shape>
                <v:shape id="_x0000_s1026" o:spid="_x0000_s1026" o:spt="100" style="position:absolute;left:2786;top:2975;height:83;width:83;" fillcolor="#000080" filled="t" stroked="f" coordsize="83,83" o:gfxdata="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oWRq8AAAA&#10;3AAAAA8AAAAAAAAAAQAgAAAAIgAAAGRycy9kb3ducmV2LnhtbFBLAQIUABQAAAAIAIdO4kAzLwWe&#10;OwAAADkAAAAQAAAAAAAAAAEAIAAAAAsBAABkcnMvc2hhcGV4bWwueG1sUEsFBgAAAAAGAAYAWwEA&#10;ALUDAAAAAA==&#10;" path="m42,82l0,41,42,0,83,41,42,82xe">
                  <v:fill on="t" focussize="0,0"/>
                  <v:stroke on="f"/>
                  <v:imagedata o:title=""/>
                  <o:lock v:ext="edit" aspectratio="f"/>
                </v:shape>
                <v:shape id="_x0000_s1026" o:spid="_x0000_s1026" o:spt="100" style="position:absolute;left:2786;top:2975;height:83;width:83;" filled="f" stroked="t" coordsize="83,83" o:gfxdata="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AzkL4A&#10;AADcAAAADwAAAAAAAAABACAAAAAiAAAAZHJzL2Rvd25yZXYueG1sUEsBAhQAFAAAAAgAh07iQDMv&#10;BZ47AAAAOQAAABAAAAAAAAAAAQAgAAAADQEAAGRycy9zaGFwZXhtbC54bWxQSwUGAAAAAAYABgBb&#10;AQAAtwMAAAAA&#10;" path="m42,0l83,41,42,82,0,41,42,0xe">
                  <v:fill on="f" focussize="0,0"/>
                  <v:stroke weight="0.685826771653543pt" color="#000080" joinstyle="round"/>
                  <v:imagedata o:title=""/>
                  <o:lock v:ext="edit" aspectratio="f"/>
                </v:shape>
                <v:shape id="_x0000_s1026" o:spid="_x0000_s1026" o:spt="100" style="position:absolute;left:3432;top:2688;height:83;width:83;" fillcolor="#000080" filled="t" stroked="f" coordsize="83,83" o:gfxdata="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7KfobsAAADc&#10;AAAADwAAAAAAAAABACAAAAAiAAAAZHJzL2Rvd25yZXYueG1sUEsBAhQAFAAAAAgAh07iQDMvBZ47&#10;AAAAOQAAABAAAAAAAAAAAQAgAAAACgEAAGRycy9zaGFwZXhtbC54bWxQSwUGAAAAAAYABgBbAQAA&#10;tAMAAAAA&#10;" path="m41,82l0,41,41,0,83,41,41,82xe">
                  <v:fill on="t" focussize="0,0"/>
                  <v:stroke on="f"/>
                  <v:imagedata o:title=""/>
                  <o:lock v:ext="edit" aspectratio="f"/>
                </v:shape>
                <v:shape id="_x0000_s1026" o:spid="_x0000_s1026" o:spt="100" style="position:absolute;left:3432;top:2688;height:83;width:83;" filled="f" stroked="t" coordsize="83,83" o:gfxdata="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1YGrsAAADc&#10;AAAADwAAAAAAAAABACAAAAAiAAAAZHJzL2Rvd25yZXYueG1sUEsBAhQAFAAAAAgAh07iQDMvBZ47&#10;AAAAOQAAABAAAAAAAAAAAQAgAAAACgEAAGRycy9zaGFwZXhtbC54bWxQSwUGAAAAAAYABgBbAQAA&#10;tAMAAAAA&#10;" path="m41,0l82,41,41,82,0,41,41,0xe">
                  <v:fill on="f" focussize="0,0"/>
                  <v:stroke weight="0.685826771653543pt" color="#000080" joinstyle="round"/>
                  <v:imagedata o:title=""/>
                  <o:lock v:ext="edit" aspectratio="f"/>
                </v:shape>
                <v:shape id="_x0000_s1026" o:spid="_x0000_s1026" o:spt="100" style="position:absolute;left:4077;top:2619;height:83;width:83;" fillcolor="#000080" filled="t" stroked="f" coordsize="83,83" o:gfxdata="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uDiVugAAANwA&#10;AAAPAAAAAAAAAAEAIAAAACIAAABkcnMvZG93bnJldi54bWxQSwECFAAUAAAACACHTuJAMy8FnjsA&#10;AAA5AAAAEAAAAAAAAAABACAAAAAJAQAAZHJzL3NoYXBleG1sLnhtbFBLBQYAAAAABgAGAFsBAACz&#10;AwAAAAA=&#10;" path="m41,82l0,41,41,0,82,41,41,82xe">
                  <v:fill on="t" focussize="0,0"/>
                  <v:stroke on="f"/>
                  <v:imagedata o:title=""/>
                  <o:lock v:ext="edit" aspectratio="f"/>
                </v:shape>
                <v:shape id="_x0000_s1026" o:spid="_x0000_s1026" o:spt="100" style="position:absolute;left:4077;top:2619;height:83;width:83;" filled="f" stroked="t" coordsize="83,83" o:gfxdata="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NW/w&#10;wAAAANwAAAAPAAAAAAAAAAEAIAAAACIAAABkcnMvZG93bnJldi54bWxQSwECFAAUAAAACACHTuJA&#10;My8FnjsAAAA5AAAAEAAAAAAAAAABACAAAAAPAQAAZHJzL3NoYXBleG1sLnhtbFBLBQYAAAAABgAG&#10;AFsBAAC5AwAAAAA=&#10;" path="m41,0l82,41,41,82,0,41,41,0xe">
                  <v:fill on="f" focussize="0,0"/>
                  <v:stroke weight="0.685826771653543pt" color="#000080" joinstyle="round"/>
                  <v:imagedata o:title=""/>
                  <o:lock v:ext="edit" aspectratio="f"/>
                </v:shape>
                <v:shape id="_x0000_s1026" o:spid="_x0000_s1026" o:spt="100" style="position:absolute;left:4723;top:2688;height:83;width:83;" fillcolor="#000080" filled="t" stroked="f" coordsize="83,83" o:gfxdata="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fy7nO2AAAA3AAAAA8A&#10;AAAAAAAAAQAgAAAAIgAAAGRycy9kb3ducmV2LnhtbFBLAQIUABQAAAAIAIdO4kAzLwWeOwAAADkA&#10;AAAQAAAAAAAAAAEAIAAAAAUBAABkcnMvc2hhcGV4bWwueG1sUEsFBgAAAAAGAAYAWwEAAK8DAAAA&#10;AA==&#10;" path="m41,82l0,41,41,0,82,41,41,82xe">
                  <v:fill on="t" focussize="0,0"/>
                  <v:stroke on="f"/>
                  <v:imagedata o:title=""/>
                  <o:lock v:ext="edit" aspectratio="f"/>
                </v:shape>
                <v:shape id="_x0000_s1026" o:spid="_x0000_s1026" o:spt="100" style="position:absolute;left:4723;top:2688;height:83;width:83;" filled="f" stroked="t" coordsize="83,83" o:gfxdata="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xyN&#10;wAAAANwAAAAPAAAAAAAAAAEAIAAAACIAAABkcnMvZG93bnJldi54bWxQSwECFAAUAAAACACHTuJA&#10;My8FnjsAAAA5AAAAEAAAAAAAAAABACAAAAAPAQAAZHJzL3NoYXBleG1sLnhtbFBLBQYAAAAABgAG&#10;AFsBAAC5AwAAAAA=&#10;" path="m41,0l82,41,41,82,0,41,41,0xe">
                  <v:fill on="f" focussize="0,0"/>
                  <v:stroke weight="0.685826771653543pt" color="#000080" joinstyle="round"/>
                  <v:imagedata o:title=""/>
                  <o:lock v:ext="edit" aspectratio="f"/>
                </v:shape>
                <v:shape id="_x0000_s1026" o:spid="_x0000_s1026" o:spt="100" style="position:absolute;left:5369;top:2838;height:83;width:83;" fillcolor="#000080" filled="t" stroked="f" coordsize="83,83" o:gfxdata="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kh35q2AAAA3AAAAA8A&#10;AAAAAAAAAQAgAAAAIgAAAGRycy9kb3ducmV2LnhtbFBLAQIUABQAAAAIAIdO4kAzLwWeOwAAADkA&#10;AAAQAAAAAAAAAAEAIAAAAAUBAABkcnMvc2hhcGV4bWwueG1sUEsFBgAAAAAGAAYAWwEAAK8DAAAA&#10;AA==&#10;" path="m42,82l0,41,42,0,83,41,42,82xe">
                  <v:fill on="t" focussize="0,0"/>
                  <v:stroke on="f"/>
                  <v:imagedata o:title=""/>
                  <o:lock v:ext="edit" aspectratio="f"/>
                </v:shape>
                <v:shape id="_x0000_s1026" o:spid="_x0000_s1026" o:spt="100" style="position:absolute;left:5369;top:2838;height:83;width:83;" filled="f" stroked="t" coordsize="83,83" o:gfxdata="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chla/&#10;AAAA3AAAAA8AAAAAAAAAAQAgAAAAIgAAAGRycy9kb3ducmV2LnhtbFBLAQIUABQAAAAIAIdO4kAz&#10;LwWeOwAAADkAAAAQAAAAAAAAAAEAIAAAAA4BAABkcnMvc2hhcGV4bWwueG1sUEsFBgAAAAAGAAYA&#10;WwEAALgDAAAAAA==&#10;" path="m41,0l83,41,41,82,0,41,41,0xe">
                  <v:fill on="f" focussize="0,0"/>
                  <v:stroke weight="0.685826771653543pt" color="#000080" joinstyle="round"/>
                  <v:imagedata o:title=""/>
                  <o:lock v:ext="edit" aspectratio="f"/>
                </v:shape>
                <v:shape id="_x0000_s1026" o:spid="_x0000_s1026" o:spt="100" style="position:absolute;left:6015;top:2975;height:83;width:83;" fillcolor="#000080" filled="t" stroked="f" coordsize="83,83" o:gfxdata="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jkVBtwAAANwAAAAP&#10;AAAAAAAAAAEAIAAAACIAAABkcnMvZG93bnJldi54bWxQSwECFAAUAAAACACHTuJAMy8FnjsAAAA5&#10;AAAAEAAAAAAAAAABACAAAAAGAQAAZHJzL3NoYXBleG1sLnhtbFBLBQYAAAAABgAGAFsBAACwAwAA&#10;AAA=&#10;" path="m41,82l0,41,41,0,82,41,41,82xe">
                  <v:fill on="t" focussize="0,0"/>
                  <v:stroke on="f"/>
                  <v:imagedata o:title=""/>
                  <o:lock v:ext="edit" aspectratio="f"/>
                </v:shape>
                <v:shape id="_x0000_s1026" o:spid="_x0000_s1026" o:spt="100" style="position:absolute;left:6015;top:2975;height:83;width:83;" filled="f" stroked="t" coordsize="83,83" o:gfxdata="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p4BVvQAA&#10;ANwAAAAPAAAAAAAAAAEAIAAAACIAAABkcnMvZG93bnJldi54bWxQSwECFAAUAAAACACHTuJAMy8F&#10;njsAAAA5AAAAEAAAAAAAAAABACAAAAAMAQAAZHJzL3NoYXBleG1sLnhtbFBLBQYAAAAABgAGAFsB&#10;AAC2AwAAAAA=&#10;" path="m41,0l82,41,41,82,0,41,41,0xe">
                  <v:fill on="f" focussize="0,0"/>
                  <v:stroke weight="0.685826771653543pt" color="#000080" joinstyle="round"/>
                  <v:imagedata o:title=""/>
                  <o:lock v:ext="edit" aspectratio="f"/>
                </v:shape>
                <v:shape id="_x0000_s1026" o:spid="_x0000_s1026" o:spt="100" style="position:absolute;left:6660;top:3057;height:83;width:83;" fillcolor="#000080" filled="t" stroked="f" coordsize="83,83" o:gfxdata="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21Q0K2AAAA3AAAAA8A&#10;AAAAAAAAAQAgAAAAIgAAAGRycy9kb3ducmV2LnhtbFBLAQIUABQAAAAIAIdO4kAzLwWeOwAAADkA&#10;AAAQAAAAAAAAAAEAIAAAAAUBAABkcnMvc2hhcGV4bWwueG1sUEsFBgAAAAAGAAYAWwEAAK8DAAAA&#10;AA==&#10;" path="m41,82l0,41,41,0,82,41,41,82xe">
                  <v:fill on="t" focussize="0,0"/>
                  <v:stroke on="f"/>
                  <v:imagedata o:title=""/>
                  <o:lock v:ext="edit" aspectratio="f"/>
                </v:shape>
                <v:shape id="_x0000_s1026" o:spid="_x0000_s1026" o:spt="100" style="position:absolute;left:6660;top:3057;height:83;width:83;" filled="f" stroked="t" coordsize="83,83" o:gfxdata="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Obu5vQAA&#10;ANwAAAAPAAAAAAAAAAEAIAAAACIAAABkcnMvZG93bnJldi54bWxQSwECFAAUAAAACACHTuJAMy8F&#10;njsAAAA5AAAAEAAAAAAAAAABACAAAAAMAQAAZHJzL3NoYXBleG1sLnhtbFBLBQYAAAAABgAGAFsB&#10;AAC2AwAAAAA=&#10;" path="m41,0l82,41,41,82,0,41,41,0xe">
                  <v:fill on="f" focussize="0,0"/>
                  <v:stroke weight="0.685826771653543pt" color="#000080" joinstyle="round"/>
                  <v:imagedata o:title=""/>
                  <o:lock v:ext="edit" aspectratio="f"/>
                </v:shape>
                <v:shape id="_x0000_s1026" o:spid="_x0000_s1026" o:spt="100" style="position:absolute;left:7306;top:2975;height:83;width:83;" fillcolor="#000080" filled="t" stroked="f" coordsize="83,83" o:gfxdata="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K3iuugAAANwA&#10;AAAPAAAAAAAAAAEAIAAAACIAAABkcnMvZG93bnJldi54bWxQSwECFAAUAAAACACHTuJAMy8FnjsA&#10;AAA5AAAAEAAAAAAAAAABACAAAAAJAQAAZHJzL3NoYXBleG1sLnhtbFBLBQYAAAAABgAGAFsBAACz&#10;AwAAAAA=&#10;" path="m42,82l0,41,42,0,83,41,42,82xe">
                  <v:fill on="t" focussize="0,0"/>
                  <v:stroke on="f"/>
                  <v:imagedata o:title=""/>
                  <o:lock v:ext="edit" aspectratio="f"/>
                </v:shape>
                <v:shape id="_x0000_s1026" o:spid="_x0000_s1026" o:spt="100" style="position:absolute;left:7306;top:2975;height:83;width:83;" filled="f" stroked="t" coordsize="83,83" o:gfxdata="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pi/LvQAA&#10;ANwAAAAPAAAAAAAAAAEAIAAAACIAAABkcnMvZG93bnJldi54bWxQSwECFAAUAAAACACHTuJAMy8F&#10;njsAAAA5AAAAEAAAAAAAAAABACAAAAAMAQAAZHJzL3NoYXBleG1sLnhtbFBLBQYAAAAABgAGAFsB&#10;AAC2AwAAAAA=&#10;" path="m42,0l83,41,42,82,0,41,42,0xe">
                  <v:fill on="f" focussize="0,0"/>
                  <v:stroke weight="0.685826771653543pt" color="#000080" joinstyle="round"/>
                  <v:imagedata o:title=""/>
                  <o:lock v:ext="edit" aspectratio="f"/>
                </v:shape>
                <v:shape id="_x0000_s1026" o:spid="_x0000_s1026" o:spt="100" style="position:absolute;left:7952;top:3276;height:83;width:83;" fillcolor="#000080" filled="t" stroked="f" coordsize="83,83" o:gfxdata="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uKme8AAAA&#10;3AAAAA8AAAAAAAAAAQAgAAAAIgAAAGRycy9kb3ducmV2LnhtbFBLAQIUABQAAAAIAIdO4kAzLwWe&#10;OwAAADkAAAAQAAAAAAAAAAEAIAAAAAsBAABkcnMvc2hhcGV4bWwueG1sUEsFBgAAAAAGAAYAWwEA&#10;ALUDAAAAAA==&#10;" path="m41,82l0,41,41,0,82,41,41,82xe">
                  <v:fill on="t" focussize="0,0"/>
                  <v:stroke on="f"/>
                  <v:imagedata o:title=""/>
                  <o:lock v:ext="edit" aspectratio="f"/>
                </v:shape>
                <v:shape id="_x0000_s1026" o:spid="_x0000_s1026" o:spt="100" style="position:absolute;left:7952;top:3276;height:83;width:83;" filled="f" stroked="t" coordsize="83,83" o:gfxdata="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vOlwugAAANwA&#10;AAAPAAAAAAAAAAEAIAAAACIAAABkcnMvZG93bnJldi54bWxQSwECFAAUAAAACACHTuJAMy8FnjsA&#10;AAA5AAAAEAAAAAAAAAABACAAAAAJAQAAZHJzL3NoYXBleG1sLnhtbFBLBQYAAAAABgAGAFsBAACz&#10;AwAAAAA=&#10;" path="m41,0l82,41,41,82,0,41,41,0xe">
                  <v:fill on="f" focussize="0,0"/>
                  <v:stroke weight="0.685826771653543pt" color="#000080" joinstyle="round"/>
                  <v:imagedata o:title=""/>
                  <o:lock v:ext="edit" aspectratio="f"/>
                </v:shape>
                <v:shape id="_x0000_s1026" o:spid="_x0000_s1026" o:spt="100" style="position:absolute;left:8597;top:3126;height:83;width:83;" fillcolor="#000080" filled="t" stroked="f" coordsize="83,83" o:gfxdata="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2Yn/ugAAANwA&#10;AAAPAAAAAAAAAAEAIAAAACIAAABkcnMvZG93bnJldi54bWxQSwECFAAUAAAACACHTuJAMy8FnjsA&#10;AAA5AAAAEAAAAAAAAAABACAAAAAJAQAAZHJzL3NoYXBleG1sLnhtbFBLBQYAAAAABgAGAFsBAACz&#10;AwAAAAA=&#10;" path="m41,83l0,41,41,0,82,41,41,83xe">
                  <v:fill on="t" focussize="0,0"/>
                  <v:stroke on="f"/>
                  <v:imagedata o:title=""/>
                  <o:lock v:ext="edit" aspectratio="f"/>
                </v:shape>
                <v:shape id="_x0000_s1026" o:spid="_x0000_s1026" o:spt="100" style="position:absolute;left:8597;top:3126;height:83;width:83;" filled="f" stroked="t" coordsize="83,83" o:gfxdata="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VxBLsAAADc&#10;AAAADwAAAAAAAAABACAAAAAiAAAAZHJzL2Rvd25yZXYueG1sUEsBAhQAFAAAAAgAh07iQDMvBZ47&#10;AAAAOQAAABAAAAAAAAAAAQAgAAAACgEAAGRycy9zaGFwZXhtbC54bWxQSwUGAAAAAAYABgBbAQAA&#10;tAMAAAAA&#10;" path="m41,0l82,41,41,83,0,41,41,0xe">
                  <v:fill on="f" focussize="0,0"/>
                  <v:stroke weight="0.685826771653543pt" color="#000080" joinstyle="round"/>
                  <v:imagedata o:title=""/>
                  <o:lock v:ext="edit" aspectratio="f"/>
                </v:shape>
                <v:shape id="_x0000_s1026" o:spid="_x0000_s1026" o:spt="100" style="position:absolute;left:9243;top:2756;height:83;width:83;" fillcolor="#000080" filled="t" stroked="f" coordsize="83,83" o:gfxdata="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HshO5AAAA3AAA&#10;AA8AAAAAAAAAAQAgAAAAIgAAAGRycy9kb3ducmV2LnhtbFBLAQIUABQAAAAIAIdO4kAzLwWeOwAA&#10;ADkAAAAQAAAAAAAAAAEAIAAAAAgBAABkcnMvc2hhcGV4bWwueG1sUEsFBgAAAAAGAAYAWwEAALID&#10;AAAAAA==&#10;" path="m42,82l0,41,42,0,83,41,42,82xe">
                  <v:fill on="t" focussize="0,0"/>
                  <v:stroke on="f"/>
                  <v:imagedata o:title=""/>
                  <o:lock v:ext="edit" aspectratio="f"/>
                </v:shape>
                <v:shape id="_x0000_s1026" o:spid="_x0000_s1026" o:spt="100" style="position:absolute;left:9243;top:2756;height:83;width:83;" filled="f" stroked="t" coordsize="83,83" o:gfxdata="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ZA7b4A&#10;AADcAAAADwAAAAAAAAABACAAAAAiAAAAZHJzL2Rvd25yZXYueG1sUEsBAhQAFAAAAAgAh07iQDMv&#10;BZ47AAAAOQAAABAAAAAAAAAAAQAgAAAADQEAAGRycy9zaGFwZXhtbC54bWxQSwUGAAAAAAYABgBb&#10;AQAAtwMAAAAA&#10;" path="m42,0l83,41,42,82,0,41,42,0xe">
                  <v:fill on="f" focussize="0,0"/>
                  <v:stroke weight="0.685826771653543pt" color="#000080" joinstyle="round"/>
                  <v:imagedata o:title=""/>
                  <o:lock v:ext="edit" aspectratio="f"/>
                </v:shape>
                <v:shape id="_x0000_s1026" o:spid="_x0000_s1026" o:spt="100" style="position:absolute;left:9889;top:2907;height:83;width:83;" fillcolor="#000080" filled="t" stroked="f" coordsize="83,83" o:gfxdata="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KUg/q5AAAA3AAA&#10;AA8AAAAAAAAAAQAgAAAAIgAAAGRycy9kb3ducmV2LnhtbFBLAQIUABQAAAAIAIdO4kAzLwWeOwAA&#10;ADkAAAAQAAAAAAAAAAEAIAAAAAgBAABkcnMvc2hhcGV4bWwueG1sUEsFBgAAAAAGAAYAWwEAALID&#10;AAAAAA==&#10;" path="m41,82l0,41,41,0,83,41,41,82xe">
                  <v:fill on="t" focussize="0,0"/>
                  <v:stroke on="f"/>
                  <v:imagedata o:title=""/>
                  <o:lock v:ext="edit" aspectratio="f"/>
                </v:shape>
                <v:shape id="_x0000_s1026" o:spid="_x0000_s1026" o:spt="100" style="position:absolute;left:9889;top:2907;height:83;width:83;" filled="f" stroked="t" coordsize="83,83" o:gfxdata="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Kdo2&#10;wAAAANwAAAAPAAAAAAAAAAEAIAAAACIAAABkcnMvZG93bnJldi54bWxQSwECFAAUAAAACACHTuJA&#10;My8FnjsAAAA5AAAAEAAAAAAAAAABACAAAAAPAQAAZHJzL3NoYXBleG1sLnhtbFBLBQYAAAAABgAG&#10;AFsBAAC5AwAAAAA=&#10;" path="m41,0l83,41,41,82,0,41,41,0xe">
                  <v:fill on="f" focussize="0,0"/>
                  <v:stroke weight="0.685826771653543pt" color="#000080" joinstyle="round"/>
                  <v:imagedata o:title=""/>
                  <o:lock v:ext="edit" aspectratio="f"/>
                </v:shape>
                <v:shape id="_x0000_s1026" o:spid="_x0000_s1026" o:spt="202" type="#_x0000_t202" style="position:absolute;left:1508;top:2058;height:3821;width:8876;" filled="f" stroked="t" coordsize="21600,21600" o:gfxdata="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gFaW8AAAA&#10;3AAAAA8AAAAAAAAAAQAgAAAAIgAAAGRycy9kb3ducmV2LnhtbFBLAQIUABQAAAAIAIdO4kAzLwWe&#10;OwAAADkAAAAQAAAAAAAAAAEAIAAAAAsBAABkcnMvc2hhcGV4bWwueG1sUEsFBgAAAAAGAAYAWwEA&#10;ALUDAAAAAA==&#10;">
                  <v:fill on="f" focussize="0,0"/>
                  <v:stroke weight="0.685826771653543pt" color="#000000" joinstyle="miter"/>
                  <v:imagedata o:title=""/>
                  <o:lock v:ext="edit" aspectratio="f"/>
                  <v:textbox inset="0mm,0mm,0mm,0mm">
                    <w:txbxContent>
                      <w:p>
                        <w:pPr>
                          <w:spacing w:before="151"/>
                          <w:ind w:left="0" w:right="8042" w:firstLine="0"/>
                          <w:jc w:val="right"/>
                          <w:rPr>
                            <w:rFonts w:hint="default" w:ascii="Times New Roman" w:hAnsi="Times New Roman" w:cs="Times New Roman"/>
                            <w:sz w:val="22"/>
                          </w:rPr>
                        </w:pPr>
                        <w:r>
                          <w:rPr>
                            <w:rFonts w:hint="default" w:ascii="Times New Roman" w:hAnsi="Times New Roman" w:cs="Times New Roman"/>
                            <w:w w:val="99"/>
                            <w:sz w:val="22"/>
                          </w:rPr>
                          <w:t>4</w:t>
                        </w:r>
                      </w:p>
                      <w:p>
                        <w:pPr>
                          <w:spacing w:before="88"/>
                          <w:ind w:left="0" w:right="8042" w:firstLine="0"/>
                          <w:jc w:val="right"/>
                          <w:rPr>
                            <w:rFonts w:hint="default" w:ascii="Times New Roman" w:hAnsi="Times New Roman" w:cs="Times New Roman"/>
                            <w:sz w:val="22"/>
                          </w:rPr>
                        </w:pPr>
                        <w:r>
                          <w:rPr>
                            <w:rFonts w:hint="default" w:ascii="Times New Roman" w:hAnsi="Times New Roman" w:cs="Times New Roman"/>
                            <w:spacing w:val="-1"/>
                            <w:sz w:val="22"/>
                          </w:rPr>
                          <w:t>3.5</w:t>
                        </w:r>
                      </w:p>
                      <w:p>
                        <w:pPr>
                          <w:spacing w:before="90"/>
                          <w:ind w:left="0" w:right="8042" w:firstLine="0"/>
                          <w:jc w:val="right"/>
                          <w:rPr>
                            <w:rFonts w:hint="default" w:ascii="Times New Roman" w:hAnsi="Times New Roman" w:cs="Times New Roman"/>
                            <w:sz w:val="22"/>
                          </w:rPr>
                        </w:pPr>
                        <w:r>
                          <w:rPr>
                            <w:rFonts w:hint="default" w:ascii="Times New Roman" w:hAnsi="Times New Roman" w:cs="Times New Roman"/>
                            <w:w w:val="99"/>
                            <w:sz w:val="22"/>
                          </w:rPr>
                          <w:t>3</w:t>
                        </w:r>
                      </w:p>
                      <w:p>
                        <w:pPr>
                          <w:spacing w:before="87"/>
                          <w:ind w:left="0" w:right="8042" w:firstLine="0"/>
                          <w:jc w:val="right"/>
                          <w:rPr>
                            <w:rFonts w:hint="default" w:ascii="Times New Roman" w:hAnsi="Times New Roman" w:cs="Times New Roman"/>
                            <w:sz w:val="22"/>
                          </w:rPr>
                        </w:pPr>
                        <w:r>
                          <w:rPr>
                            <w:rFonts w:hint="default" w:ascii="Times New Roman" w:hAnsi="Times New Roman" w:cs="Times New Roman"/>
                            <w:spacing w:val="-1"/>
                            <w:sz w:val="22"/>
                          </w:rPr>
                          <w:t>2.5</w:t>
                        </w:r>
                      </w:p>
                      <w:p>
                        <w:pPr>
                          <w:spacing w:before="88"/>
                          <w:ind w:left="0" w:right="8042" w:firstLine="0"/>
                          <w:jc w:val="right"/>
                          <w:rPr>
                            <w:rFonts w:hint="default" w:ascii="Times New Roman" w:hAnsi="Times New Roman" w:cs="Times New Roman"/>
                            <w:sz w:val="22"/>
                          </w:rPr>
                        </w:pPr>
                        <w:r>
                          <w:rPr>
                            <w:rFonts w:hint="default" w:ascii="Times New Roman" w:hAnsi="Times New Roman" w:cs="Times New Roman"/>
                            <w:w w:val="99"/>
                            <w:sz w:val="22"/>
                          </w:rPr>
                          <w:t>2</w:t>
                        </w:r>
                      </w:p>
                      <w:p>
                        <w:pPr>
                          <w:spacing w:before="74"/>
                          <w:ind w:left="0" w:right="8042" w:firstLine="0"/>
                          <w:jc w:val="right"/>
                          <w:rPr>
                            <w:rFonts w:hint="default" w:ascii="Times New Roman" w:hAnsi="Times New Roman" w:cs="Times New Roman"/>
                            <w:sz w:val="22"/>
                          </w:rPr>
                        </w:pPr>
                        <w:r>
                          <w:rPr>
                            <w:rFonts w:hint="default" w:ascii="Times New Roman" w:hAnsi="Times New Roman" w:cs="Times New Roman"/>
                            <w:spacing w:val="-1"/>
                            <w:sz w:val="22"/>
                          </w:rPr>
                          <w:t>1.5</w:t>
                        </w:r>
                      </w:p>
                      <w:p>
                        <w:pPr>
                          <w:spacing w:before="87"/>
                          <w:ind w:left="0" w:right="8042" w:firstLine="0"/>
                          <w:jc w:val="right"/>
                          <w:rPr>
                            <w:rFonts w:hint="default" w:ascii="Times New Roman" w:hAnsi="Times New Roman" w:cs="Times New Roman"/>
                            <w:sz w:val="22"/>
                          </w:rPr>
                        </w:pPr>
                        <w:r>
                          <w:rPr>
                            <w:rFonts w:hint="default" w:ascii="Times New Roman" w:hAnsi="Times New Roman" w:cs="Times New Roman"/>
                            <w:w w:val="99"/>
                            <w:sz w:val="22"/>
                          </w:rPr>
                          <w:t>1</w:t>
                        </w:r>
                      </w:p>
                      <w:p>
                        <w:pPr>
                          <w:spacing w:before="88"/>
                          <w:ind w:left="0" w:right="8042" w:firstLine="0"/>
                          <w:jc w:val="right"/>
                          <w:rPr>
                            <w:rFonts w:hint="default" w:ascii="Times New Roman" w:hAnsi="Times New Roman" w:cs="Times New Roman"/>
                            <w:sz w:val="22"/>
                          </w:rPr>
                        </w:pPr>
                        <w:r>
                          <w:rPr>
                            <w:rFonts w:hint="default" w:ascii="Times New Roman" w:hAnsi="Times New Roman" w:cs="Times New Roman"/>
                            <w:spacing w:val="-1"/>
                            <w:sz w:val="22"/>
                          </w:rPr>
                          <w:t>0.5</w:t>
                        </w:r>
                      </w:p>
                      <w:p>
                        <w:pPr>
                          <w:spacing w:before="88"/>
                          <w:ind w:left="0" w:right="8042" w:firstLine="0"/>
                          <w:jc w:val="right"/>
                          <w:rPr>
                            <w:rFonts w:hint="default" w:ascii="Times New Roman" w:hAnsi="Times New Roman" w:cs="Times New Roman"/>
                            <w:sz w:val="22"/>
                          </w:rPr>
                        </w:pPr>
                        <w:r>
                          <w:rPr>
                            <w:rFonts w:hint="default" w:ascii="Times New Roman" w:hAnsi="Times New Roman" w:cs="Times New Roman"/>
                            <w:w w:val="99"/>
                            <w:sz w:val="22"/>
                          </w:rPr>
                          <w:t>0</w:t>
                        </w:r>
                      </w:p>
                      <w:p>
                        <w:pPr>
                          <w:tabs>
                            <w:tab w:val="left" w:pos="1793"/>
                            <w:tab w:val="left" w:pos="2439"/>
                            <w:tab w:val="left" w:pos="3085"/>
                            <w:tab w:val="left" w:pos="3730"/>
                            <w:tab w:val="left" w:pos="4376"/>
                            <w:tab w:val="left" w:pos="5021"/>
                            <w:tab w:val="left" w:pos="5667"/>
                            <w:tab w:val="left" w:pos="6313"/>
                            <w:tab w:val="left" w:pos="6903"/>
                            <w:tab w:val="left" w:pos="7549"/>
                            <w:tab w:val="left" w:pos="8194"/>
                          </w:tabs>
                          <w:spacing w:before="6"/>
                          <w:ind w:left="1148" w:right="0" w:firstLine="0"/>
                          <w:jc w:val="left"/>
                          <w:rPr>
                            <w:rFonts w:hint="default" w:ascii="Times New Roman" w:hAnsi="Times New Roman" w:cs="Times New Roman"/>
                            <w:sz w:val="22"/>
                          </w:rPr>
                        </w:pPr>
                        <w:r>
                          <w:rPr>
                            <w:rFonts w:hint="default" w:ascii="Times New Roman" w:hAnsi="Times New Roman" w:cs="Times New Roman"/>
                            <w:sz w:val="22"/>
                          </w:rPr>
                          <w:t>1月</w:t>
                        </w:r>
                        <w:r>
                          <w:rPr>
                            <w:rFonts w:hint="default" w:ascii="Times New Roman" w:hAnsi="Times New Roman" w:cs="Times New Roman"/>
                            <w:sz w:val="22"/>
                          </w:rPr>
                          <w:tab/>
                        </w:r>
                        <w:r>
                          <w:rPr>
                            <w:rFonts w:hint="default" w:ascii="Times New Roman" w:hAnsi="Times New Roman" w:cs="Times New Roman"/>
                            <w:sz w:val="22"/>
                          </w:rPr>
                          <w:t>2月</w:t>
                        </w:r>
                        <w:r>
                          <w:rPr>
                            <w:rFonts w:hint="default" w:ascii="Times New Roman" w:hAnsi="Times New Roman" w:cs="Times New Roman"/>
                            <w:sz w:val="22"/>
                          </w:rPr>
                          <w:tab/>
                        </w:r>
                        <w:r>
                          <w:rPr>
                            <w:rFonts w:hint="default" w:ascii="Times New Roman" w:hAnsi="Times New Roman" w:cs="Times New Roman"/>
                            <w:sz w:val="22"/>
                          </w:rPr>
                          <w:t>3月</w:t>
                        </w:r>
                        <w:r>
                          <w:rPr>
                            <w:rFonts w:hint="default" w:ascii="Times New Roman" w:hAnsi="Times New Roman" w:cs="Times New Roman"/>
                            <w:sz w:val="22"/>
                          </w:rPr>
                          <w:tab/>
                        </w:r>
                        <w:r>
                          <w:rPr>
                            <w:rFonts w:hint="default" w:ascii="Times New Roman" w:hAnsi="Times New Roman" w:cs="Times New Roman"/>
                            <w:sz w:val="22"/>
                          </w:rPr>
                          <w:t>4月</w:t>
                        </w:r>
                        <w:r>
                          <w:rPr>
                            <w:rFonts w:hint="default" w:ascii="Times New Roman" w:hAnsi="Times New Roman" w:cs="Times New Roman"/>
                            <w:sz w:val="22"/>
                          </w:rPr>
                          <w:tab/>
                        </w:r>
                        <w:r>
                          <w:rPr>
                            <w:rFonts w:hint="default" w:ascii="Times New Roman" w:hAnsi="Times New Roman" w:cs="Times New Roman"/>
                            <w:sz w:val="22"/>
                          </w:rPr>
                          <w:t>5月</w:t>
                        </w:r>
                        <w:r>
                          <w:rPr>
                            <w:rFonts w:hint="default" w:ascii="Times New Roman" w:hAnsi="Times New Roman" w:cs="Times New Roman"/>
                            <w:sz w:val="22"/>
                          </w:rPr>
                          <w:tab/>
                        </w:r>
                        <w:r>
                          <w:rPr>
                            <w:rFonts w:hint="default" w:ascii="Times New Roman" w:hAnsi="Times New Roman" w:cs="Times New Roman"/>
                            <w:sz w:val="22"/>
                          </w:rPr>
                          <w:t>6月</w:t>
                        </w:r>
                        <w:r>
                          <w:rPr>
                            <w:rFonts w:hint="default" w:ascii="Times New Roman" w:hAnsi="Times New Roman" w:cs="Times New Roman"/>
                            <w:sz w:val="22"/>
                          </w:rPr>
                          <w:tab/>
                        </w:r>
                        <w:r>
                          <w:rPr>
                            <w:rFonts w:hint="default" w:ascii="Times New Roman" w:hAnsi="Times New Roman" w:cs="Times New Roman"/>
                            <w:sz w:val="22"/>
                          </w:rPr>
                          <w:t>7月</w:t>
                        </w:r>
                        <w:r>
                          <w:rPr>
                            <w:rFonts w:hint="default" w:ascii="Times New Roman" w:hAnsi="Times New Roman" w:cs="Times New Roman"/>
                            <w:sz w:val="22"/>
                          </w:rPr>
                          <w:tab/>
                        </w:r>
                        <w:r>
                          <w:rPr>
                            <w:rFonts w:hint="default" w:ascii="Times New Roman" w:hAnsi="Times New Roman" w:cs="Times New Roman"/>
                            <w:sz w:val="22"/>
                          </w:rPr>
                          <w:t>8月</w:t>
                        </w:r>
                        <w:r>
                          <w:rPr>
                            <w:rFonts w:hint="default" w:ascii="Times New Roman" w:hAnsi="Times New Roman" w:cs="Times New Roman"/>
                            <w:sz w:val="22"/>
                          </w:rPr>
                          <w:tab/>
                        </w:r>
                        <w:r>
                          <w:rPr>
                            <w:rFonts w:hint="default" w:ascii="Times New Roman" w:hAnsi="Times New Roman" w:cs="Times New Roman"/>
                            <w:sz w:val="22"/>
                          </w:rPr>
                          <w:t>9月</w:t>
                        </w:r>
                        <w:r>
                          <w:rPr>
                            <w:rFonts w:hint="default" w:ascii="Times New Roman" w:hAnsi="Times New Roman" w:cs="Times New Roman"/>
                            <w:sz w:val="22"/>
                          </w:rPr>
                          <w:tab/>
                        </w:r>
                        <w:r>
                          <w:rPr>
                            <w:rFonts w:hint="default" w:ascii="Times New Roman" w:hAnsi="Times New Roman" w:cs="Times New Roman"/>
                            <w:sz w:val="22"/>
                          </w:rPr>
                          <w:t>10月</w:t>
                        </w:r>
                        <w:r>
                          <w:rPr>
                            <w:rFonts w:hint="default" w:ascii="Times New Roman" w:hAnsi="Times New Roman" w:cs="Times New Roman"/>
                            <w:sz w:val="22"/>
                          </w:rPr>
                          <w:tab/>
                        </w:r>
                        <w:r>
                          <w:rPr>
                            <w:rFonts w:hint="default" w:ascii="Times New Roman" w:hAnsi="Times New Roman" w:cs="Times New Roman"/>
                            <w:sz w:val="22"/>
                          </w:rPr>
                          <w:t>11月</w:t>
                        </w:r>
                        <w:r>
                          <w:rPr>
                            <w:rFonts w:hint="default" w:ascii="Times New Roman" w:hAnsi="Times New Roman" w:cs="Times New Roman"/>
                            <w:sz w:val="22"/>
                          </w:rPr>
                          <w:tab/>
                        </w:r>
                        <w:r>
                          <w:rPr>
                            <w:rFonts w:hint="default" w:ascii="Times New Roman" w:hAnsi="Times New Roman" w:cs="Times New Roman"/>
                            <w:sz w:val="22"/>
                          </w:rPr>
                          <w:t>12月</w:t>
                        </w:r>
                      </w:p>
                    </w:txbxContent>
                  </v:textbox>
                </v:shape>
              </v:group>
            </w:pict>
          </mc:Fallback>
        </mc:AlternateContent>
      </w:r>
      <w:r>
        <w:rPr>
          <w:sz w:val="24"/>
          <w:szCs w:val="24"/>
        </w:rPr>
        <w:t>六安市平均风速日变化和风速的月份变化统计见表</w:t>
      </w:r>
      <w:r>
        <w:rPr>
          <w:spacing w:val="-61"/>
          <w:sz w:val="24"/>
          <w:szCs w:val="24"/>
        </w:rPr>
        <w:t xml:space="preserve"> </w:t>
      </w:r>
      <w:r>
        <w:rPr>
          <w:rFonts w:ascii="Times New Roman" w:eastAsia="Times New Roman"/>
          <w:sz w:val="24"/>
          <w:szCs w:val="24"/>
        </w:rPr>
        <w:t xml:space="preserve">4.2-2 </w:t>
      </w:r>
      <w:r>
        <w:rPr>
          <w:sz w:val="24"/>
          <w:szCs w:val="24"/>
        </w:rPr>
        <w:t>和图</w:t>
      </w:r>
      <w:r>
        <w:rPr>
          <w:spacing w:val="-61"/>
          <w:sz w:val="24"/>
          <w:szCs w:val="24"/>
        </w:rPr>
        <w:t xml:space="preserve"> </w:t>
      </w:r>
      <w:r>
        <w:rPr>
          <w:rFonts w:ascii="Times New Roman" w:eastAsia="Times New Roman"/>
          <w:sz w:val="24"/>
          <w:szCs w:val="24"/>
        </w:rPr>
        <w:t>4.2-2</w:t>
      </w:r>
      <w:r>
        <w:rPr>
          <w:spacing w:val="-17"/>
          <w:sz w:val="24"/>
          <w:szCs w:val="24"/>
        </w:rPr>
        <w:t>。</w:t>
      </w:r>
    </w:p>
    <w:p>
      <w:pPr>
        <w:spacing w:before="0"/>
        <w:ind w:right="0" w:firstLine="206" w:firstLineChars="100"/>
        <w:jc w:val="center"/>
        <w:rPr>
          <w:spacing w:val="-17"/>
          <w:sz w:val="24"/>
          <w:szCs w:val="24"/>
        </w:rPr>
      </w:pPr>
    </w:p>
    <w:p>
      <w:pPr>
        <w:spacing w:before="0"/>
        <w:ind w:right="0" w:firstLine="206" w:firstLineChars="100"/>
        <w:jc w:val="center"/>
        <w:rPr>
          <w:spacing w:val="-17"/>
          <w:sz w:val="24"/>
          <w:szCs w:val="24"/>
        </w:rPr>
      </w:pPr>
    </w:p>
    <w:p>
      <w:pPr>
        <w:spacing w:before="0"/>
        <w:ind w:right="0" w:firstLine="206" w:firstLineChars="100"/>
        <w:jc w:val="center"/>
        <w:rPr>
          <w:spacing w:val="-17"/>
          <w:sz w:val="24"/>
          <w:szCs w:val="24"/>
        </w:rPr>
      </w:pPr>
    </w:p>
    <w:p>
      <w:pPr>
        <w:spacing w:before="0"/>
        <w:ind w:right="0" w:firstLine="240" w:firstLineChars="100"/>
        <w:jc w:val="center"/>
        <w:rPr>
          <w:spacing w:val="-17"/>
          <w:sz w:val="24"/>
          <w:szCs w:val="24"/>
        </w:rPr>
      </w:pPr>
      <w:r>
        <w:rPr>
          <w:sz w:val="24"/>
          <w:szCs w:val="24"/>
        </w:rPr>
        <mc:AlternateContent>
          <mc:Choice Requires="wps">
            <w:drawing>
              <wp:anchor distT="0" distB="0" distL="114300" distR="114300" simplePos="0" relativeHeight="252412928" behindDoc="0" locked="0" layoutInCell="1" allowOverlap="1">
                <wp:simplePos x="0" y="0"/>
                <wp:positionH relativeFrom="page">
                  <wp:posOffset>1172210</wp:posOffset>
                </wp:positionH>
                <wp:positionV relativeFrom="paragraph">
                  <wp:posOffset>124460</wp:posOffset>
                </wp:positionV>
                <wp:extent cx="165100" cy="728980"/>
                <wp:effectExtent l="0" t="0" r="0" b="0"/>
                <wp:wrapNone/>
                <wp:docPr id="410" name="文本框 410"/>
                <wp:cNvGraphicFramePr/>
                <a:graphic xmlns:a="http://schemas.openxmlformats.org/drawingml/2006/main">
                  <a:graphicData uri="http://schemas.microsoft.com/office/word/2010/wordprocessingShape">
                    <wps:wsp>
                      <wps:cNvSpPr txBox="1"/>
                      <wps:spPr>
                        <a:xfrm>
                          <a:off x="0" y="0"/>
                          <a:ext cx="165100" cy="728980"/>
                        </a:xfrm>
                        <a:prstGeom prst="rect">
                          <a:avLst/>
                        </a:prstGeom>
                        <a:noFill/>
                        <a:ln>
                          <a:noFill/>
                        </a:ln>
                        <a:effectLst/>
                      </wps:spPr>
                      <wps:txbx>
                        <w:txbxContent>
                          <w:p>
                            <w:pPr>
                              <w:spacing w:before="0" w:line="260" w:lineRule="exact"/>
                              <w:ind w:left="20" w:right="0" w:firstLine="0"/>
                              <w:jc w:val="left"/>
                              <w:rPr>
                                <w:sz w:val="22"/>
                              </w:rPr>
                            </w:pPr>
                            <w:r>
                              <w:rPr>
                                <w:sz w:val="22"/>
                              </w:rPr>
                              <w:t>风速（m/s)</w:t>
                            </w:r>
                          </w:p>
                        </w:txbxContent>
                      </wps:txbx>
                      <wps:bodyPr vert="vert270" lIns="0" tIns="0" rIns="0" bIns="0" upright="1"/>
                    </wps:wsp>
                  </a:graphicData>
                </a:graphic>
              </wp:anchor>
            </w:drawing>
          </mc:Choice>
          <mc:Fallback>
            <w:pict>
              <v:shape id="_x0000_s1026" o:spid="_x0000_s1026" o:spt="202" type="#_x0000_t202" style="position:absolute;left:0pt;margin-left:92.3pt;margin-top:9.8pt;height:57.4pt;width:13pt;mso-position-horizontal-relative:page;z-index:252412928;mso-width-relative:page;mso-height-relative:page;" filled="f" stroked="f" coordsize="21600,21600" o:gfxdata="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hB3y71QAAAAoB&#10;AAAPAAAAAAAAAAEAIAAAACIAAABkcnMvZG93bnJldi54bWxQSwECFAAUAAAACACHTuJAVFFTF6wB&#10;AABEAwAADgAAAAAAAAABACAAAAAkAQAAZHJzL2Uyb0RvYy54bWxQSwUGAAAAAAYABgBZAQAAQgUA&#10;AAAA&#10;">
                <v:fill on="f" focussize="0,0"/>
                <v:stroke on="f"/>
                <v:imagedata o:title=""/>
                <o:lock v:ext="edit" aspectratio="f"/>
                <v:textbox inset="0mm,0mm,0mm,0mm" style="layout-flow:vertical;mso-layout-flow-alt:bottom-to-top;">
                  <w:txbxContent>
                    <w:p>
                      <w:pPr>
                        <w:spacing w:before="0" w:line="260" w:lineRule="exact"/>
                        <w:ind w:left="20" w:right="0" w:firstLine="0"/>
                        <w:jc w:val="left"/>
                        <w:rPr>
                          <w:sz w:val="22"/>
                        </w:rPr>
                      </w:pPr>
                      <w:r>
                        <w:rPr>
                          <w:sz w:val="22"/>
                        </w:rPr>
                        <w:t>风速（m/s)</w:t>
                      </w:r>
                    </w:p>
                  </w:txbxContent>
                </v:textbox>
              </v:shape>
            </w:pict>
          </mc:Fallback>
        </mc:AlternateContent>
      </w:r>
    </w:p>
    <w:p>
      <w:pPr>
        <w:spacing w:before="0"/>
        <w:ind w:right="0" w:firstLine="206" w:firstLineChars="100"/>
        <w:jc w:val="center"/>
        <w:rPr>
          <w:spacing w:val="-17"/>
          <w:sz w:val="24"/>
          <w:szCs w:val="24"/>
        </w:rPr>
      </w:pPr>
    </w:p>
    <w:p>
      <w:pPr>
        <w:spacing w:before="0"/>
        <w:ind w:right="0" w:firstLine="206" w:firstLineChars="100"/>
        <w:jc w:val="center"/>
        <w:rPr>
          <w:spacing w:val="-17"/>
          <w:sz w:val="24"/>
          <w:szCs w:val="24"/>
        </w:rPr>
      </w:pPr>
    </w:p>
    <w:p>
      <w:pPr>
        <w:spacing w:before="0"/>
        <w:ind w:right="0" w:firstLine="206" w:firstLineChars="100"/>
        <w:jc w:val="center"/>
        <w:rPr>
          <w:spacing w:val="-17"/>
          <w:sz w:val="24"/>
          <w:szCs w:val="24"/>
        </w:rPr>
      </w:pPr>
    </w:p>
    <w:p>
      <w:pPr>
        <w:spacing w:before="0"/>
        <w:ind w:right="0" w:firstLine="206" w:firstLineChars="100"/>
        <w:jc w:val="center"/>
        <w:rPr>
          <w:spacing w:val="-17"/>
          <w:sz w:val="24"/>
          <w:szCs w:val="24"/>
        </w:rPr>
      </w:pPr>
    </w:p>
    <w:p>
      <w:pPr>
        <w:spacing w:before="0"/>
        <w:ind w:right="0" w:firstLine="206" w:firstLineChars="100"/>
        <w:jc w:val="center"/>
        <w:rPr>
          <w:spacing w:val="-17"/>
          <w:sz w:val="24"/>
          <w:szCs w:val="24"/>
        </w:rPr>
      </w:pPr>
    </w:p>
    <w:p>
      <w:pPr>
        <w:spacing w:before="0"/>
        <w:ind w:right="0" w:firstLine="206" w:firstLineChars="100"/>
        <w:jc w:val="center"/>
        <w:rPr>
          <w:spacing w:val="-17"/>
          <w:sz w:val="24"/>
          <w:szCs w:val="24"/>
        </w:rPr>
      </w:pPr>
    </w:p>
    <w:p>
      <w:pPr>
        <w:spacing w:before="0"/>
        <w:ind w:right="0" w:firstLine="241" w:firstLineChars="100"/>
        <w:jc w:val="center"/>
        <w:rPr>
          <w:b/>
          <w:sz w:val="24"/>
        </w:rPr>
      </w:pPr>
      <w:r>
        <w:rPr>
          <w:b/>
          <w:sz w:val="24"/>
        </w:rPr>
        <w:t xml:space="preserve">图 </w:t>
      </w:r>
      <w:r>
        <w:rPr>
          <w:rFonts w:ascii="Times New Roman" w:eastAsia="Times New Roman"/>
          <w:b/>
          <w:sz w:val="24"/>
        </w:rPr>
        <w:t xml:space="preserve">4.2-2  </w:t>
      </w:r>
      <w:r>
        <w:rPr>
          <w:b/>
          <w:sz w:val="24"/>
        </w:rPr>
        <w:t>六安市年平均风速的变化图</w:t>
      </w:r>
    </w:p>
    <w:p>
      <w:pPr>
        <w:pStyle w:val="12"/>
        <w:spacing w:before="6"/>
        <w:rPr>
          <w:b/>
          <w:sz w:val="8"/>
        </w:rPr>
      </w:pPr>
    </w:p>
    <w:p>
      <w:pPr>
        <w:keepNext w:val="0"/>
        <w:keepLines w:val="0"/>
        <w:pageBreakBefore w:val="0"/>
        <w:widowControl w:val="0"/>
        <w:tabs>
          <w:tab w:val="left" w:pos="3072"/>
          <w:tab w:val="left" w:pos="6567"/>
        </w:tabs>
        <w:kinsoku/>
        <w:wordWrap/>
        <w:overflowPunct/>
        <w:topLinePunct w:val="0"/>
        <w:autoSpaceDE/>
        <w:autoSpaceDN/>
        <w:bidi w:val="0"/>
        <w:adjustRightInd w:val="0"/>
        <w:snapToGrid w:val="0"/>
        <w:spacing w:line="240" w:lineRule="auto"/>
        <w:ind w:left="0" w:right="0" w:firstLine="0"/>
        <w:jc w:val="center"/>
        <w:textAlignment w:val="auto"/>
        <w:rPr>
          <w:rFonts w:ascii="Times New Roman" w:eastAsia="Times New Roman"/>
          <w:sz w:val="24"/>
        </w:rPr>
      </w:pPr>
      <w:r>
        <w:rPr>
          <w:rFonts w:hint="eastAsia"/>
          <w:b/>
          <w:sz w:val="24"/>
          <w:lang w:val="en-US" w:eastAsia="zh-CN"/>
        </w:rPr>
        <w:t xml:space="preserve">      </w:t>
      </w:r>
      <w:r>
        <w:rPr>
          <w:b/>
          <w:sz w:val="24"/>
        </w:rPr>
        <w:t>表</w:t>
      </w:r>
      <w:r>
        <w:rPr>
          <w:b/>
          <w:spacing w:val="-60"/>
          <w:sz w:val="24"/>
        </w:rPr>
        <w:t xml:space="preserve"> </w:t>
      </w:r>
      <w:r>
        <w:rPr>
          <w:rFonts w:ascii="Times New Roman" w:eastAsia="Times New Roman"/>
          <w:b/>
          <w:sz w:val="24"/>
        </w:rPr>
        <w:t>4.2-2</w:t>
      </w:r>
      <w:r>
        <w:rPr>
          <w:rFonts w:hint="eastAsia" w:eastAsia="宋体"/>
          <w:b/>
          <w:sz w:val="24"/>
          <w:lang w:val="en-US" w:eastAsia="zh-CN"/>
        </w:rPr>
        <w:t xml:space="preserve">  </w:t>
      </w:r>
      <w:r>
        <w:rPr>
          <w:b/>
          <w:sz w:val="24"/>
        </w:rPr>
        <w:t>六安市年平均风速的变化</w:t>
      </w:r>
      <w:r>
        <w:rPr>
          <w:rFonts w:hint="eastAsia" w:eastAsia="宋体"/>
          <w:b/>
          <w:sz w:val="24"/>
          <w:lang w:val="en-US" w:eastAsia="zh-CN"/>
        </w:rPr>
        <w:t xml:space="preserve">   </w:t>
      </w:r>
      <w:r>
        <w:rPr>
          <w:sz w:val="24"/>
        </w:rPr>
        <w:t>单位：</w:t>
      </w:r>
      <w:r>
        <w:rPr>
          <w:rFonts w:ascii="Times New Roman" w:eastAsia="Times New Roman"/>
          <w:sz w:val="24"/>
        </w:rPr>
        <w:t>m/s</w:t>
      </w:r>
    </w:p>
    <w:tbl>
      <w:tblPr>
        <w:tblStyle w:val="22"/>
        <w:tblW w:w="9300" w:type="dxa"/>
        <w:jc w:val="center"/>
        <w:tblInd w:w="109"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15"/>
        <w:gridCol w:w="643"/>
        <w:gridCol w:w="643"/>
        <w:gridCol w:w="643"/>
        <w:gridCol w:w="643"/>
        <w:gridCol w:w="643"/>
        <w:gridCol w:w="643"/>
        <w:gridCol w:w="643"/>
        <w:gridCol w:w="643"/>
        <w:gridCol w:w="643"/>
        <w:gridCol w:w="758"/>
        <w:gridCol w:w="751"/>
        <w:gridCol w:w="761"/>
        <w:gridCol w:w="52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1" w:hRule="atLeast"/>
          <w:jc w:val="center"/>
        </w:trPr>
        <w:tc>
          <w:tcPr>
            <w:tcW w:w="71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sz w:val="21"/>
              </w:rPr>
              <w:t>月份</w:t>
            </w:r>
          </w:p>
        </w:tc>
        <w:tc>
          <w:tcPr>
            <w:tcW w:w="64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rFonts w:ascii="Times New Roman" w:eastAsia="Times New Roman"/>
                <w:sz w:val="21"/>
              </w:rPr>
              <w:t xml:space="preserve">1 </w:t>
            </w:r>
            <w:r>
              <w:rPr>
                <w:sz w:val="21"/>
              </w:rPr>
              <w:t>月</w:t>
            </w:r>
          </w:p>
        </w:tc>
        <w:tc>
          <w:tcPr>
            <w:tcW w:w="64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rFonts w:ascii="Times New Roman" w:eastAsia="Times New Roman"/>
                <w:sz w:val="21"/>
              </w:rPr>
              <w:t xml:space="preserve">2 </w:t>
            </w:r>
            <w:r>
              <w:rPr>
                <w:sz w:val="21"/>
              </w:rPr>
              <w:t>月</w:t>
            </w:r>
          </w:p>
        </w:tc>
        <w:tc>
          <w:tcPr>
            <w:tcW w:w="64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rFonts w:ascii="Times New Roman" w:eastAsia="Times New Roman"/>
                <w:sz w:val="21"/>
              </w:rPr>
              <w:t xml:space="preserve">3 </w:t>
            </w:r>
            <w:r>
              <w:rPr>
                <w:sz w:val="21"/>
              </w:rPr>
              <w:t>月</w:t>
            </w:r>
          </w:p>
        </w:tc>
        <w:tc>
          <w:tcPr>
            <w:tcW w:w="64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rFonts w:ascii="Times New Roman" w:eastAsia="Times New Roman"/>
                <w:sz w:val="21"/>
              </w:rPr>
              <w:t xml:space="preserve">4 </w:t>
            </w:r>
            <w:r>
              <w:rPr>
                <w:sz w:val="21"/>
              </w:rPr>
              <w:t>月</w:t>
            </w:r>
          </w:p>
        </w:tc>
        <w:tc>
          <w:tcPr>
            <w:tcW w:w="64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rFonts w:ascii="Times New Roman" w:eastAsia="Times New Roman"/>
                <w:sz w:val="21"/>
              </w:rPr>
              <w:t xml:space="preserve">5 </w:t>
            </w:r>
            <w:r>
              <w:rPr>
                <w:sz w:val="21"/>
              </w:rPr>
              <w:t>月</w:t>
            </w:r>
          </w:p>
        </w:tc>
        <w:tc>
          <w:tcPr>
            <w:tcW w:w="64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rFonts w:ascii="Times New Roman" w:eastAsia="Times New Roman"/>
                <w:sz w:val="21"/>
              </w:rPr>
              <w:t xml:space="preserve">6 </w:t>
            </w:r>
            <w:r>
              <w:rPr>
                <w:sz w:val="21"/>
              </w:rPr>
              <w:t>月</w:t>
            </w:r>
          </w:p>
        </w:tc>
        <w:tc>
          <w:tcPr>
            <w:tcW w:w="64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rFonts w:ascii="Times New Roman" w:eastAsia="Times New Roman"/>
                <w:sz w:val="21"/>
              </w:rPr>
              <w:t xml:space="preserve">7 </w:t>
            </w:r>
            <w:r>
              <w:rPr>
                <w:sz w:val="21"/>
              </w:rPr>
              <w:t>月</w:t>
            </w:r>
          </w:p>
        </w:tc>
        <w:tc>
          <w:tcPr>
            <w:tcW w:w="64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rFonts w:ascii="Times New Roman" w:eastAsia="Times New Roman"/>
                <w:sz w:val="21"/>
              </w:rPr>
              <w:t xml:space="preserve">8 </w:t>
            </w:r>
            <w:r>
              <w:rPr>
                <w:sz w:val="21"/>
              </w:rPr>
              <w:t>月</w:t>
            </w:r>
          </w:p>
        </w:tc>
        <w:tc>
          <w:tcPr>
            <w:tcW w:w="64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rFonts w:ascii="Times New Roman" w:eastAsia="Times New Roman"/>
                <w:sz w:val="21"/>
              </w:rPr>
              <w:t xml:space="preserve">9 </w:t>
            </w:r>
            <w:r>
              <w:rPr>
                <w:sz w:val="21"/>
              </w:rPr>
              <w:t>月</w:t>
            </w:r>
          </w:p>
        </w:tc>
        <w:tc>
          <w:tcPr>
            <w:tcW w:w="758"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rFonts w:ascii="Times New Roman" w:eastAsia="Times New Roman"/>
                <w:sz w:val="21"/>
              </w:rPr>
              <w:t xml:space="preserve">10 </w:t>
            </w:r>
            <w:r>
              <w:rPr>
                <w:sz w:val="21"/>
              </w:rPr>
              <w:t>月</w:t>
            </w:r>
          </w:p>
        </w:tc>
        <w:tc>
          <w:tcPr>
            <w:tcW w:w="751"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rFonts w:ascii="Times New Roman" w:eastAsia="Times New Roman"/>
                <w:sz w:val="21"/>
              </w:rPr>
              <w:t xml:space="preserve">11 </w:t>
            </w:r>
            <w:r>
              <w:rPr>
                <w:sz w:val="21"/>
              </w:rPr>
              <w:t>月</w:t>
            </w:r>
          </w:p>
        </w:tc>
        <w:tc>
          <w:tcPr>
            <w:tcW w:w="761"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rFonts w:ascii="Times New Roman" w:eastAsia="Times New Roman"/>
                <w:sz w:val="21"/>
              </w:rPr>
              <w:t xml:space="preserve">12 </w:t>
            </w:r>
            <w:r>
              <w:rPr>
                <w:sz w:val="21"/>
              </w:rPr>
              <w:t>月</w:t>
            </w:r>
          </w:p>
        </w:tc>
        <w:tc>
          <w:tcPr>
            <w:tcW w:w="528"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w w:val="100"/>
                <w:sz w:val="21"/>
              </w:rPr>
              <w:t>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11" w:hRule="atLeast"/>
          <w:jc w:val="center"/>
        </w:trPr>
        <w:tc>
          <w:tcPr>
            <w:tcW w:w="71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sz w:val="21"/>
              </w:rPr>
            </w:pPr>
            <w:r>
              <w:rPr>
                <w:sz w:val="21"/>
              </w:rPr>
              <w:t>风速</w:t>
            </w:r>
          </w:p>
        </w:tc>
        <w:tc>
          <w:tcPr>
            <w:tcW w:w="64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z w:val="21"/>
              </w:rPr>
              <w:t>3.1</w:t>
            </w:r>
          </w:p>
        </w:tc>
        <w:tc>
          <w:tcPr>
            <w:tcW w:w="64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z w:val="21"/>
              </w:rPr>
              <w:t>3.5</w:t>
            </w:r>
          </w:p>
        </w:tc>
        <w:tc>
          <w:tcPr>
            <w:tcW w:w="64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z w:val="21"/>
              </w:rPr>
              <w:t>3.6</w:t>
            </w:r>
          </w:p>
        </w:tc>
        <w:tc>
          <w:tcPr>
            <w:tcW w:w="64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z w:val="21"/>
              </w:rPr>
              <w:t>3.5</w:t>
            </w:r>
          </w:p>
        </w:tc>
        <w:tc>
          <w:tcPr>
            <w:tcW w:w="64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z w:val="21"/>
              </w:rPr>
              <w:t>3.3</w:t>
            </w:r>
          </w:p>
        </w:tc>
        <w:tc>
          <w:tcPr>
            <w:tcW w:w="64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z w:val="21"/>
              </w:rPr>
              <w:t>3.1</w:t>
            </w:r>
          </w:p>
        </w:tc>
        <w:tc>
          <w:tcPr>
            <w:tcW w:w="64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z w:val="21"/>
              </w:rPr>
              <w:t>3.0</w:t>
            </w:r>
          </w:p>
        </w:tc>
        <w:tc>
          <w:tcPr>
            <w:tcW w:w="64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z w:val="21"/>
              </w:rPr>
              <w:t>3.1</w:t>
            </w:r>
          </w:p>
        </w:tc>
        <w:tc>
          <w:tcPr>
            <w:tcW w:w="64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z w:val="21"/>
              </w:rPr>
              <w:t>2.7</w:t>
            </w:r>
          </w:p>
        </w:tc>
        <w:tc>
          <w:tcPr>
            <w:tcW w:w="758"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z w:val="21"/>
              </w:rPr>
              <w:t>2.9</w:t>
            </w:r>
          </w:p>
        </w:tc>
        <w:tc>
          <w:tcPr>
            <w:tcW w:w="751"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z w:val="21"/>
              </w:rPr>
              <w:t>3.4</w:t>
            </w:r>
          </w:p>
        </w:tc>
        <w:tc>
          <w:tcPr>
            <w:tcW w:w="761"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z w:val="21"/>
              </w:rPr>
              <w:t>3.2</w:t>
            </w:r>
          </w:p>
        </w:tc>
        <w:tc>
          <w:tcPr>
            <w:tcW w:w="528"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sz w:val="21"/>
              </w:rPr>
            </w:pPr>
            <w:r>
              <w:rPr>
                <w:rFonts w:ascii="Times New Roman"/>
                <w:sz w:val="21"/>
              </w:rPr>
              <w:t>3.2</w:t>
            </w:r>
          </w:p>
        </w:tc>
      </w:tr>
    </w:tbl>
    <w:p>
      <w:pPr>
        <w:pStyle w:val="12"/>
        <w:keepNext w:val="0"/>
        <w:keepLines w:val="0"/>
        <w:pageBreakBefore w:val="0"/>
        <w:widowControl w:val="0"/>
        <w:kinsoku/>
        <w:wordWrap/>
        <w:overflowPunct/>
        <w:topLinePunct w:val="0"/>
        <w:autoSpaceDE/>
        <w:autoSpaceDN/>
        <w:bidi w:val="0"/>
        <w:adjustRightInd/>
        <w:snapToGrid/>
        <w:spacing w:after="0" w:line="360" w:lineRule="auto"/>
        <w:ind w:left="0" w:right="0" w:firstLine="480"/>
        <w:jc w:val="both"/>
        <w:textAlignment w:val="auto"/>
        <w:rPr>
          <w:rFonts w:hint="default" w:ascii="Times New Roman" w:hAnsi="Times New Roman" w:eastAsia="宋体" w:cs="Times New Roman"/>
          <w:sz w:val="24"/>
          <w:szCs w:val="32"/>
        </w:rPr>
      </w:pPr>
      <w:r>
        <w:rPr>
          <w:rFonts w:hint="default" w:ascii="Times New Roman" w:hAnsi="Times New Roman" w:eastAsia="宋体" w:cs="Times New Roman"/>
          <w:spacing w:val="-5"/>
          <w:sz w:val="24"/>
          <w:szCs w:val="32"/>
        </w:rPr>
        <w:t xml:space="preserve">由上图表可以看出，六安市年平均风速为 </w:t>
      </w:r>
      <w:r>
        <w:rPr>
          <w:rFonts w:hint="default" w:ascii="Times New Roman" w:hAnsi="Times New Roman" w:eastAsia="宋体" w:cs="Times New Roman"/>
          <w:spacing w:val="-3"/>
          <w:sz w:val="24"/>
          <w:szCs w:val="32"/>
        </w:rPr>
        <w:t>3.2m/s</w:t>
      </w:r>
      <w:r>
        <w:rPr>
          <w:rFonts w:hint="default" w:ascii="Times New Roman" w:hAnsi="Times New Roman" w:eastAsia="宋体" w:cs="Times New Roman"/>
          <w:spacing w:val="-4"/>
          <w:sz w:val="24"/>
          <w:szCs w:val="32"/>
        </w:rPr>
        <w:t>，该区域地面各月风速变化较为规</w:t>
      </w:r>
      <w:r>
        <w:rPr>
          <w:rFonts w:hint="default" w:ascii="Times New Roman" w:hAnsi="Times New Roman" w:eastAsia="宋体" w:cs="Times New Roman"/>
          <w:spacing w:val="-3"/>
          <w:sz w:val="24"/>
          <w:szCs w:val="32"/>
        </w:rPr>
        <w:t>律，春季和冬季风速最高，秋季风速最低，一年中以</w:t>
      </w:r>
      <w:r>
        <w:rPr>
          <w:rFonts w:hint="default" w:ascii="Times New Roman" w:hAnsi="Times New Roman" w:eastAsia="宋体" w:cs="Times New Roman"/>
          <w:sz w:val="24"/>
          <w:szCs w:val="32"/>
        </w:rPr>
        <w:t>10</w:t>
      </w:r>
      <w:r>
        <w:rPr>
          <w:rFonts w:hint="default" w:ascii="Times New Roman" w:hAnsi="Times New Roman" w:eastAsia="宋体" w:cs="Times New Roman"/>
          <w:spacing w:val="-1"/>
          <w:sz w:val="24"/>
          <w:szCs w:val="32"/>
        </w:rPr>
        <w:t>月份风速最小，</w:t>
      </w:r>
      <w:r>
        <w:rPr>
          <w:rFonts w:hint="default" w:ascii="Times New Roman" w:hAnsi="Times New Roman" w:eastAsia="宋体" w:cs="Times New Roman"/>
          <w:sz w:val="24"/>
          <w:szCs w:val="32"/>
        </w:rPr>
        <w:t>3</w:t>
      </w:r>
      <w:r>
        <w:rPr>
          <w:rFonts w:hint="eastAsia" w:ascii="Times New Roman" w:hAnsi="Times New Roman" w:eastAsia="宋体" w:cs="Times New Roman"/>
          <w:sz w:val="24"/>
          <w:szCs w:val="32"/>
          <w:lang w:eastAsia="zh-CN"/>
        </w:rPr>
        <w:t>、</w:t>
      </w:r>
      <w:r>
        <w:rPr>
          <w:rFonts w:hint="default" w:ascii="Times New Roman" w:hAnsi="Times New Roman" w:eastAsia="宋体" w:cs="Times New Roman"/>
          <w:sz w:val="24"/>
          <w:szCs w:val="32"/>
        </w:rPr>
        <w:t>4</w:t>
      </w:r>
      <w:r>
        <w:rPr>
          <w:rFonts w:hint="default" w:ascii="Times New Roman" w:hAnsi="Times New Roman" w:eastAsia="宋体" w:cs="Times New Roman"/>
          <w:spacing w:val="-4"/>
          <w:sz w:val="24"/>
          <w:szCs w:val="32"/>
        </w:rPr>
        <w:t>月份风速</w:t>
      </w:r>
      <w:r>
        <w:rPr>
          <w:rFonts w:hint="default" w:ascii="Times New Roman" w:hAnsi="Times New Roman" w:eastAsia="宋体" w:cs="Times New Roman"/>
          <w:sz w:val="24"/>
          <w:szCs w:val="32"/>
        </w:rPr>
        <w:t>最大。</w:t>
      </w:r>
    </w:p>
    <w:p>
      <w:pPr>
        <w:pStyle w:val="12"/>
        <w:keepNext w:val="0"/>
        <w:keepLines w:val="0"/>
        <w:pageBreakBefore w:val="0"/>
        <w:widowControl w:val="0"/>
        <w:kinsoku/>
        <w:wordWrap/>
        <w:overflowPunct/>
        <w:topLinePunct w:val="0"/>
        <w:autoSpaceDE/>
        <w:autoSpaceDN/>
        <w:bidi w:val="0"/>
        <w:adjustRightInd/>
        <w:snapToGrid/>
        <w:spacing w:after="0" w:line="360" w:lineRule="auto"/>
        <w:ind w:left="0" w:right="0" w:firstLine="480"/>
        <w:jc w:val="both"/>
        <w:textAlignment w:val="auto"/>
        <w:rPr>
          <w:rFonts w:hint="default" w:ascii="Times New Roman" w:hAnsi="Times New Roman" w:eastAsia="宋体" w:cs="Times New Roman"/>
          <w:sz w:val="24"/>
          <w:szCs w:val="32"/>
        </w:rPr>
      </w:pPr>
      <w:r>
        <w:rPr>
          <w:rFonts w:hint="default" w:ascii="Times New Roman" w:hAnsi="Times New Roman" w:eastAsia="宋体" w:cs="Times New Roman"/>
          <w:spacing w:val="-4"/>
          <w:sz w:val="24"/>
          <w:szCs w:val="32"/>
        </w:rPr>
        <w:t>六安市地面平均风速日变化规律见表</w:t>
      </w:r>
      <w:r>
        <w:rPr>
          <w:rFonts w:hint="default" w:ascii="Times New Roman" w:hAnsi="Times New Roman" w:eastAsia="宋体" w:cs="Times New Roman"/>
          <w:sz w:val="24"/>
          <w:szCs w:val="32"/>
        </w:rPr>
        <w:t>4.2-3</w:t>
      </w:r>
      <w:r>
        <w:rPr>
          <w:rFonts w:hint="default" w:ascii="Times New Roman" w:hAnsi="Times New Roman" w:eastAsia="宋体" w:cs="Times New Roman"/>
          <w:spacing w:val="-20"/>
          <w:sz w:val="24"/>
          <w:szCs w:val="32"/>
        </w:rPr>
        <w:t xml:space="preserve">。由表 </w:t>
      </w:r>
      <w:r>
        <w:rPr>
          <w:rFonts w:hint="default" w:ascii="Times New Roman" w:hAnsi="Times New Roman" w:eastAsia="宋体" w:cs="Times New Roman"/>
          <w:sz w:val="24"/>
          <w:szCs w:val="32"/>
        </w:rPr>
        <w:t>4.2-3</w:t>
      </w:r>
      <w:r>
        <w:rPr>
          <w:rFonts w:hint="default" w:ascii="Times New Roman" w:hAnsi="Times New Roman" w:eastAsia="宋体" w:cs="Times New Roman"/>
          <w:spacing w:val="-5"/>
          <w:sz w:val="24"/>
          <w:szCs w:val="32"/>
        </w:rPr>
        <w:t>可以看出，该区域地面四季</w:t>
      </w:r>
      <w:r>
        <w:rPr>
          <w:rFonts w:hint="default" w:ascii="Times New Roman" w:hAnsi="Times New Roman" w:eastAsia="宋体" w:cs="Times New Roman"/>
          <w:spacing w:val="-6"/>
          <w:sz w:val="24"/>
          <w:szCs w:val="32"/>
        </w:rPr>
        <w:t>风速相差不大，平均风速日变化较为规律，日出后风速逐渐增大，到中午达到风速最大</w:t>
      </w:r>
    </w:p>
    <w:p>
      <w:pPr>
        <w:pStyle w:val="12"/>
        <w:keepNext w:val="0"/>
        <w:keepLines w:val="0"/>
        <w:pageBreakBefore w:val="0"/>
        <w:widowControl w:val="0"/>
        <w:kinsoku/>
        <w:wordWrap/>
        <w:overflowPunct/>
        <w:topLinePunct w:val="0"/>
        <w:autoSpaceDE/>
        <w:autoSpaceDN/>
        <w:bidi w:val="0"/>
        <w:adjustRightInd/>
        <w:snapToGrid/>
        <w:spacing w:after="0" w:line="360" w:lineRule="auto"/>
        <w:ind w:left="0" w:right="0"/>
        <w:jc w:val="both"/>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（14 时），然后风速逐渐减小，到凌晨风速达到最小（02 时）</w:t>
      </w:r>
      <w:r>
        <w:rPr>
          <w:rFonts w:hint="eastAsia" w:ascii="Times New Roman" w:hAnsi="Times New Roman" w:eastAsia="宋体" w:cs="Times New Roman"/>
          <w:sz w:val="24"/>
          <w:szCs w:val="32"/>
          <w:lang w:eastAsia="zh-CN"/>
        </w:rPr>
        <w:t>，</w:t>
      </w:r>
      <w:r>
        <w:rPr>
          <w:rFonts w:hint="default" w:ascii="Times New Roman" w:hAnsi="Times New Roman" w:eastAsia="宋体" w:cs="Times New Roman"/>
          <w:sz w:val="24"/>
          <w:szCs w:val="32"/>
        </w:rPr>
        <w:t>白天风速明显大于夜间，这说明该区域白天更有利于大气污染物扩散。</w:t>
      </w:r>
    </w:p>
    <w:p>
      <w:pPr>
        <w:keepNext w:val="0"/>
        <w:keepLines w:val="0"/>
        <w:pageBreakBefore w:val="0"/>
        <w:widowControl w:val="0"/>
        <w:kinsoku/>
        <w:wordWrap/>
        <w:overflowPunct/>
        <w:topLinePunct w:val="0"/>
        <w:autoSpaceDE/>
        <w:autoSpaceDN/>
        <w:bidi w:val="0"/>
        <w:adjustRightInd w:val="0"/>
        <w:snapToGrid w:val="0"/>
        <w:spacing w:before="0" w:line="240" w:lineRule="auto"/>
        <w:ind w:left="2438" w:right="0" w:firstLine="0"/>
        <w:jc w:val="both"/>
        <w:textAlignment w:val="auto"/>
        <w:rPr>
          <w:rFonts w:hint="eastAsia" w:eastAsia="宋体"/>
          <w:sz w:val="12"/>
          <w:lang w:val="en-US" w:eastAsia="zh-CN"/>
        </w:rPr>
      </w:pPr>
      <w:r>
        <w:rPr>
          <w:rFonts w:hint="default" w:ascii="Times New Roman" w:hAnsi="Times New Roman" w:cs="Times New Roman"/>
          <w:b/>
          <w:spacing w:val="-30"/>
          <w:sz w:val="24"/>
        </w:rPr>
        <w:t xml:space="preserve">表 </w:t>
      </w:r>
      <w:r>
        <w:rPr>
          <w:rFonts w:hint="default" w:ascii="Times New Roman" w:hAnsi="Times New Roman" w:eastAsia="Times New Roman" w:cs="Times New Roman"/>
          <w:b/>
          <w:sz w:val="24"/>
        </w:rPr>
        <w:t>4.2-3</w:t>
      </w:r>
      <w:r>
        <w:rPr>
          <w:rFonts w:hint="default" w:ascii="Times New Roman" w:hAnsi="Times New Roman" w:eastAsia="Times New Roman" w:cs="Times New Roman"/>
          <w:b/>
          <w:spacing w:val="59"/>
          <w:sz w:val="24"/>
        </w:rPr>
        <w:t xml:space="preserve"> </w:t>
      </w:r>
      <w:r>
        <w:rPr>
          <w:rFonts w:hint="default" w:ascii="Times New Roman" w:hAnsi="Times New Roman" w:cs="Times New Roman"/>
          <w:b/>
          <w:spacing w:val="10"/>
          <w:sz w:val="24"/>
        </w:rPr>
        <w:t xml:space="preserve">六安市地面风速日变化 </w:t>
      </w:r>
      <w:r>
        <w:rPr>
          <w:rFonts w:hint="default" w:ascii="Times New Roman" w:hAnsi="Times New Roman" w:cs="Times New Roman"/>
          <w:sz w:val="24"/>
        </w:rPr>
        <w:t>单位：</w:t>
      </w:r>
      <w:r>
        <w:rPr>
          <w:rFonts w:hint="default" w:ascii="Times New Roman" w:hAnsi="Times New Roman" w:eastAsia="Times New Roman" w:cs="Times New Roman"/>
          <w:sz w:val="24"/>
        </w:rPr>
        <w:t>m/</w:t>
      </w:r>
      <w:r>
        <w:rPr>
          <w:rFonts w:hint="eastAsia" w:eastAsia="宋体" w:cs="Times New Roman"/>
          <w:sz w:val="24"/>
          <w:lang w:val="en-US" w:eastAsia="zh-CN"/>
        </w:rPr>
        <w:t>s</w:t>
      </w:r>
    </w:p>
    <w:tbl>
      <w:tblPr>
        <w:tblStyle w:val="22"/>
        <w:tblW w:w="9304" w:type="dxa"/>
        <w:jc w:val="center"/>
        <w:tblInd w:w="109" w:type="dxa"/>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fixed"/>
        <w:tblCellMar>
          <w:top w:w="0" w:type="dxa"/>
          <w:left w:w="0" w:type="dxa"/>
          <w:bottom w:w="0" w:type="dxa"/>
          <w:right w:w="0" w:type="dxa"/>
        </w:tblCellMar>
      </w:tblPr>
      <w:tblGrid>
        <w:gridCol w:w="1493"/>
        <w:gridCol w:w="1464"/>
        <w:gridCol w:w="1541"/>
        <w:gridCol w:w="1726"/>
        <w:gridCol w:w="1541"/>
        <w:gridCol w:w="1539"/>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fixed"/>
          <w:tblCellMar>
            <w:top w:w="0" w:type="dxa"/>
            <w:left w:w="0" w:type="dxa"/>
            <w:bottom w:w="0" w:type="dxa"/>
            <w:right w:w="0" w:type="dxa"/>
          </w:tblCellMar>
        </w:tblPrEx>
        <w:trPr>
          <w:trHeight w:val="539" w:hRule="atLeast"/>
          <w:jc w:val="center"/>
        </w:trPr>
        <w:tc>
          <w:tcPr>
            <w:tcW w:w="1493" w:type="dxa"/>
            <w:tcBorders>
              <w:tl2br w:val="nil"/>
              <w:tr2bl w:val="nil"/>
            </w:tcBorders>
            <w:noWrap w:val="0"/>
            <w:vAlign w:val="center"/>
            <mc:AlternateContent>
              <mc:Choice Requires="wpsCustomData">
                <wpsCustomData:diagonals>
                  <wpsCustomData:diagonal from="10000" to="30000">
                    <wpsCustomData:border w:val="single" w:color="000000" w:sz="12" w:space="0"/>
                  </wpsCustomData:diagonal>
                </wpsCustomData:diagonals>
              </mc:Choice>
            </mc:AlternateContent>
          </w:tcPr>
          <w:p>
            <w:pPr>
              <w:pStyle w:val="41"/>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both"/>
              <w:textAlignment w:val="auto"/>
              <w:rPr>
                <w:rFonts w:hint="eastAsia" w:eastAsia="宋体"/>
                <w:sz w:val="21"/>
                <w:lang w:eastAsia="zh-CN"/>
              </w:rPr>
            </w:pPr>
          </w:p>
          <w:p>
            <w:pPr>
              <w:pStyle w:val="41"/>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both"/>
              <w:textAlignment w:val="auto"/>
              <mc:AlternateContent>
                <mc:Choice Requires="wpsCustomData">
                  <wpsCustomData:diagonalParaType/>
                </mc:Choice>
              </mc:AlternateContent>
              <w:rPr>
                <w:rFonts w:hint="eastAsia" w:eastAsia="宋体"/>
                <w:sz w:val="21"/>
                <w:lang w:eastAsia="zh-CN"/>
              </w:rPr>
            </w:pPr>
            <w:r>
              <w:rPr>
                <w:rFonts w:hint="eastAsia" w:eastAsia="宋体"/>
                <w:sz w:val="21"/>
                <w:lang w:eastAsia="zh-CN"/>
              </w:rPr>
              <w:t>时间</w:t>
            </w:r>
          </w:p>
          <w:p>
            <w:pPr>
              <w:pStyle w:val="41"/>
              <w:keepNext w:val="0"/>
              <w:keepLines w:val="0"/>
              <w:pageBreakBefore w:val="0"/>
              <w:widowControl w:val="0"/>
              <w:kinsoku/>
              <w:wordWrap/>
              <w:overflowPunct/>
              <w:topLinePunct w:val="0"/>
              <w:autoSpaceDE/>
              <w:autoSpaceDN/>
              <w:bidi w:val="0"/>
              <w:adjustRightInd/>
              <w:snapToGrid/>
              <w:spacing w:line="240" w:lineRule="auto"/>
              <w:ind w:right="0" w:firstLine="0" w:firstLineChars="0"/>
              <w:jc w:val="both"/>
              <w:textAlignment w:val="auto"/>
              <w:rPr>
                <w:rFonts w:hint="eastAsia" w:eastAsia="宋体"/>
                <w:sz w:val="21"/>
                <w:lang w:eastAsia="zh-CN"/>
              </w:rPr>
            </w:pPr>
            <w:r>
              <w:rPr>
                <w:rFonts w:hint="eastAsia" w:eastAsia="宋体"/>
                <w:sz w:val="21"/>
                <w:lang w:eastAsia="zh-CN"/>
              </w:rPr>
              <w:t>季节</w:t>
            </w:r>
          </w:p>
        </w:tc>
        <w:tc>
          <w:tcPr>
            <w:tcW w:w="146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rPr>
            </w:pPr>
            <w:r>
              <w:rPr>
                <w:w w:val="100"/>
                <w:sz w:val="21"/>
              </w:rPr>
              <w:t>春</w:t>
            </w:r>
          </w:p>
        </w:tc>
        <w:tc>
          <w:tcPr>
            <w:tcW w:w="1541"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rPr>
            </w:pPr>
            <w:r>
              <w:rPr>
                <w:w w:val="100"/>
                <w:sz w:val="21"/>
              </w:rPr>
              <w:t>夏</w:t>
            </w:r>
          </w:p>
        </w:tc>
        <w:tc>
          <w:tcPr>
            <w:tcW w:w="1726"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rPr>
            </w:pPr>
            <w:r>
              <w:rPr>
                <w:w w:val="100"/>
                <w:sz w:val="21"/>
              </w:rPr>
              <w:t>秋</w:t>
            </w:r>
          </w:p>
        </w:tc>
        <w:tc>
          <w:tcPr>
            <w:tcW w:w="1541"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rPr>
            </w:pPr>
            <w:r>
              <w:rPr>
                <w:w w:val="100"/>
                <w:sz w:val="21"/>
              </w:rPr>
              <w:t>冬</w:t>
            </w:r>
          </w:p>
        </w:tc>
        <w:tc>
          <w:tcPr>
            <w:tcW w:w="1539"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rPr>
            </w:pPr>
            <w:r>
              <w:rPr>
                <w:w w:val="100"/>
                <w:sz w:val="21"/>
              </w:rPr>
              <w:t>年</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fixed"/>
          <w:tblCellMar>
            <w:top w:w="0" w:type="dxa"/>
            <w:left w:w="0" w:type="dxa"/>
            <w:bottom w:w="0" w:type="dxa"/>
            <w:right w:w="0" w:type="dxa"/>
          </w:tblCellMar>
        </w:tblPrEx>
        <w:trPr>
          <w:trHeight w:val="273" w:hRule="atLeast"/>
          <w:jc w:val="center"/>
        </w:trPr>
        <w:tc>
          <w:tcPr>
            <w:tcW w:w="149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rPr>
            </w:pPr>
            <w:r>
              <w:rPr>
                <w:rFonts w:ascii="Times New Roman" w:eastAsia="Times New Roman"/>
                <w:sz w:val="21"/>
              </w:rPr>
              <w:t xml:space="preserve">02 </w:t>
            </w:r>
            <w:r>
              <w:rPr>
                <w:sz w:val="21"/>
              </w:rPr>
              <w:t>时</w:t>
            </w:r>
          </w:p>
        </w:tc>
        <w:tc>
          <w:tcPr>
            <w:tcW w:w="146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1.5</w:t>
            </w:r>
          </w:p>
        </w:tc>
        <w:tc>
          <w:tcPr>
            <w:tcW w:w="1541"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1.3</w:t>
            </w:r>
          </w:p>
        </w:tc>
        <w:tc>
          <w:tcPr>
            <w:tcW w:w="1726"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1.2</w:t>
            </w:r>
          </w:p>
        </w:tc>
        <w:tc>
          <w:tcPr>
            <w:tcW w:w="1541"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1.3</w:t>
            </w:r>
          </w:p>
        </w:tc>
        <w:tc>
          <w:tcPr>
            <w:tcW w:w="1539"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1.3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fixed"/>
          <w:tblCellMar>
            <w:top w:w="0" w:type="dxa"/>
            <w:left w:w="0" w:type="dxa"/>
            <w:bottom w:w="0" w:type="dxa"/>
            <w:right w:w="0" w:type="dxa"/>
          </w:tblCellMar>
        </w:tblPrEx>
        <w:trPr>
          <w:trHeight w:val="270" w:hRule="atLeast"/>
          <w:jc w:val="center"/>
        </w:trPr>
        <w:tc>
          <w:tcPr>
            <w:tcW w:w="149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rPr>
            </w:pPr>
            <w:r>
              <w:rPr>
                <w:rFonts w:ascii="Times New Roman" w:eastAsia="Times New Roman"/>
                <w:sz w:val="21"/>
              </w:rPr>
              <w:t xml:space="preserve">08 </w:t>
            </w:r>
            <w:r>
              <w:rPr>
                <w:sz w:val="21"/>
              </w:rPr>
              <w:t>时</w:t>
            </w:r>
          </w:p>
        </w:tc>
        <w:tc>
          <w:tcPr>
            <w:tcW w:w="146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1.8</w:t>
            </w:r>
          </w:p>
        </w:tc>
        <w:tc>
          <w:tcPr>
            <w:tcW w:w="1541"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1.6</w:t>
            </w:r>
          </w:p>
        </w:tc>
        <w:tc>
          <w:tcPr>
            <w:tcW w:w="1726"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1.4</w:t>
            </w:r>
          </w:p>
        </w:tc>
        <w:tc>
          <w:tcPr>
            <w:tcW w:w="1541"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1.4</w:t>
            </w:r>
          </w:p>
        </w:tc>
        <w:tc>
          <w:tcPr>
            <w:tcW w:w="1539"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1.6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fixed"/>
          <w:tblCellMar>
            <w:top w:w="0" w:type="dxa"/>
            <w:left w:w="0" w:type="dxa"/>
            <w:bottom w:w="0" w:type="dxa"/>
            <w:right w:w="0" w:type="dxa"/>
          </w:tblCellMar>
        </w:tblPrEx>
        <w:trPr>
          <w:trHeight w:val="273" w:hRule="atLeast"/>
          <w:jc w:val="center"/>
        </w:trPr>
        <w:tc>
          <w:tcPr>
            <w:tcW w:w="149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rPr>
            </w:pPr>
            <w:r>
              <w:rPr>
                <w:rFonts w:ascii="Times New Roman" w:eastAsia="Times New Roman"/>
                <w:sz w:val="21"/>
              </w:rPr>
              <w:t xml:space="preserve">14 </w:t>
            </w:r>
            <w:r>
              <w:rPr>
                <w:sz w:val="21"/>
              </w:rPr>
              <w:t>时</w:t>
            </w:r>
          </w:p>
        </w:tc>
        <w:tc>
          <w:tcPr>
            <w:tcW w:w="146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2.3</w:t>
            </w:r>
          </w:p>
        </w:tc>
        <w:tc>
          <w:tcPr>
            <w:tcW w:w="1541"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2.2</w:t>
            </w:r>
          </w:p>
        </w:tc>
        <w:tc>
          <w:tcPr>
            <w:tcW w:w="1726"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2.1</w:t>
            </w:r>
          </w:p>
        </w:tc>
        <w:tc>
          <w:tcPr>
            <w:tcW w:w="1541"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2.1</w:t>
            </w:r>
          </w:p>
        </w:tc>
        <w:tc>
          <w:tcPr>
            <w:tcW w:w="1539"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2.2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fixed"/>
          <w:tblCellMar>
            <w:top w:w="0" w:type="dxa"/>
            <w:left w:w="0" w:type="dxa"/>
            <w:bottom w:w="0" w:type="dxa"/>
            <w:right w:w="0" w:type="dxa"/>
          </w:tblCellMar>
        </w:tblPrEx>
        <w:trPr>
          <w:trHeight w:val="273" w:hRule="atLeast"/>
          <w:jc w:val="center"/>
        </w:trPr>
        <w:tc>
          <w:tcPr>
            <w:tcW w:w="149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rPr>
            </w:pPr>
            <w:r>
              <w:rPr>
                <w:rFonts w:ascii="Times New Roman" w:eastAsia="Times New Roman"/>
                <w:sz w:val="21"/>
              </w:rPr>
              <w:t xml:space="preserve">20 </w:t>
            </w:r>
            <w:r>
              <w:rPr>
                <w:sz w:val="21"/>
              </w:rPr>
              <w:t>时</w:t>
            </w:r>
          </w:p>
        </w:tc>
        <w:tc>
          <w:tcPr>
            <w:tcW w:w="146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1.7</w:t>
            </w:r>
          </w:p>
        </w:tc>
        <w:tc>
          <w:tcPr>
            <w:tcW w:w="1541"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1.6</w:t>
            </w:r>
          </w:p>
        </w:tc>
        <w:tc>
          <w:tcPr>
            <w:tcW w:w="1726"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1.4</w:t>
            </w:r>
          </w:p>
        </w:tc>
        <w:tc>
          <w:tcPr>
            <w:tcW w:w="1541"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1.5</w:t>
            </w:r>
          </w:p>
        </w:tc>
        <w:tc>
          <w:tcPr>
            <w:tcW w:w="1539"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1.5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fixed"/>
          <w:tblCellMar>
            <w:top w:w="0" w:type="dxa"/>
            <w:left w:w="0" w:type="dxa"/>
            <w:bottom w:w="0" w:type="dxa"/>
            <w:right w:w="0" w:type="dxa"/>
          </w:tblCellMar>
        </w:tblPrEx>
        <w:trPr>
          <w:trHeight w:val="272" w:hRule="atLeast"/>
          <w:jc w:val="center"/>
        </w:trPr>
        <w:tc>
          <w:tcPr>
            <w:tcW w:w="1493"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rPr>
            </w:pPr>
            <w:r>
              <w:rPr>
                <w:sz w:val="21"/>
              </w:rPr>
              <w:t>日平均</w:t>
            </w:r>
          </w:p>
        </w:tc>
        <w:tc>
          <w:tcPr>
            <w:tcW w:w="146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1.8</w:t>
            </w:r>
          </w:p>
        </w:tc>
        <w:tc>
          <w:tcPr>
            <w:tcW w:w="1541"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1.7</w:t>
            </w:r>
          </w:p>
        </w:tc>
        <w:tc>
          <w:tcPr>
            <w:tcW w:w="1726"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1.5</w:t>
            </w:r>
          </w:p>
        </w:tc>
        <w:tc>
          <w:tcPr>
            <w:tcW w:w="1541"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1.6</w:t>
            </w:r>
          </w:p>
        </w:tc>
        <w:tc>
          <w:tcPr>
            <w:tcW w:w="1539"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sz w:val="21"/>
              </w:rPr>
            </w:pPr>
            <w:r>
              <w:rPr>
                <w:rFonts w:ascii="Times New Roman"/>
                <w:sz w:val="21"/>
              </w:rPr>
              <w:t>1.6</w:t>
            </w:r>
          </w:p>
        </w:tc>
      </w:tr>
    </w:tbl>
    <w:p>
      <w:pPr>
        <w:pStyle w:val="12"/>
        <w:spacing w:before="67"/>
        <w:ind w:left="718"/>
        <w:rPr>
          <w:rFonts w:hint="default" w:ascii="Times New Roman" w:hAnsi="Times New Roman" w:eastAsia="宋体" w:cs="Times New Roman"/>
          <w:sz w:val="24"/>
          <w:szCs w:val="32"/>
        </w:rPr>
      </w:pPr>
      <w:r>
        <w:rPr>
          <w:rFonts w:hint="default" w:ascii="Times New Roman" w:hAnsi="Times New Roman" w:eastAsia="宋体" w:cs="Times New Roman"/>
          <w:sz w:val="24"/>
          <w:szCs w:val="32"/>
          <w:lang w:eastAsia="zh-CN"/>
        </w:rPr>
        <w:t>（</w:t>
      </w:r>
      <w:r>
        <w:rPr>
          <w:rFonts w:hint="default" w:ascii="Times New Roman" w:hAnsi="Times New Roman" w:eastAsia="宋体" w:cs="Times New Roman"/>
          <w:sz w:val="24"/>
          <w:szCs w:val="32"/>
          <w:lang w:val="en-US" w:eastAsia="zh-CN"/>
        </w:rPr>
        <w:t>3</w:t>
      </w:r>
      <w:r>
        <w:rPr>
          <w:rFonts w:hint="default" w:ascii="Times New Roman" w:hAnsi="Times New Roman" w:eastAsia="宋体" w:cs="Times New Roman"/>
          <w:sz w:val="24"/>
          <w:szCs w:val="32"/>
          <w:lang w:eastAsia="zh-CN"/>
        </w:rPr>
        <w:t>）</w:t>
      </w:r>
      <w:r>
        <w:rPr>
          <w:rFonts w:hint="default" w:ascii="Times New Roman" w:hAnsi="Times New Roman" w:eastAsia="宋体" w:cs="Times New Roman"/>
          <w:sz w:val="24"/>
          <w:szCs w:val="32"/>
        </w:rPr>
        <w:t>风向和风频</w:t>
      </w:r>
    </w:p>
    <w:p>
      <w:pPr>
        <w:pStyle w:val="12"/>
        <w:keepNext w:val="0"/>
        <w:keepLines w:val="0"/>
        <w:pageBreakBefore w:val="0"/>
        <w:widowControl w:val="0"/>
        <w:kinsoku/>
        <w:wordWrap/>
        <w:overflowPunct/>
        <w:topLinePunct w:val="0"/>
        <w:autoSpaceDE/>
        <w:autoSpaceDN/>
        <w:bidi w:val="0"/>
        <w:adjustRightInd/>
        <w:snapToGrid/>
        <w:spacing w:after="0" w:line="360" w:lineRule="auto"/>
        <w:ind w:right="0" w:firstLine="464" w:firstLineChars="200"/>
        <w:jc w:val="both"/>
        <w:textAlignment w:val="auto"/>
        <w:rPr>
          <w:rFonts w:hint="default" w:ascii="Times New Roman" w:hAnsi="Times New Roman" w:eastAsia="宋体" w:cs="Times New Roman"/>
          <w:sz w:val="24"/>
          <w:szCs w:val="32"/>
        </w:rPr>
      </w:pPr>
      <w:r>
        <w:rPr>
          <w:rFonts w:hint="default" w:ascii="Times New Roman" w:hAnsi="Times New Roman" w:eastAsia="宋体" w:cs="Times New Roman"/>
          <w:spacing w:val="-4"/>
          <w:sz w:val="24"/>
          <w:szCs w:val="32"/>
        </w:rPr>
        <w:t xml:space="preserve">六安市年均风频的月变化、季节变化及年变化见表 </w:t>
      </w:r>
      <w:r>
        <w:rPr>
          <w:rFonts w:hint="default" w:ascii="Times New Roman" w:hAnsi="Times New Roman" w:eastAsia="宋体" w:cs="Times New Roman"/>
          <w:sz w:val="24"/>
          <w:szCs w:val="32"/>
        </w:rPr>
        <w:t>4.2-4</w:t>
      </w:r>
      <w:r>
        <w:rPr>
          <w:rFonts w:hint="default" w:ascii="Times New Roman" w:hAnsi="Times New Roman" w:eastAsia="宋体" w:cs="Times New Roman"/>
          <w:spacing w:val="-18"/>
          <w:sz w:val="24"/>
          <w:szCs w:val="32"/>
        </w:rPr>
        <w:t xml:space="preserve">。由表 </w:t>
      </w:r>
      <w:r>
        <w:rPr>
          <w:rFonts w:hint="default" w:ascii="Times New Roman" w:hAnsi="Times New Roman" w:eastAsia="宋体" w:cs="Times New Roman"/>
          <w:sz w:val="24"/>
          <w:szCs w:val="32"/>
        </w:rPr>
        <w:t xml:space="preserve">4.2-4 </w:t>
      </w:r>
      <w:r>
        <w:rPr>
          <w:rFonts w:hint="default" w:ascii="Times New Roman" w:hAnsi="Times New Roman" w:eastAsia="宋体" w:cs="Times New Roman"/>
          <w:spacing w:val="-5"/>
          <w:sz w:val="24"/>
          <w:szCs w:val="32"/>
        </w:rPr>
        <w:t>绘出年、季风</w:t>
      </w:r>
      <w:r>
        <w:rPr>
          <w:rFonts w:hint="default" w:ascii="Times New Roman" w:hAnsi="Times New Roman" w:eastAsia="宋体" w:cs="Times New Roman"/>
          <w:spacing w:val="-2"/>
          <w:sz w:val="24"/>
          <w:szCs w:val="32"/>
        </w:rPr>
        <w:t>向频率玫瑰图</w:t>
      </w:r>
      <w:r>
        <w:rPr>
          <w:rFonts w:hint="default" w:ascii="Times New Roman" w:hAnsi="Times New Roman" w:eastAsia="宋体" w:cs="Times New Roman"/>
          <w:sz w:val="24"/>
          <w:szCs w:val="32"/>
        </w:rPr>
        <w:t>（见下图</w:t>
      </w:r>
      <w:r>
        <w:rPr>
          <w:rFonts w:hint="default" w:ascii="Times New Roman" w:hAnsi="Times New Roman" w:eastAsia="宋体" w:cs="Times New Roman"/>
          <w:spacing w:val="-12"/>
          <w:sz w:val="24"/>
          <w:szCs w:val="32"/>
        </w:rPr>
        <w:t>）</w:t>
      </w:r>
      <w:r>
        <w:rPr>
          <w:rFonts w:hint="default" w:ascii="Times New Roman" w:hAnsi="Times New Roman" w:eastAsia="宋体" w:cs="Times New Roman"/>
          <w:spacing w:val="-18"/>
          <w:sz w:val="24"/>
          <w:szCs w:val="32"/>
        </w:rPr>
        <w:t xml:space="preserve">。由表 </w:t>
      </w:r>
      <w:r>
        <w:rPr>
          <w:rFonts w:hint="default" w:ascii="Times New Roman" w:hAnsi="Times New Roman" w:eastAsia="宋体" w:cs="Times New Roman"/>
          <w:sz w:val="24"/>
          <w:szCs w:val="32"/>
        </w:rPr>
        <w:t xml:space="preserve">4.2-4 </w:t>
      </w:r>
      <w:r>
        <w:rPr>
          <w:rFonts w:hint="default" w:ascii="Times New Roman" w:hAnsi="Times New Roman" w:eastAsia="宋体" w:cs="Times New Roman"/>
          <w:spacing w:val="-20"/>
          <w:sz w:val="24"/>
          <w:szCs w:val="32"/>
        </w:rPr>
        <w:t xml:space="preserve">和图 </w:t>
      </w:r>
      <w:r>
        <w:rPr>
          <w:rFonts w:hint="default" w:ascii="Times New Roman" w:hAnsi="Times New Roman" w:eastAsia="宋体" w:cs="Times New Roman"/>
          <w:sz w:val="24"/>
          <w:szCs w:val="32"/>
        </w:rPr>
        <w:t xml:space="preserve">4.2-3 </w:t>
      </w:r>
      <w:r>
        <w:rPr>
          <w:rFonts w:hint="default" w:ascii="Times New Roman" w:hAnsi="Times New Roman" w:eastAsia="宋体" w:cs="Times New Roman"/>
          <w:spacing w:val="-8"/>
          <w:sz w:val="24"/>
          <w:szCs w:val="32"/>
        </w:rPr>
        <w:t xml:space="preserve">可知，六安市全年主导风向为 </w:t>
      </w:r>
      <w:r>
        <w:rPr>
          <w:rFonts w:hint="default" w:ascii="Times New Roman" w:hAnsi="Times New Roman" w:eastAsia="宋体" w:cs="Times New Roman"/>
          <w:spacing w:val="-7"/>
          <w:sz w:val="24"/>
          <w:szCs w:val="32"/>
        </w:rPr>
        <w:t>E</w:t>
      </w:r>
      <w:r>
        <w:rPr>
          <w:rFonts w:hint="default" w:ascii="Times New Roman" w:hAnsi="Times New Roman" w:eastAsia="宋体" w:cs="Times New Roman"/>
          <w:spacing w:val="-3"/>
          <w:sz w:val="24"/>
          <w:szCs w:val="32"/>
        </w:rPr>
        <w:t>，频率</w:t>
      </w:r>
      <w:r>
        <w:rPr>
          <w:rFonts w:hint="default" w:ascii="Times New Roman" w:hAnsi="Times New Roman" w:eastAsia="宋体" w:cs="Times New Roman"/>
          <w:spacing w:val="-30"/>
          <w:sz w:val="24"/>
          <w:szCs w:val="32"/>
        </w:rPr>
        <w:t xml:space="preserve">为 </w:t>
      </w:r>
      <w:r>
        <w:rPr>
          <w:rFonts w:hint="default" w:ascii="Times New Roman" w:hAnsi="Times New Roman" w:eastAsia="宋体" w:cs="Times New Roman"/>
          <w:spacing w:val="-3"/>
          <w:sz w:val="24"/>
          <w:szCs w:val="32"/>
        </w:rPr>
        <w:t>12.56%</w:t>
      </w:r>
      <w:r>
        <w:rPr>
          <w:rFonts w:hint="default" w:ascii="Times New Roman" w:hAnsi="Times New Roman" w:eastAsia="宋体" w:cs="Times New Roman"/>
          <w:spacing w:val="-9"/>
          <w:sz w:val="24"/>
          <w:szCs w:val="32"/>
        </w:rPr>
        <w:t xml:space="preserve">；次主导风向为 </w:t>
      </w:r>
      <w:r>
        <w:rPr>
          <w:rFonts w:hint="default" w:ascii="Times New Roman" w:hAnsi="Times New Roman" w:eastAsia="宋体" w:cs="Times New Roman"/>
          <w:spacing w:val="-4"/>
          <w:sz w:val="24"/>
          <w:szCs w:val="32"/>
        </w:rPr>
        <w:t>ESE</w:t>
      </w:r>
      <w:r>
        <w:rPr>
          <w:rFonts w:hint="default" w:ascii="Times New Roman" w:hAnsi="Times New Roman" w:eastAsia="宋体" w:cs="Times New Roman"/>
          <w:spacing w:val="-13"/>
          <w:sz w:val="24"/>
          <w:szCs w:val="32"/>
        </w:rPr>
        <w:t xml:space="preserve">，频率为 </w:t>
      </w:r>
      <w:r>
        <w:rPr>
          <w:rFonts w:hint="default" w:ascii="Times New Roman" w:hAnsi="Times New Roman" w:eastAsia="宋体" w:cs="Times New Roman"/>
          <w:spacing w:val="-5"/>
          <w:sz w:val="24"/>
          <w:szCs w:val="32"/>
        </w:rPr>
        <w:t>11.1%</w:t>
      </w:r>
      <w:r>
        <w:rPr>
          <w:rFonts w:hint="default" w:ascii="Times New Roman" w:hAnsi="Times New Roman" w:eastAsia="宋体" w:cs="Times New Roman"/>
          <w:spacing w:val="-10"/>
          <w:sz w:val="24"/>
          <w:szCs w:val="32"/>
        </w:rPr>
        <w:t xml:space="preserve">；冬主导风向 </w:t>
      </w:r>
      <w:r>
        <w:rPr>
          <w:rFonts w:hint="default" w:ascii="Times New Roman" w:hAnsi="Times New Roman" w:eastAsia="宋体" w:cs="Times New Roman"/>
          <w:spacing w:val="-5"/>
          <w:sz w:val="24"/>
          <w:szCs w:val="32"/>
        </w:rPr>
        <w:t>ESE</w:t>
      </w:r>
      <w:r>
        <w:rPr>
          <w:rFonts w:hint="default" w:ascii="Times New Roman" w:hAnsi="Times New Roman" w:eastAsia="宋体" w:cs="Times New Roman"/>
          <w:spacing w:val="-8"/>
          <w:sz w:val="24"/>
          <w:szCs w:val="32"/>
        </w:rPr>
        <w:t>；春季、夏季、秋季主</w:t>
      </w:r>
      <w:r>
        <w:rPr>
          <w:rFonts w:hint="default" w:ascii="Times New Roman" w:hAnsi="Times New Roman" w:eastAsia="宋体" w:cs="Times New Roman"/>
          <w:spacing w:val="-11"/>
          <w:sz w:val="24"/>
          <w:szCs w:val="32"/>
        </w:rPr>
        <w:t xml:space="preserve">导风向为 </w:t>
      </w:r>
      <w:r>
        <w:rPr>
          <w:rFonts w:hint="default" w:ascii="Times New Roman" w:hAnsi="Times New Roman" w:eastAsia="宋体" w:cs="Times New Roman"/>
          <w:sz w:val="24"/>
          <w:szCs w:val="32"/>
        </w:rPr>
        <w:t>ESE</w:t>
      </w:r>
      <w:r>
        <w:rPr>
          <w:rFonts w:hint="default" w:ascii="Times New Roman" w:hAnsi="Times New Roman" w:eastAsia="宋体" w:cs="Times New Roman"/>
          <w:spacing w:val="-7"/>
          <w:sz w:val="24"/>
          <w:szCs w:val="32"/>
        </w:rPr>
        <w:t xml:space="preserve">；秋季主导风向为 </w:t>
      </w:r>
      <w:r>
        <w:rPr>
          <w:rFonts w:hint="default" w:ascii="Times New Roman" w:hAnsi="Times New Roman" w:eastAsia="宋体" w:cs="Times New Roman"/>
          <w:sz w:val="24"/>
          <w:szCs w:val="32"/>
        </w:rPr>
        <w:t>E</w:t>
      </w:r>
      <w:r>
        <w:rPr>
          <w:rFonts w:hint="default" w:ascii="Times New Roman" w:hAnsi="Times New Roman" w:eastAsia="宋体" w:cs="Times New Roman"/>
          <w:spacing w:val="-14"/>
          <w:sz w:val="24"/>
          <w:szCs w:val="32"/>
        </w:rPr>
        <w:t xml:space="preserve">；全年 </w:t>
      </w:r>
      <w:r>
        <w:rPr>
          <w:rFonts w:hint="default" w:ascii="Times New Roman" w:hAnsi="Times New Roman" w:eastAsia="宋体" w:cs="Times New Roman"/>
          <w:sz w:val="24"/>
          <w:szCs w:val="32"/>
        </w:rPr>
        <w:t xml:space="preserve">WSW </w:t>
      </w:r>
      <w:r>
        <w:rPr>
          <w:rFonts w:hint="default" w:ascii="Times New Roman" w:hAnsi="Times New Roman" w:eastAsia="宋体" w:cs="Times New Roman"/>
          <w:spacing w:val="-6"/>
          <w:sz w:val="24"/>
          <w:szCs w:val="32"/>
        </w:rPr>
        <w:t xml:space="preserve">风向出现的频率较低，为 </w:t>
      </w:r>
      <w:r>
        <w:rPr>
          <w:rFonts w:hint="default" w:ascii="Times New Roman" w:hAnsi="Times New Roman" w:eastAsia="宋体" w:cs="Times New Roman"/>
          <w:sz w:val="24"/>
          <w:szCs w:val="32"/>
        </w:rPr>
        <w:t>3.81%。全年</w:t>
      </w:r>
      <w:r>
        <w:rPr>
          <w:rFonts w:hint="default" w:ascii="Times New Roman" w:hAnsi="Times New Roman" w:eastAsia="宋体" w:cs="Times New Roman"/>
          <w:spacing w:val="-4"/>
          <w:sz w:val="24"/>
          <w:szCs w:val="32"/>
        </w:rPr>
        <w:t xml:space="preserve">静风占有一定的比例，全年静风频率为 </w:t>
      </w:r>
      <w:r>
        <w:rPr>
          <w:rFonts w:hint="default" w:ascii="Times New Roman" w:hAnsi="Times New Roman" w:eastAsia="宋体" w:cs="Times New Roman"/>
          <w:sz w:val="24"/>
          <w:szCs w:val="32"/>
        </w:rPr>
        <w:t>0.34%，静风比例较小。</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s="Times New Roman"/>
          <w:sz w:val="24"/>
          <w:szCs w:val="32"/>
          <w:lang w:eastAsia="zh-CN"/>
        </w:rPr>
        <w:sectPr>
          <w:pgSz w:w="11910" w:h="16840"/>
          <w:pgMar w:top="1220" w:right="860" w:bottom="1640" w:left="1180" w:header="877" w:footer="1448" w:gutter="0"/>
          <w:pgBorders>
            <w:top w:val="none" w:sz="0" w:space="0"/>
            <w:left w:val="none" w:sz="0" w:space="0"/>
            <w:bottom w:val="none" w:sz="0" w:space="0"/>
            <w:right w:val="none" w:sz="0" w:space="0"/>
          </w:pgBorders>
          <w:cols w:space="720" w:num="1"/>
        </w:sectPr>
      </w:pPr>
      <w:r>
        <w:rPr>
          <w:rFonts w:hint="default" w:ascii="Times New Roman" w:hAnsi="Times New Roman" w:eastAsia="宋体" w:cs="Times New Roman"/>
          <w:sz w:val="24"/>
          <w:szCs w:val="32"/>
        </w:rPr>
        <w:t>根据多年气象统计资料表明，开发区选址总体不位于六安市主导风向上风向</w:t>
      </w:r>
      <w:r>
        <w:rPr>
          <w:rFonts w:hint="eastAsia" w:ascii="Times New Roman" w:hAnsi="Times New Roman" w:eastAsia="宋体" w:cs="Times New Roman"/>
          <w:sz w:val="24"/>
          <w:szCs w:val="32"/>
          <w:lang w:eastAsia="zh-CN"/>
        </w:rPr>
        <w:t>。</w:t>
      </w:r>
    </w:p>
    <w:p>
      <w:pPr>
        <w:keepNext w:val="0"/>
        <w:keepLines w:val="0"/>
        <w:pageBreakBefore w:val="0"/>
        <w:widowControl w:val="0"/>
        <w:tabs>
          <w:tab w:val="left" w:pos="1161"/>
        </w:tabs>
        <w:kinsoku/>
        <w:wordWrap/>
        <w:overflowPunct/>
        <w:topLinePunct w:val="0"/>
        <w:autoSpaceDE/>
        <w:autoSpaceDN/>
        <w:bidi w:val="0"/>
        <w:adjustRightInd w:val="0"/>
        <w:snapToGrid w:val="0"/>
        <w:spacing w:line="240" w:lineRule="auto"/>
        <w:ind w:left="0" w:right="0" w:firstLine="0"/>
        <w:jc w:val="center"/>
        <w:textAlignment w:val="auto"/>
        <w:rPr>
          <w:b/>
          <w:sz w:val="24"/>
        </w:rPr>
      </w:pPr>
      <w:r>
        <w:rPr>
          <w:b/>
          <w:sz w:val="24"/>
        </w:rPr>
        <w:t>表</w:t>
      </w:r>
      <w:r>
        <w:rPr>
          <w:b/>
          <w:spacing w:val="-60"/>
          <w:sz w:val="24"/>
        </w:rPr>
        <w:t xml:space="preserve"> </w:t>
      </w:r>
      <w:r>
        <w:rPr>
          <w:rFonts w:ascii="Times New Roman" w:eastAsia="Times New Roman"/>
          <w:b/>
          <w:sz w:val="24"/>
        </w:rPr>
        <w:t>4.2-4</w:t>
      </w:r>
      <w:r>
        <w:rPr>
          <w:rFonts w:ascii="Times New Roman" w:eastAsia="Times New Roman"/>
          <w:b/>
          <w:sz w:val="24"/>
        </w:rPr>
        <w:tab/>
      </w:r>
      <w:r>
        <w:rPr>
          <w:b/>
          <w:sz w:val="24"/>
        </w:rPr>
        <w:t>六安市各风向出现频率（</w:t>
      </w:r>
      <w:r>
        <w:rPr>
          <w:rFonts w:ascii="Times New Roman" w:eastAsia="Times New Roman"/>
          <w:b/>
          <w:sz w:val="24"/>
        </w:rPr>
        <w:t>%</w:t>
      </w:r>
      <w:r>
        <w:rPr>
          <w:b/>
          <w:sz w:val="24"/>
        </w:rPr>
        <w:t>）</w:t>
      </w:r>
    </w:p>
    <w:tbl>
      <w:tblPr>
        <w:tblStyle w:val="22"/>
        <w:tblW w:w="14227" w:type="dxa"/>
        <w:jc w:val="center"/>
        <w:tblInd w:w="109"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1034"/>
        <w:gridCol w:w="775"/>
        <w:gridCol w:w="777"/>
        <w:gridCol w:w="777"/>
        <w:gridCol w:w="777"/>
        <w:gridCol w:w="775"/>
        <w:gridCol w:w="777"/>
        <w:gridCol w:w="777"/>
        <w:gridCol w:w="777"/>
        <w:gridCol w:w="775"/>
        <w:gridCol w:w="777"/>
        <w:gridCol w:w="775"/>
        <w:gridCol w:w="775"/>
        <w:gridCol w:w="777"/>
        <w:gridCol w:w="775"/>
        <w:gridCol w:w="775"/>
        <w:gridCol w:w="777"/>
        <w:gridCol w:w="775"/>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354" w:hRule="atLeast"/>
          <w:jc w:val="center"/>
        </w:trPr>
        <w:tc>
          <w:tcPr>
            <w:tcW w:w="103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月份</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100"/>
                <w:sz w:val="21"/>
                <w:szCs w:val="21"/>
              </w:rPr>
              <w:t>N</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NNE</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NE</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ENE</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100"/>
                <w:sz w:val="21"/>
                <w:szCs w:val="21"/>
              </w:rPr>
              <w:t>E</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ESE</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SE</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SSE</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100"/>
                <w:sz w:val="21"/>
                <w:szCs w:val="21"/>
              </w:rPr>
              <w:t>S</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SSW</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SW</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WSW</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100"/>
                <w:sz w:val="21"/>
                <w:szCs w:val="21"/>
              </w:rPr>
              <w:t>W</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WNW</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NW</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NNW</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静风</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21" w:hRule="atLeast"/>
          <w:jc w:val="center"/>
        </w:trPr>
        <w:tc>
          <w:tcPr>
            <w:tcW w:w="103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一月</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6.87</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6.74</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3.77</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3.64</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8.63</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11.32</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5.26</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4.99</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5.12</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5.26</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5.80</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5.93</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5.93</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6.60</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5.93</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8.22</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14" w:hRule="atLeast"/>
          <w:jc w:val="center"/>
        </w:trPr>
        <w:tc>
          <w:tcPr>
            <w:tcW w:w="103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二月</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5.51</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7.29</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9.97</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15.33</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14.29</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11.01</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5.36</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4.17</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1.49</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2.08</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2.83</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2.08</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4.61</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6.25</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5.80</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1.93</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05" w:hRule="atLeast"/>
          <w:jc w:val="center"/>
        </w:trPr>
        <w:tc>
          <w:tcPr>
            <w:tcW w:w="103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三月</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3.63</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5.24</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9.01</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11.16</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13.17</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17.47</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4.84</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6.05</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3.23</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4.97</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3.09</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2.28</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1.75</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3.36</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4.84</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5.24</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24" w:hRule="atLeast"/>
          <w:jc w:val="center"/>
        </w:trPr>
        <w:tc>
          <w:tcPr>
            <w:tcW w:w="103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四月</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3.61</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4.17</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3.89</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5.69</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17.92</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18.19</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8.47</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5.69</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4.44</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4.03</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5.97</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3.19</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3.33</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4.03</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3.19</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3.89</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0.28</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02" w:hRule="atLeast"/>
          <w:jc w:val="center"/>
        </w:trPr>
        <w:tc>
          <w:tcPr>
            <w:tcW w:w="103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五月</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2.96</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2.82</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5.38</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17.74</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9.95</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3.90</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5.78</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4.84</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4.57</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7.12</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5.38</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6.32</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7.93</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7.93</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4.84</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21" w:hRule="atLeast"/>
          <w:jc w:val="center"/>
        </w:trPr>
        <w:tc>
          <w:tcPr>
            <w:tcW w:w="103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六月</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1.25</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1.67</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2.36</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10.83</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13.47</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7.78</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10.28</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10.56</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9.44</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7.92</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4.72</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4.44</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2.36</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2.64</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0.28</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14" w:hRule="atLeast"/>
          <w:jc w:val="center"/>
        </w:trPr>
        <w:tc>
          <w:tcPr>
            <w:tcW w:w="103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七月</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3.63</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7.26</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6.45</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8.60</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17.20</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9.54</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7.39</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7.80</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6.32</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6.18</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5.51</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3.23</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1.75</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2.69</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2.28</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4.17</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22" w:hRule="atLeast"/>
          <w:jc w:val="center"/>
        </w:trPr>
        <w:tc>
          <w:tcPr>
            <w:tcW w:w="103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八月</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10.62</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15.05</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9.81</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7.12</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8.60</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5.91</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5.11</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5.91</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3.09</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3.23</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4.17</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2.55</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4.17</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6.05</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5.24</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2.96</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12" w:hRule="atLeast"/>
          <w:jc w:val="center"/>
        </w:trPr>
        <w:tc>
          <w:tcPr>
            <w:tcW w:w="103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九月</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8.33</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7.64</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11.67</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13.06</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17.64</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6.67</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2.78</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1.81</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1.81</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0.83</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3.19</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3.33</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2.22</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7.08</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4.44</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6.94</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05" w:hRule="atLeast"/>
          <w:jc w:val="center"/>
        </w:trPr>
        <w:tc>
          <w:tcPr>
            <w:tcW w:w="103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十月</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2.69</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2.28</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5.91</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7.12</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11.16</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12.50</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6.72</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5.11</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7.12</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6.59</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10.89</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5.78</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5.51</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5.11</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3.63</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1.61</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24" w:hRule="atLeast"/>
          <w:jc w:val="center"/>
        </w:trPr>
        <w:tc>
          <w:tcPr>
            <w:tcW w:w="103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十一月</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8.75</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8.33</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6.11</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3.61</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5.56</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7.78</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5.69</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5.14</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4.31</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4.44</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5.42</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2.50</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4.17</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7.78</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9.86</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02" w:hRule="atLeast"/>
          <w:jc w:val="center"/>
        </w:trPr>
        <w:tc>
          <w:tcPr>
            <w:tcW w:w="103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十二月</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6.21</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7.83</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4.59</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7.02</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8.23</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9.45</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4.32</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3.37</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2.43</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3.64</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7.29</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4.32</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9.85</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9.72</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6.88</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4.32</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21" w:hRule="atLeast"/>
          <w:jc w:val="center"/>
        </w:trPr>
        <w:tc>
          <w:tcPr>
            <w:tcW w:w="103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全年</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5.33</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6.36</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6.27</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7.68</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12.56</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11.10</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5.63</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5.52</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4.58</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4.63</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5.79</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3.81</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4.53</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6.10</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5.03</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4.73</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17" w:hRule="atLeast"/>
          <w:jc w:val="center"/>
        </w:trPr>
        <w:tc>
          <w:tcPr>
            <w:tcW w:w="103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春季</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3.40</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4.08</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4.98</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7.43</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16.26</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15.17</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5.71</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5.84</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4.17</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4.53</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5.39</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3.62</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3.80</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5.12</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5.34</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4.66</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19" w:hRule="atLeast"/>
          <w:jc w:val="center"/>
        </w:trPr>
        <w:tc>
          <w:tcPr>
            <w:tcW w:w="103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夏季</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5.21</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8.06</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6.25</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6.93</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12.23</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9.60</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6.75</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7.97</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6.61</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6.25</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5.84</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3.58</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3.53</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4.39</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3.31</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3.26</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12" w:hRule="atLeast"/>
          <w:jc w:val="center"/>
        </w:trPr>
        <w:tc>
          <w:tcPr>
            <w:tcW w:w="103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秋季</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6.55</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6.04</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7.88</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7.92</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11.45</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9.02</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5.08</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4.03</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4.44</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3.98</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6.55</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3.89</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3.98</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7.37</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5.27</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6.09</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19" w:hRule="atLeast"/>
          <w:jc w:val="center"/>
        </w:trPr>
        <w:tc>
          <w:tcPr>
            <w:tcW w:w="1034"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冬季</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6.22</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7.29</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5.99</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8.45</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10.26</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10.58</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4.97</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4.18</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3.06</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3.71</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5.38</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4.18</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6.87</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7.56</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6.22</w:t>
            </w:r>
          </w:p>
        </w:tc>
        <w:tc>
          <w:tcPr>
            <w:tcW w:w="77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4.92</w:t>
            </w:r>
          </w:p>
        </w:tc>
        <w:tc>
          <w:tcPr>
            <w:tcW w:w="775"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0.19</w:t>
            </w:r>
          </w:p>
        </w:tc>
      </w:tr>
    </w:tbl>
    <w:p>
      <w:pPr>
        <w:pStyle w:val="12"/>
        <w:rPr>
          <w:b/>
          <w:sz w:val="26"/>
        </w:rPr>
      </w:pPr>
    </w:p>
    <w:p>
      <w:pPr>
        <w:pStyle w:val="12"/>
        <w:spacing w:before="2"/>
        <w:rPr>
          <w:b/>
          <w:sz w:val="30"/>
        </w:rPr>
      </w:pPr>
    </w:p>
    <w:p>
      <w:pPr>
        <w:spacing w:before="0"/>
        <w:ind w:left="0" w:right="15" w:firstLine="0"/>
        <w:jc w:val="center"/>
        <w:rPr>
          <w:rFonts w:ascii="Times New Roman"/>
          <w:sz w:val="18"/>
        </w:rPr>
      </w:pPr>
      <w:r>
        <w:rPr>
          <w:rFonts w:ascii="Times New Roman"/>
          <w:sz w:val="18"/>
        </w:rPr>
        <w:t>78</w:t>
      </w:r>
    </w:p>
    <w:p>
      <w:pPr>
        <w:spacing w:after="0"/>
        <w:jc w:val="center"/>
        <w:rPr>
          <w:rFonts w:ascii="Times New Roman"/>
          <w:sz w:val="18"/>
        </w:rPr>
        <w:sectPr>
          <w:headerReference r:id="rId9" w:type="default"/>
          <w:footerReference r:id="rId10" w:type="default"/>
          <w:pgSz w:w="16840" w:h="11910" w:orient="landscape"/>
          <w:pgMar w:top="800" w:right="1160" w:bottom="280" w:left="1180" w:header="0" w:footer="0" w:gutter="0"/>
          <w:pgBorders>
            <w:top w:val="none" w:sz="0" w:space="0"/>
            <w:left w:val="none" w:sz="0" w:space="0"/>
            <w:bottom w:val="none" w:sz="0" w:space="0"/>
            <w:right w:val="none" w:sz="0" w:space="0"/>
          </w:pgBorders>
          <w:cols w:space="720" w:num="1"/>
        </w:sectPr>
      </w:pPr>
    </w:p>
    <w:p>
      <w:pPr>
        <w:pStyle w:val="12"/>
        <w:ind w:left="332"/>
        <w:rPr>
          <w:rFonts w:ascii="Times New Roman"/>
          <w:sz w:val="20"/>
        </w:rPr>
      </w:pPr>
      <w:r>
        <w:rPr>
          <w:rFonts w:ascii="Times New Roman"/>
          <w:sz w:val="20"/>
        </w:rPr>
        <mc:AlternateContent>
          <mc:Choice Requires="wpg">
            <w:drawing>
              <wp:anchor distT="0" distB="0" distL="114300" distR="114300" simplePos="0" relativeHeight="252131328" behindDoc="0" locked="0" layoutInCell="1" allowOverlap="1">
                <wp:simplePos x="0" y="0"/>
                <wp:positionH relativeFrom="column">
                  <wp:posOffset>-74295</wp:posOffset>
                </wp:positionH>
                <wp:positionV relativeFrom="paragraph">
                  <wp:posOffset>74295</wp:posOffset>
                </wp:positionV>
                <wp:extent cx="5561330" cy="8112760"/>
                <wp:effectExtent l="635" t="0" r="635" b="2540"/>
                <wp:wrapSquare wrapText="bothSides"/>
                <wp:docPr id="246" name="组合 246"/>
                <wp:cNvGraphicFramePr/>
                <a:graphic xmlns:a="http://schemas.openxmlformats.org/drawingml/2006/main">
                  <a:graphicData uri="http://schemas.microsoft.com/office/word/2010/wordprocessingGroup">
                    <wpg:wgp>
                      <wpg:cNvGrpSpPr/>
                      <wpg:grpSpPr>
                        <a:xfrm>
                          <a:off x="0" y="0"/>
                          <a:ext cx="5561330" cy="8112760"/>
                          <a:chOff x="0" y="0"/>
                          <a:chExt cx="8758" cy="12776"/>
                        </a:xfrm>
                        <a:effectLst/>
                      </wpg:grpSpPr>
                      <pic:pic xmlns:pic="http://schemas.openxmlformats.org/drawingml/2006/picture">
                        <pic:nvPicPr>
                          <pic:cNvPr id="244" name="图片 274"/>
                          <pic:cNvPicPr>
                            <a:picLocks noChangeAspect="1"/>
                          </pic:cNvPicPr>
                        </pic:nvPicPr>
                        <pic:blipFill>
                          <a:blip r:embed="rId31"/>
                          <a:stretch>
                            <a:fillRect/>
                          </a:stretch>
                        </pic:blipFill>
                        <pic:spPr>
                          <a:xfrm>
                            <a:off x="14" y="14"/>
                            <a:ext cx="8729" cy="12747"/>
                          </a:xfrm>
                          <a:prstGeom prst="rect">
                            <a:avLst/>
                          </a:prstGeom>
                          <a:noFill/>
                          <a:ln>
                            <a:noFill/>
                          </a:ln>
                          <a:effectLst/>
                        </pic:spPr>
                      </pic:pic>
                      <wps:wsp>
                        <wps:cNvPr id="245" name="矩形 275"/>
                        <wps:cNvSpPr/>
                        <wps:spPr>
                          <a:xfrm>
                            <a:off x="7" y="7"/>
                            <a:ext cx="8744" cy="12761"/>
                          </a:xfrm>
                          <a:prstGeom prst="rect">
                            <a:avLst/>
                          </a:prstGeom>
                          <a:noFill/>
                          <a:ln w="9144" cap="flat" cmpd="sng">
                            <a:solidFill>
                              <a:srgbClr val="8DB3E2"/>
                            </a:solidFill>
                            <a:prstDash val="solid"/>
                            <a:miter/>
                            <a:headEnd type="none" w="med" len="med"/>
                            <a:tailEnd type="none" w="med" len="med"/>
                          </a:ln>
                          <a:effectLst/>
                        </wps:spPr>
                        <wps:bodyPr upright="1"/>
                      </wps:wsp>
                    </wpg:wgp>
                  </a:graphicData>
                </a:graphic>
              </wp:anchor>
            </w:drawing>
          </mc:Choice>
          <mc:Fallback>
            <w:pict>
              <v:group id="_x0000_s1026" o:spid="_x0000_s1026" o:spt="203" style="position:absolute;left:0pt;margin-left:-5.85pt;margin-top:5.85pt;height:638.8pt;width:437.9pt;mso-wrap-distance-bottom:0pt;mso-wrap-distance-left:9pt;mso-wrap-distance-right:9pt;mso-wrap-distance-top:0pt;z-index:252131328;mso-width-relative:page;mso-height-relative:page;" coordsize="8758,12776" o:gfxdata="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">
                <o:lock v:ext="edit" aspectratio="f"/>
                <v:shape id="图片 274" o:spid="_x0000_s1026" o:spt="75" type="#_x0000_t75" style="position:absolute;left:14;top:14;height:12747;width:8729;" filled="f" o:preferrelative="t" stroked="f" coordsize="21600,21600" o:gfxdata="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TwCL4A&#10;AADcAAAADwAAAAAAAAABACAAAAAiAAAAZHJzL2Rvd25yZXYueG1sUEsBAhQAFAAAAAgAh07iQDMv&#10;BZ47AAAAOQAAABAAAAAAAAAAAQAgAAAADQEAAGRycy9zaGFwZXhtbC54bWxQSwUGAAAAAAYABgBb&#10;AQAAtwMAAAAA&#10;">
                  <v:fill on="f" focussize="0,0"/>
                  <v:stroke on="f"/>
                  <v:imagedata r:id="rId31" o:title=""/>
                  <o:lock v:ext="edit" aspectratio="t"/>
                </v:shape>
                <v:rect id="矩形 275" o:spid="_x0000_s1026" o:spt="1" style="position:absolute;left:7;top:7;height:12761;width:8744;" filled="f" stroked="t" coordsize="21600,21600" o:gfxdata="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2ACe/&#10;AAAA3AAAAA8AAAAAAAAAAQAgAAAAIgAAAGRycy9kb3ducmV2LnhtbFBLAQIUABQAAAAIAIdO4kAz&#10;LwWeOwAAADkAAAAQAAAAAAAAAAEAIAAAAA4BAABkcnMvc2hhcGV4bWwueG1sUEsFBgAAAAAGAAYA&#10;WwEAALgDAAAAAA==&#10;">
                  <v:fill on="f" focussize="0,0"/>
                  <v:stroke weight="0.72pt" color="#8DB3E2" joinstyle="miter"/>
                  <v:imagedata o:title=""/>
                  <o:lock v:ext="edit" aspectratio="f"/>
                </v:rect>
                <w10:wrap type="square"/>
              </v:group>
            </w:pict>
          </mc:Fallback>
        </mc:AlternateContent>
      </w:r>
    </w:p>
    <w:p>
      <w:pPr>
        <w:pStyle w:val="6"/>
        <w:ind w:firstLine="480"/>
        <w:jc w:val="center"/>
        <w:rPr>
          <w:b/>
          <w:sz w:val="24"/>
        </w:rPr>
      </w:pPr>
      <w:r>
        <w:rPr>
          <w:b/>
          <w:sz w:val="24"/>
        </w:rPr>
        <w:t>图</w:t>
      </w:r>
      <w:r>
        <w:rPr>
          <w:b/>
          <w:spacing w:val="-60"/>
          <w:sz w:val="24"/>
        </w:rPr>
        <w:t xml:space="preserve"> </w:t>
      </w:r>
      <w:r>
        <w:rPr>
          <w:rFonts w:ascii="Times New Roman" w:eastAsia="Times New Roman"/>
          <w:b/>
          <w:sz w:val="24"/>
        </w:rPr>
        <w:t>4.2-3</w:t>
      </w:r>
      <w:r>
        <w:rPr>
          <w:rFonts w:ascii="Times New Roman" w:eastAsia="Times New Roman"/>
          <w:b/>
          <w:sz w:val="24"/>
        </w:rPr>
        <w:tab/>
      </w:r>
      <w:r>
        <w:rPr>
          <w:b/>
          <w:sz w:val="24"/>
        </w:rPr>
        <w:t>全年、各季风向玫瑰图</w:t>
      </w:r>
    </w:p>
    <w:p>
      <w:pPr>
        <w:pStyle w:val="6"/>
        <w:ind w:firstLine="480"/>
        <w:rPr>
          <w:b w:val="0"/>
        </w:rPr>
      </w:pPr>
      <w:r>
        <w:rPr>
          <w:b w:val="0"/>
        </w:rPr>
        <w:t>（4）预测模式</w:t>
      </w:r>
    </w:p>
    <w:p>
      <w:pPr>
        <w:ind w:firstLine="480" w:firstLineChars="200"/>
        <w:rPr>
          <w:sz w:val="24"/>
        </w:rPr>
      </w:pPr>
      <w:r>
        <w:rPr>
          <w:sz w:val="24"/>
        </w:rPr>
        <w:t>根据《环境影响评价技术导则 大气环境》（HJ2.2-2018），选择推荐模式中的估算模式（AERSCREEN），结合工程分析结果，计算各污染物的最大影响程度和最远影响范围。</w:t>
      </w:r>
    </w:p>
    <w:p>
      <w:pPr>
        <w:spacing w:line="480" w:lineRule="exact"/>
        <w:ind w:firstLine="482"/>
        <w:jc w:val="center"/>
        <w:rPr>
          <w:b/>
        </w:rPr>
      </w:pPr>
      <w:r>
        <w:rPr>
          <w:rFonts w:hint="eastAsia"/>
          <w:sz w:val="24"/>
        </w:rPr>
        <w:t xml:space="preserve"> </w:t>
      </w:r>
      <w:r>
        <w:rPr>
          <w:b/>
          <w:bCs/>
          <w:sz w:val="24"/>
          <w:szCs w:val="24"/>
        </w:rPr>
        <w:t>表4</w:t>
      </w:r>
      <w:r>
        <w:rPr>
          <w:rFonts w:hint="eastAsia"/>
          <w:b/>
          <w:bCs/>
          <w:sz w:val="24"/>
          <w:szCs w:val="24"/>
          <w:lang w:val="en-US" w:eastAsia="zh-CN"/>
        </w:rPr>
        <w:t>.</w:t>
      </w:r>
      <w:r>
        <w:rPr>
          <w:b/>
          <w:bCs/>
          <w:sz w:val="24"/>
          <w:szCs w:val="24"/>
        </w:rPr>
        <w:t xml:space="preserve">2-5  </w:t>
      </w:r>
      <w:r>
        <w:rPr>
          <w:rFonts w:hint="eastAsia"/>
          <w:b/>
          <w:bCs/>
          <w:sz w:val="24"/>
          <w:szCs w:val="24"/>
        </w:rPr>
        <w:t>估算模型参数</w:t>
      </w:r>
      <w:r>
        <w:rPr>
          <w:b/>
          <w:bCs/>
          <w:sz w:val="24"/>
          <w:szCs w:val="24"/>
        </w:rPr>
        <w:t>表</w:t>
      </w:r>
    </w:p>
    <w:tbl>
      <w:tblPr>
        <w:tblStyle w:val="22"/>
        <w:tblW w:w="900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3000"/>
        <w:gridCol w:w="30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000" w:type="dxa"/>
            <w:gridSpan w:val="2"/>
            <w:tcBorders>
              <w:tl2br w:val="nil"/>
              <w:tr2bl w:val="nil"/>
            </w:tcBorders>
            <w:vAlign w:val="center"/>
          </w:tcPr>
          <w:p>
            <w:pPr>
              <w:spacing w:line="240" w:lineRule="auto"/>
              <w:jc w:val="center"/>
            </w:pPr>
            <w:r>
              <w:rPr>
                <w:rFonts w:hint="eastAsia"/>
              </w:rPr>
              <w:t>参数</w:t>
            </w:r>
          </w:p>
        </w:tc>
        <w:tc>
          <w:tcPr>
            <w:tcW w:w="3000" w:type="dxa"/>
            <w:tcBorders>
              <w:tl2br w:val="nil"/>
              <w:tr2bl w:val="nil"/>
            </w:tcBorders>
            <w:vAlign w:val="center"/>
          </w:tcPr>
          <w:p>
            <w:pPr>
              <w:spacing w:line="240" w:lineRule="auto"/>
              <w:jc w:val="center"/>
            </w:pPr>
            <w:r>
              <w:rPr>
                <w:rFonts w:hint="eastAsia"/>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000" w:type="dxa"/>
            <w:vMerge w:val="restart"/>
            <w:tcBorders>
              <w:tl2br w:val="nil"/>
              <w:tr2bl w:val="nil"/>
            </w:tcBorders>
            <w:vAlign w:val="center"/>
          </w:tcPr>
          <w:p>
            <w:pPr>
              <w:spacing w:line="240" w:lineRule="auto"/>
              <w:jc w:val="center"/>
            </w:pPr>
            <w:r>
              <w:rPr>
                <w:rFonts w:hint="eastAsia"/>
              </w:rPr>
              <w:t>城市/农村选项</w:t>
            </w:r>
          </w:p>
        </w:tc>
        <w:tc>
          <w:tcPr>
            <w:tcW w:w="3000" w:type="dxa"/>
            <w:tcBorders>
              <w:tl2br w:val="nil"/>
              <w:tr2bl w:val="nil"/>
            </w:tcBorders>
            <w:vAlign w:val="center"/>
          </w:tcPr>
          <w:p>
            <w:pPr>
              <w:spacing w:line="240" w:lineRule="auto"/>
              <w:jc w:val="center"/>
            </w:pPr>
            <w:r>
              <w:rPr>
                <w:rFonts w:hint="eastAsia"/>
              </w:rPr>
              <w:t>城市/农村</w:t>
            </w:r>
          </w:p>
        </w:tc>
        <w:tc>
          <w:tcPr>
            <w:tcW w:w="3000" w:type="dxa"/>
            <w:tcBorders>
              <w:tl2br w:val="nil"/>
              <w:tr2bl w:val="nil"/>
            </w:tcBorders>
            <w:vAlign w:val="center"/>
          </w:tcPr>
          <w:p>
            <w:pPr>
              <w:spacing w:line="240" w:lineRule="auto"/>
              <w:jc w:val="center"/>
              <w:rPr>
                <w:rFonts w:hint="eastAsia" w:eastAsia="宋体"/>
                <w:lang w:eastAsia="zh-CN"/>
              </w:rPr>
            </w:pPr>
            <w:r>
              <w:rPr>
                <w:rFonts w:hint="eastAsia"/>
                <w:lang w:eastAsia="zh-CN"/>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000" w:type="dxa"/>
            <w:vMerge w:val="continue"/>
            <w:tcBorders>
              <w:tl2br w:val="nil"/>
              <w:tr2bl w:val="nil"/>
            </w:tcBorders>
            <w:vAlign w:val="center"/>
          </w:tcPr>
          <w:p>
            <w:pPr>
              <w:spacing w:line="240" w:lineRule="auto"/>
              <w:jc w:val="center"/>
            </w:pPr>
          </w:p>
        </w:tc>
        <w:tc>
          <w:tcPr>
            <w:tcW w:w="3000" w:type="dxa"/>
            <w:tcBorders>
              <w:tl2br w:val="nil"/>
              <w:tr2bl w:val="nil"/>
            </w:tcBorders>
            <w:vAlign w:val="center"/>
          </w:tcPr>
          <w:p>
            <w:pPr>
              <w:spacing w:line="240" w:lineRule="auto"/>
              <w:jc w:val="center"/>
            </w:pPr>
            <w:r>
              <w:rPr>
                <w:rFonts w:hint="eastAsia"/>
              </w:rPr>
              <w:t>人口数（城市选项时）</w:t>
            </w:r>
          </w:p>
        </w:tc>
        <w:tc>
          <w:tcPr>
            <w:tcW w:w="3000" w:type="dxa"/>
            <w:tcBorders>
              <w:tl2br w:val="nil"/>
              <w:tr2bl w:val="nil"/>
            </w:tcBorders>
            <w:vAlign w:val="center"/>
          </w:tcPr>
          <w:p>
            <w:pPr>
              <w:spacing w:line="240" w:lineRule="auto"/>
              <w:ind w:firstLine="0" w:firstLineChars="0"/>
              <w:jc w:val="center"/>
            </w:pPr>
            <w:r>
              <w:rPr>
                <w:rFonts w:hint="eastAsia"/>
                <w:sz w:val="21"/>
                <w:szCs w:val="21"/>
                <w:lang w:val="en-US" w:eastAsia="zh-CN"/>
              </w:rPr>
              <w:t>84.9万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000" w:type="dxa"/>
            <w:gridSpan w:val="2"/>
            <w:tcBorders>
              <w:tl2br w:val="nil"/>
              <w:tr2bl w:val="nil"/>
            </w:tcBorders>
            <w:vAlign w:val="center"/>
          </w:tcPr>
          <w:p>
            <w:pPr>
              <w:spacing w:line="240" w:lineRule="auto"/>
              <w:jc w:val="center"/>
            </w:pPr>
            <w:r>
              <w:rPr>
                <w:rFonts w:hint="eastAsia"/>
              </w:rPr>
              <w:t>最高环境温度（℃）</w:t>
            </w:r>
          </w:p>
        </w:tc>
        <w:tc>
          <w:tcPr>
            <w:tcW w:w="3000" w:type="dxa"/>
            <w:tcBorders>
              <w:tl2br w:val="nil"/>
              <w:tr2bl w:val="nil"/>
            </w:tcBorders>
            <w:vAlign w:val="center"/>
          </w:tcPr>
          <w:p>
            <w:pPr>
              <w:spacing w:line="240" w:lineRule="auto"/>
              <w:ind w:firstLine="0" w:firstLineChars="0"/>
              <w:jc w:val="center"/>
            </w:pPr>
            <w:r>
              <w:rPr>
                <w:sz w:val="21"/>
                <w:szCs w:val="21"/>
              </w:rPr>
              <w:t>4</w:t>
            </w:r>
            <w:r>
              <w:rPr>
                <w:rFonts w:hint="eastAsia"/>
                <w:sz w:val="21"/>
                <w:szCs w:val="21"/>
                <w:lang w:val="en-US" w:eastAsia="zh-CN"/>
              </w:rPr>
              <w:t>1.6</w:t>
            </w:r>
            <w:r>
              <w:rPr>
                <w:sz w:val="21"/>
                <w:szCs w:val="21"/>
              </w:rPr>
              <w:t xml:space="preserve"> °C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000" w:type="dxa"/>
            <w:gridSpan w:val="2"/>
            <w:tcBorders>
              <w:tl2br w:val="nil"/>
              <w:tr2bl w:val="nil"/>
            </w:tcBorders>
            <w:vAlign w:val="center"/>
          </w:tcPr>
          <w:p>
            <w:pPr>
              <w:spacing w:line="240" w:lineRule="auto"/>
              <w:jc w:val="center"/>
            </w:pPr>
            <w:r>
              <w:rPr>
                <w:rFonts w:hint="eastAsia"/>
              </w:rPr>
              <w:t>最低环境温度（℃）</w:t>
            </w:r>
          </w:p>
        </w:tc>
        <w:tc>
          <w:tcPr>
            <w:tcW w:w="3000" w:type="dxa"/>
            <w:tcBorders>
              <w:tl2br w:val="nil"/>
              <w:tr2bl w:val="nil"/>
            </w:tcBorders>
            <w:vAlign w:val="center"/>
          </w:tcPr>
          <w:p>
            <w:pPr>
              <w:spacing w:line="240" w:lineRule="auto"/>
              <w:ind w:firstLine="0" w:firstLineChars="0"/>
              <w:jc w:val="center"/>
            </w:pPr>
            <w:r>
              <w:rPr>
                <w:rFonts w:hint="eastAsia"/>
                <w:sz w:val="21"/>
                <w:szCs w:val="21"/>
                <w:lang w:val="en-US" w:eastAsia="zh-CN"/>
              </w:rPr>
              <w:t>-18.9</w:t>
            </w:r>
            <w:r>
              <w:rPr>
                <w:sz w:val="21"/>
                <w:szCs w:val="21"/>
              </w:rPr>
              <w:t xml:space="preserve"> °C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000" w:type="dxa"/>
            <w:gridSpan w:val="2"/>
            <w:tcBorders>
              <w:tl2br w:val="nil"/>
              <w:tr2bl w:val="nil"/>
            </w:tcBorders>
            <w:vAlign w:val="center"/>
          </w:tcPr>
          <w:p>
            <w:pPr>
              <w:spacing w:line="240" w:lineRule="auto"/>
              <w:jc w:val="center"/>
            </w:pPr>
            <w:r>
              <w:rPr>
                <w:rFonts w:hint="eastAsia"/>
              </w:rPr>
              <w:t>土地利用类型</w:t>
            </w:r>
          </w:p>
        </w:tc>
        <w:tc>
          <w:tcPr>
            <w:tcW w:w="3000" w:type="dxa"/>
            <w:tcBorders>
              <w:tl2br w:val="nil"/>
              <w:tr2bl w:val="nil"/>
            </w:tcBorders>
            <w:vAlign w:val="center"/>
          </w:tcPr>
          <w:p>
            <w:pPr>
              <w:spacing w:line="240" w:lineRule="auto"/>
              <w:ind w:firstLine="0" w:firstLineChars="0"/>
              <w:jc w:val="center"/>
            </w:pPr>
            <w:r>
              <w:rPr>
                <w:rFonts w:hint="eastAsia"/>
                <w:color w:val="auto"/>
                <w:sz w:val="21"/>
                <w:szCs w:val="21"/>
                <w:lang w:eastAsia="zh-CN"/>
              </w:rPr>
              <w:t>工业用地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000" w:type="dxa"/>
            <w:gridSpan w:val="2"/>
            <w:tcBorders>
              <w:tl2br w:val="nil"/>
              <w:tr2bl w:val="nil"/>
            </w:tcBorders>
            <w:vAlign w:val="center"/>
          </w:tcPr>
          <w:p>
            <w:pPr>
              <w:spacing w:line="240" w:lineRule="auto"/>
              <w:jc w:val="center"/>
            </w:pPr>
            <w:r>
              <w:rPr>
                <w:rFonts w:hint="eastAsia"/>
              </w:rPr>
              <w:t>区域湿度条件</w:t>
            </w:r>
          </w:p>
        </w:tc>
        <w:tc>
          <w:tcPr>
            <w:tcW w:w="3000" w:type="dxa"/>
            <w:tcBorders>
              <w:tl2br w:val="nil"/>
              <w:tr2bl w:val="nil"/>
            </w:tcBorders>
            <w:vAlign w:val="center"/>
          </w:tcPr>
          <w:p>
            <w:pPr>
              <w:spacing w:line="240" w:lineRule="auto"/>
              <w:ind w:firstLine="0" w:firstLineChars="0"/>
              <w:jc w:val="center"/>
            </w:pPr>
            <w:r>
              <w:rPr>
                <w:rFonts w:hint="eastAsia"/>
                <w:sz w:val="21"/>
                <w:szCs w:val="21"/>
              </w:rPr>
              <w:t>潮湿地区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000" w:type="dxa"/>
            <w:vMerge w:val="restart"/>
            <w:tcBorders>
              <w:tl2br w:val="nil"/>
              <w:tr2bl w:val="nil"/>
            </w:tcBorders>
            <w:vAlign w:val="center"/>
          </w:tcPr>
          <w:p>
            <w:pPr>
              <w:spacing w:line="240" w:lineRule="auto"/>
              <w:jc w:val="center"/>
            </w:pPr>
            <w:r>
              <w:rPr>
                <w:rFonts w:hint="eastAsia"/>
              </w:rPr>
              <w:t>是否考虑地形</w:t>
            </w:r>
          </w:p>
        </w:tc>
        <w:tc>
          <w:tcPr>
            <w:tcW w:w="3000" w:type="dxa"/>
            <w:tcBorders>
              <w:tl2br w:val="nil"/>
              <w:tr2bl w:val="nil"/>
            </w:tcBorders>
            <w:vAlign w:val="center"/>
          </w:tcPr>
          <w:p>
            <w:pPr>
              <w:spacing w:line="240" w:lineRule="auto"/>
              <w:jc w:val="center"/>
            </w:pPr>
            <w:r>
              <w:rPr>
                <w:rFonts w:hint="eastAsia"/>
              </w:rPr>
              <w:t>考虑地形</w:t>
            </w:r>
          </w:p>
        </w:tc>
        <w:tc>
          <w:tcPr>
            <w:tcW w:w="3000" w:type="dxa"/>
            <w:tcBorders>
              <w:tl2br w:val="nil"/>
              <w:tr2bl w:val="nil"/>
            </w:tcBorders>
            <w:vAlign w:val="center"/>
          </w:tcPr>
          <w:p>
            <w:pPr>
              <w:spacing w:line="240" w:lineRule="auto"/>
              <w:jc w:val="center"/>
            </w:pPr>
            <w:r>
              <w:rPr>
                <w:rFonts w:hint="eastAsia"/>
              </w:rPr>
              <w:t>■是    □否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000" w:type="dxa"/>
            <w:vMerge w:val="continue"/>
            <w:tcBorders>
              <w:tl2br w:val="nil"/>
              <w:tr2bl w:val="nil"/>
            </w:tcBorders>
            <w:vAlign w:val="center"/>
          </w:tcPr>
          <w:p>
            <w:pPr>
              <w:spacing w:line="240" w:lineRule="auto"/>
              <w:jc w:val="center"/>
            </w:pPr>
          </w:p>
        </w:tc>
        <w:tc>
          <w:tcPr>
            <w:tcW w:w="3000" w:type="dxa"/>
            <w:tcBorders>
              <w:tl2br w:val="nil"/>
              <w:tr2bl w:val="nil"/>
            </w:tcBorders>
            <w:vAlign w:val="center"/>
          </w:tcPr>
          <w:p>
            <w:pPr>
              <w:spacing w:line="240" w:lineRule="auto"/>
              <w:jc w:val="center"/>
            </w:pPr>
            <w:r>
              <w:rPr>
                <w:rFonts w:hint="eastAsia"/>
              </w:rPr>
              <w:t>地形数据分辨率/m</w:t>
            </w:r>
          </w:p>
        </w:tc>
        <w:tc>
          <w:tcPr>
            <w:tcW w:w="3000" w:type="dxa"/>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000" w:type="dxa"/>
            <w:vMerge w:val="restart"/>
            <w:tcBorders>
              <w:tl2br w:val="nil"/>
              <w:tr2bl w:val="nil"/>
            </w:tcBorders>
            <w:vAlign w:val="center"/>
          </w:tcPr>
          <w:p>
            <w:pPr>
              <w:spacing w:line="240" w:lineRule="auto"/>
              <w:jc w:val="center"/>
            </w:pPr>
            <w:r>
              <w:rPr>
                <w:rFonts w:hint="eastAsia"/>
              </w:rPr>
              <w:t>是否考虑岸线熏烟</w:t>
            </w:r>
          </w:p>
        </w:tc>
        <w:tc>
          <w:tcPr>
            <w:tcW w:w="3000" w:type="dxa"/>
            <w:tcBorders>
              <w:tl2br w:val="nil"/>
              <w:tr2bl w:val="nil"/>
            </w:tcBorders>
            <w:vAlign w:val="center"/>
          </w:tcPr>
          <w:p>
            <w:pPr>
              <w:spacing w:line="240" w:lineRule="auto"/>
              <w:jc w:val="center"/>
            </w:pPr>
            <w:r>
              <w:rPr>
                <w:rFonts w:hint="eastAsia"/>
              </w:rPr>
              <w:t>考虑岸线熏烟</w:t>
            </w:r>
          </w:p>
        </w:tc>
        <w:tc>
          <w:tcPr>
            <w:tcW w:w="3000" w:type="dxa"/>
            <w:tcBorders>
              <w:tl2br w:val="nil"/>
              <w:tr2bl w:val="nil"/>
            </w:tcBorders>
            <w:vAlign w:val="center"/>
          </w:tcPr>
          <w:p>
            <w:pPr>
              <w:spacing w:line="240" w:lineRule="auto"/>
              <w:jc w:val="center"/>
            </w:pPr>
            <w:r>
              <w:rPr>
                <w:rFonts w:hint="eastAsia"/>
              </w:rPr>
              <w:t>□是    ■否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000" w:type="dxa"/>
            <w:vMerge w:val="continue"/>
            <w:tcBorders>
              <w:tl2br w:val="nil"/>
              <w:tr2bl w:val="nil"/>
            </w:tcBorders>
            <w:vAlign w:val="center"/>
          </w:tcPr>
          <w:p>
            <w:pPr>
              <w:spacing w:line="240" w:lineRule="auto"/>
              <w:jc w:val="center"/>
            </w:pPr>
          </w:p>
        </w:tc>
        <w:tc>
          <w:tcPr>
            <w:tcW w:w="3000" w:type="dxa"/>
            <w:tcBorders>
              <w:tl2br w:val="nil"/>
              <w:tr2bl w:val="nil"/>
            </w:tcBorders>
            <w:vAlign w:val="center"/>
          </w:tcPr>
          <w:p>
            <w:pPr>
              <w:spacing w:line="240" w:lineRule="auto"/>
              <w:jc w:val="center"/>
            </w:pPr>
            <w:r>
              <w:rPr>
                <w:rFonts w:hint="eastAsia"/>
              </w:rPr>
              <w:t>岸线距离/km</w:t>
            </w:r>
          </w:p>
        </w:tc>
        <w:tc>
          <w:tcPr>
            <w:tcW w:w="3000" w:type="dxa"/>
            <w:tcBorders>
              <w:tl2br w:val="nil"/>
              <w:tr2bl w:val="nil"/>
            </w:tcBorders>
            <w:vAlign w:val="center"/>
          </w:tcPr>
          <w:p>
            <w:pPr>
              <w:spacing w:line="240" w:lineRule="auto"/>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000" w:type="dxa"/>
            <w:vMerge w:val="continue"/>
            <w:tcBorders>
              <w:tl2br w:val="nil"/>
              <w:tr2bl w:val="nil"/>
            </w:tcBorders>
            <w:vAlign w:val="center"/>
          </w:tcPr>
          <w:p>
            <w:pPr>
              <w:spacing w:line="240" w:lineRule="auto"/>
              <w:jc w:val="center"/>
            </w:pPr>
          </w:p>
        </w:tc>
        <w:tc>
          <w:tcPr>
            <w:tcW w:w="3000" w:type="dxa"/>
            <w:tcBorders>
              <w:tl2br w:val="nil"/>
              <w:tr2bl w:val="nil"/>
            </w:tcBorders>
            <w:vAlign w:val="center"/>
          </w:tcPr>
          <w:p>
            <w:pPr>
              <w:spacing w:line="240" w:lineRule="auto"/>
              <w:jc w:val="center"/>
            </w:pPr>
            <w:r>
              <w:rPr>
                <w:rFonts w:hint="eastAsia"/>
              </w:rPr>
              <w:t>岸线方向/°</w:t>
            </w:r>
          </w:p>
        </w:tc>
        <w:tc>
          <w:tcPr>
            <w:tcW w:w="3000" w:type="dxa"/>
            <w:tcBorders>
              <w:tl2br w:val="nil"/>
              <w:tr2bl w:val="nil"/>
            </w:tcBorders>
            <w:vAlign w:val="center"/>
          </w:tcPr>
          <w:p>
            <w:pPr>
              <w:spacing w:line="240" w:lineRule="auto"/>
              <w:jc w:val="center"/>
            </w:pPr>
            <w:r>
              <w:rPr>
                <w:rFonts w:hint="eastAsia"/>
              </w:rPr>
              <w:t>/</w:t>
            </w:r>
          </w:p>
        </w:tc>
      </w:tr>
    </w:tbl>
    <w:p>
      <w:pPr>
        <w:pStyle w:val="36"/>
        <w:rPr>
          <w:rFonts w:ascii="Times New Roman" w:cs="Times New Roman"/>
        </w:rPr>
      </w:pPr>
    </w:p>
    <w:p>
      <w:pPr>
        <w:pStyle w:val="6"/>
        <w:spacing w:line="480" w:lineRule="exact"/>
        <w:ind w:firstLine="470" w:firstLineChars="196"/>
        <w:rPr>
          <w:b w:val="0"/>
        </w:rPr>
      </w:pPr>
      <w:r>
        <w:rPr>
          <w:b w:val="0"/>
        </w:rPr>
        <w:t>（</w:t>
      </w:r>
      <w:r>
        <w:rPr>
          <w:rFonts w:hint="eastAsia"/>
          <w:b w:val="0"/>
          <w:lang w:val="en-US" w:eastAsia="zh-CN"/>
        </w:rPr>
        <w:t>5</w:t>
      </w:r>
      <w:r>
        <w:rPr>
          <w:b w:val="0"/>
        </w:rPr>
        <w:t>）预测结果</w:t>
      </w:r>
    </w:p>
    <w:p>
      <w:pPr>
        <w:spacing w:line="480" w:lineRule="exact"/>
        <w:ind w:firstLine="480" w:firstLineChars="200"/>
      </w:pPr>
      <w:r>
        <w:rPr>
          <w:sz w:val="24"/>
        </w:rPr>
        <w:t>采用导则推荐的估算模式预测污染物下风向网格点及主要环境敏感点预测质量浓度及对应占标率见下表。</w:t>
      </w:r>
    </w:p>
    <w:p>
      <w:pPr>
        <w:pStyle w:val="2"/>
        <w:ind w:firstLine="0" w:firstLineChars="0"/>
        <w:sectPr>
          <w:headerReference r:id="rId11" w:type="default"/>
          <w:pgSz w:w="11907" w:h="16840"/>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sz w:val="24"/>
          <w:szCs w:val="24"/>
        </w:rPr>
      </w:pPr>
      <w:r>
        <w:rPr>
          <w:b/>
          <w:bCs/>
          <w:sz w:val="24"/>
          <w:szCs w:val="24"/>
        </w:rPr>
        <w:t>表4</w:t>
      </w:r>
      <w:r>
        <w:rPr>
          <w:rFonts w:hint="eastAsia"/>
          <w:b/>
          <w:bCs/>
          <w:sz w:val="24"/>
          <w:szCs w:val="24"/>
          <w:lang w:val="en-US" w:eastAsia="zh-CN"/>
        </w:rPr>
        <w:t>.</w:t>
      </w:r>
      <w:r>
        <w:rPr>
          <w:b/>
          <w:bCs/>
          <w:sz w:val="24"/>
          <w:szCs w:val="24"/>
        </w:rPr>
        <w:t>2-</w:t>
      </w:r>
      <w:r>
        <w:rPr>
          <w:rFonts w:hint="eastAsia"/>
          <w:b/>
          <w:bCs/>
          <w:sz w:val="24"/>
          <w:szCs w:val="24"/>
          <w:lang w:val="en-US" w:eastAsia="zh-CN"/>
        </w:rPr>
        <w:t>6</w:t>
      </w:r>
      <w:r>
        <w:rPr>
          <w:b/>
          <w:bCs/>
          <w:sz w:val="24"/>
          <w:szCs w:val="24"/>
        </w:rPr>
        <w:t xml:space="preserve">  有组织</w:t>
      </w:r>
      <w:r>
        <w:rPr>
          <w:rFonts w:hint="eastAsia"/>
          <w:b/>
          <w:bCs/>
          <w:sz w:val="24"/>
          <w:szCs w:val="24"/>
          <w:lang w:eastAsia="zh-CN"/>
        </w:rPr>
        <w:t>废气估算模型计算结果一览</w:t>
      </w:r>
      <w:r>
        <w:rPr>
          <w:b/>
          <w:bCs/>
          <w:sz w:val="24"/>
          <w:szCs w:val="24"/>
        </w:rPr>
        <w:t>表</w:t>
      </w:r>
    </w:p>
    <w:tbl>
      <w:tblPr>
        <w:tblStyle w:val="22"/>
        <w:tblW w:w="1418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6"/>
        <w:gridCol w:w="3262"/>
        <w:gridCol w:w="2370"/>
        <w:gridCol w:w="3405"/>
        <w:gridCol w:w="30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2116" w:type="dxa"/>
            <w:vMerge w:val="restart"/>
            <w:tcBorders>
              <w:tl2br w:val="nil"/>
              <w:tr2bl w:val="nil"/>
            </w:tcBorders>
            <w:vAlign w:val="center"/>
          </w:tcPr>
          <w:p>
            <w:pPr>
              <w:pStyle w:val="44"/>
              <w:keepNext w:val="0"/>
              <w:keepLines w:val="0"/>
              <w:pageBreakBefore w:val="0"/>
              <w:widowControl/>
              <w:kinsoku/>
              <w:wordWrap/>
              <w:overflowPunct/>
              <w:topLinePunct w:val="0"/>
              <w:autoSpaceDE/>
              <w:autoSpaceDN/>
              <w:bidi w:val="0"/>
              <w:adjustRightInd/>
              <w:snapToGrid w:val="0"/>
              <w:spacing w:line="240" w:lineRule="auto"/>
            </w:pPr>
            <w:r>
              <w:t>距源中心下风向距离D（m）</w:t>
            </w:r>
          </w:p>
        </w:tc>
        <w:tc>
          <w:tcPr>
            <w:tcW w:w="12073" w:type="dxa"/>
            <w:gridSpan w:val="4"/>
            <w:tcBorders>
              <w:tl2br w:val="nil"/>
              <w:tr2bl w:val="nil"/>
            </w:tcBorders>
            <w:vAlign w:val="center"/>
          </w:tcPr>
          <w:p>
            <w:pPr>
              <w:pStyle w:val="44"/>
              <w:keepNext w:val="0"/>
              <w:keepLines w:val="0"/>
              <w:pageBreakBefore w:val="0"/>
              <w:widowControl/>
              <w:kinsoku/>
              <w:wordWrap/>
              <w:overflowPunct/>
              <w:topLinePunct w:val="0"/>
              <w:autoSpaceDE/>
              <w:autoSpaceDN/>
              <w:bidi w:val="0"/>
              <w:adjustRightInd/>
              <w:snapToGrid w:val="0"/>
              <w:spacing w:line="240" w:lineRule="auto"/>
            </w:pPr>
            <w:r>
              <w:t>恶臭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211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left"/>
              <w:rPr>
                <w:kern w:val="18"/>
              </w:rPr>
            </w:pPr>
          </w:p>
        </w:tc>
        <w:tc>
          <w:tcPr>
            <w:tcW w:w="5632" w:type="dxa"/>
            <w:gridSpan w:val="2"/>
            <w:tcBorders>
              <w:tl2br w:val="nil"/>
              <w:tr2bl w:val="nil"/>
            </w:tcBorders>
            <w:vAlign w:val="center"/>
          </w:tcPr>
          <w:p>
            <w:pPr>
              <w:pStyle w:val="44"/>
              <w:keepNext w:val="0"/>
              <w:keepLines w:val="0"/>
              <w:pageBreakBefore w:val="0"/>
              <w:widowControl/>
              <w:kinsoku/>
              <w:wordWrap/>
              <w:overflowPunct/>
              <w:topLinePunct w:val="0"/>
              <w:autoSpaceDE/>
              <w:autoSpaceDN/>
              <w:bidi w:val="0"/>
              <w:adjustRightInd/>
              <w:snapToGrid w:val="0"/>
              <w:spacing w:line="240" w:lineRule="auto"/>
            </w:pPr>
            <w:r>
              <w:rPr>
                <w:rFonts w:hint="eastAsia"/>
              </w:rPr>
              <w:t>NH</w:t>
            </w:r>
            <w:r>
              <w:rPr>
                <w:rFonts w:hint="eastAsia"/>
                <w:vertAlign w:val="subscript"/>
              </w:rPr>
              <w:t>3</w:t>
            </w:r>
          </w:p>
        </w:tc>
        <w:tc>
          <w:tcPr>
            <w:tcW w:w="6441" w:type="dxa"/>
            <w:gridSpan w:val="2"/>
            <w:tcBorders>
              <w:tl2br w:val="nil"/>
              <w:tr2bl w:val="nil"/>
            </w:tcBorders>
            <w:vAlign w:val="center"/>
          </w:tcPr>
          <w:p>
            <w:pPr>
              <w:pStyle w:val="44"/>
              <w:keepNext w:val="0"/>
              <w:keepLines w:val="0"/>
              <w:pageBreakBefore w:val="0"/>
              <w:widowControl/>
              <w:kinsoku/>
              <w:wordWrap/>
              <w:overflowPunct/>
              <w:topLinePunct w:val="0"/>
              <w:autoSpaceDE/>
              <w:autoSpaceDN/>
              <w:bidi w:val="0"/>
              <w:adjustRightInd/>
              <w:snapToGrid w:val="0"/>
              <w:spacing w:line="240" w:lineRule="auto"/>
            </w:pPr>
            <w:r>
              <w:rPr>
                <w:rFonts w:hint="eastAsia"/>
              </w:rPr>
              <w:t>H</w:t>
            </w:r>
            <w:r>
              <w:rPr>
                <w:rFonts w:hint="eastAsia"/>
                <w:vertAlign w:val="subscript"/>
              </w:rPr>
              <w:t>2</w:t>
            </w:r>
            <w:r>
              <w:rPr>
                <w:rFonts w:hint="eastAsia"/>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11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left"/>
              <w:rPr>
                <w:kern w:val="18"/>
              </w:rPr>
            </w:pPr>
          </w:p>
        </w:tc>
        <w:tc>
          <w:tcPr>
            <w:tcW w:w="3262" w:type="dxa"/>
            <w:tcBorders>
              <w:tl2br w:val="nil"/>
              <w:tr2bl w:val="nil"/>
            </w:tcBorders>
            <w:vAlign w:val="center"/>
          </w:tcPr>
          <w:p>
            <w:pPr>
              <w:pStyle w:val="44"/>
              <w:keepNext w:val="0"/>
              <w:keepLines w:val="0"/>
              <w:pageBreakBefore w:val="0"/>
              <w:widowControl/>
              <w:kinsoku/>
              <w:wordWrap/>
              <w:overflowPunct/>
              <w:topLinePunct w:val="0"/>
              <w:autoSpaceDE/>
              <w:autoSpaceDN/>
              <w:bidi w:val="0"/>
              <w:adjustRightInd/>
              <w:snapToGrid w:val="0"/>
              <w:spacing w:line="240" w:lineRule="auto"/>
            </w:pPr>
            <w:r>
              <w:t>预测质量浓度（μg/m</w:t>
            </w:r>
            <w:r>
              <w:rPr>
                <w:vertAlign w:val="superscript"/>
              </w:rPr>
              <w:t>3</w:t>
            </w:r>
            <w:r>
              <w:t>）</w:t>
            </w:r>
          </w:p>
        </w:tc>
        <w:tc>
          <w:tcPr>
            <w:tcW w:w="2370" w:type="dxa"/>
            <w:tcBorders>
              <w:tl2br w:val="nil"/>
              <w:tr2bl w:val="nil"/>
            </w:tcBorders>
            <w:vAlign w:val="center"/>
          </w:tcPr>
          <w:p>
            <w:pPr>
              <w:pStyle w:val="44"/>
              <w:keepNext w:val="0"/>
              <w:keepLines w:val="0"/>
              <w:pageBreakBefore w:val="0"/>
              <w:widowControl/>
              <w:kinsoku/>
              <w:wordWrap/>
              <w:overflowPunct/>
              <w:topLinePunct w:val="0"/>
              <w:autoSpaceDE/>
              <w:autoSpaceDN/>
              <w:bidi w:val="0"/>
              <w:adjustRightInd/>
              <w:snapToGrid w:val="0"/>
              <w:spacing w:line="240" w:lineRule="auto"/>
            </w:pPr>
            <w:r>
              <w:t>占标率（%）</w:t>
            </w:r>
          </w:p>
        </w:tc>
        <w:tc>
          <w:tcPr>
            <w:tcW w:w="3405" w:type="dxa"/>
            <w:tcBorders>
              <w:tl2br w:val="nil"/>
              <w:tr2bl w:val="nil"/>
            </w:tcBorders>
            <w:vAlign w:val="center"/>
          </w:tcPr>
          <w:p>
            <w:pPr>
              <w:pStyle w:val="44"/>
              <w:keepNext w:val="0"/>
              <w:keepLines w:val="0"/>
              <w:pageBreakBefore w:val="0"/>
              <w:widowControl/>
              <w:kinsoku/>
              <w:wordWrap/>
              <w:overflowPunct/>
              <w:topLinePunct w:val="0"/>
              <w:autoSpaceDE/>
              <w:autoSpaceDN/>
              <w:bidi w:val="0"/>
              <w:adjustRightInd/>
              <w:snapToGrid w:val="0"/>
              <w:spacing w:line="240" w:lineRule="auto"/>
            </w:pPr>
            <w:r>
              <w:t>预测</w:t>
            </w:r>
            <w:r>
              <w:rPr>
                <w:rFonts w:hint="eastAsia"/>
              </w:rPr>
              <w:t>质量</w:t>
            </w:r>
            <w:r>
              <w:t>浓度（μg/m</w:t>
            </w:r>
            <w:r>
              <w:rPr>
                <w:vertAlign w:val="superscript"/>
              </w:rPr>
              <w:t>3</w:t>
            </w:r>
            <w:r>
              <w:t>）</w:t>
            </w:r>
          </w:p>
        </w:tc>
        <w:tc>
          <w:tcPr>
            <w:tcW w:w="3036" w:type="dxa"/>
            <w:tcBorders>
              <w:tl2br w:val="nil"/>
              <w:tr2bl w:val="nil"/>
            </w:tcBorders>
            <w:vAlign w:val="center"/>
          </w:tcPr>
          <w:p>
            <w:pPr>
              <w:pStyle w:val="44"/>
              <w:keepNext w:val="0"/>
              <w:keepLines w:val="0"/>
              <w:pageBreakBefore w:val="0"/>
              <w:widowControl/>
              <w:kinsoku/>
              <w:wordWrap/>
              <w:overflowPunct/>
              <w:topLinePunct w:val="0"/>
              <w:autoSpaceDE/>
              <w:autoSpaceDN/>
              <w:bidi w:val="0"/>
              <w:adjustRightInd/>
              <w:snapToGrid w:val="0"/>
              <w:spacing w:line="240" w:lineRule="auto"/>
            </w:pPr>
            <w: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211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pPr>
            <w:r>
              <w:rPr>
                <w:kern w:val="0"/>
              </w:rPr>
              <w:t>100</w:t>
            </w:r>
          </w:p>
        </w:tc>
        <w:tc>
          <w:tcPr>
            <w:tcW w:w="32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rPr>
                <w:rFonts w:hint="eastAsia"/>
                <w:lang w:val="en-US" w:eastAsia="zh-CN"/>
              </w:rPr>
              <w:t>0.9851</w:t>
            </w:r>
          </w:p>
        </w:tc>
        <w:tc>
          <w:tcPr>
            <w:tcW w:w="237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0.5040</w:t>
            </w:r>
          </w:p>
        </w:tc>
        <w:tc>
          <w:tcPr>
            <w:tcW w:w="340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0.0454</w:t>
            </w:r>
          </w:p>
        </w:tc>
        <w:tc>
          <w:tcPr>
            <w:tcW w:w="3036"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0.4536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11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kern w:val="0"/>
              </w:rPr>
            </w:pPr>
            <w:r>
              <w:rPr>
                <w:kern w:val="0"/>
              </w:rPr>
              <w:t>200</w:t>
            </w:r>
          </w:p>
        </w:tc>
        <w:tc>
          <w:tcPr>
            <w:tcW w:w="32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0.6643</w:t>
            </w:r>
          </w:p>
        </w:tc>
        <w:tc>
          <w:tcPr>
            <w:tcW w:w="237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0.3321</w:t>
            </w:r>
          </w:p>
        </w:tc>
        <w:tc>
          <w:tcPr>
            <w:tcW w:w="340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0.0299</w:t>
            </w:r>
          </w:p>
        </w:tc>
        <w:tc>
          <w:tcPr>
            <w:tcW w:w="3036"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0.2989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211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pPr>
            <w:r>
              <w:rPr>
                <w:kern w:val="0"/>
              </w:rPr>
              <w:t>300</w:t>
            </w:r>
          </w:p>
        </w:tc>
        <w:tc>
          <w:tcPr>
            <w:tcW w:w="32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0.5030</w:t>
            </w:r>
          </w:p>
        </w:tc>
        <w:tc>
          <w:tcPr>
            <w:tcW w:w="237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0.2515</w:t>
            </w:r>
          </w:p>
        </w:tc>
        <w:tc>
          <w:tcPr>
            <w:tcW w:w="340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0.0226</w:t>
            </w:r>
          </w:p>
        </w:tc>
        <w:tc>
          <w:tcPr>
            <w:tcW w:w="3036"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0.2264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211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pPr>
            <w:r>
              <w:rPr>
                <w:kern w:val="0"/>
              </w:rPr>
              <w:t>400</w:t>
            </w:r>
          </w:p>
        </w:tc>
        <w:tc>
          <w:tcPr>
            <w:tcW w:w="32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0.4303</w:t>
            </w:r>
          </w:p>
        </w:tc>
        <w:tc>
          <w:tcPr>
            <w:tcW w:w="237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0.2152</w:t>
            </w:r>
          </w:p>
        </w:tc>
        <w:tc>
          <w:tcPr>
            <w:tcW w:w="340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0.0194</w:t>
            </w:r>
          </w:p>
        </w:tc>
        <w:tc>
          <w:tcPr>
            <w:tcW w:w="3036"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0.1936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211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pPr>
            <w:r>
              <w:rPr>
                <w:kern w:val="0"/>
              </w:rPr>
              <w:t>500</w:t>
            </w:r>
          </w:p>
        </w:tc>
        <w:tc>
          <w:tcPr>
            <w:tcW w:w="32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0.3963</w:t>
            </w:r>
          </w:p>
        </w:tc>
        <w:tc>
          <w:tcPr>
            <w:tcW w:w="237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0.1981</w:t>
            </w:r>
          </w:p>
        </w:tc>
        <w:tc>
          <w:tcPr>
            <w:tcW w:w="340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0.0178</w:t>
            </w:r>
          </w:p>
        </w:tc>
        <w:tc>
          <w:tcPr>
            <w:tcW w:w="3036"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0.1783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211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pPr>
            <w:r>
              <w:rPr>
                <w:kern w:val="0"/>
              </w:rPr>
              <w:t>600</w:t>
            </w:r>
          </w:p>
        </w:tc>
        <w:tc>
          <w:tcPr>
            <w:tcW w:w="32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0.3698</w:t>
            </w:r>
          </w:p>
        </w:tc>
        <w:tc>
          <w:tcPr>
            <w:tcW w:w="237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0.1849</w:t>
            </w:r>
          </w:p>
        </w:tc>
        <w:tc>
          <w:tcPr>
            <w:tcW w:w="340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0.0166</w:t>
            </w:r>
          </w:p>
        </w:tc>
        <w:tc>
          <w:tcPr>
            <w:tcW w:w="3036"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0.1664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211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pPr>
            <w:r>
              <w:rPr>
                <w:kern w:val="0"/>
              </w:rPr>
              <w:t>700</w:t>
            </w:r>
          </w:p>
        </w:tc>
        <w:tc>
          <w:tcPr>
            <w:tcW w:w="32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0.3479</w:t>
            </w:r>
          </w:p>
        </w:tc>
        <w:tc>
          <w:tcPr>
            <w:tcW w:w="237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0.1740</w:t>
            </w:r>
          </w:p>
        </w:tc>
        <w:tc>
          <w:tcPr>
            <w:tcW w:w="340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0.0157</w:t>
            </w:r>
          </w:p>
        </w:tc>
        <w:tc>
          <w:tcPr>
            <w:tcW w:w="3036"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0.1566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211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pPr>
            <w:r>
              <w:rPr>
                <w:kern w:val="0"/>
              </w:rPr>
              <w:t>800</w:t>
            </w:r>
          </w:p>
        </w:tc>
        <w:tc>
          <w:tcPr>
            <w:tcW w:w="32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0.3296</w:t>
            </w:r>
          </w:p>
        </w:tc>
        <w:tc>
          <w:tcPr>
            <w:tcW w:w="237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0.1648</w:t>
            </w:r>
          </w:p>
        </w:tc>
        <w:tc>
          <w:tcPr>
            <w:tcW w:w="340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0.0148</w:t>
            </w:r>
          </w:p>
        </w:tc>
        <w:tc>
          <w:tcPr>
            <w:tcW w:w="3036"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0.1483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211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pPr>
            <w:r>
              <w:rPr>
                <w:kern w:val="0"/>
              </w:rPr>
              <w:t>900</w:t>
            </w:r>
          </w:p>
        </w:tc>
        <w:tc>
          <w:tcPr>
            <w:tcW w:w="32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0.3135</w:t>
            </w:r>
          </w:p>
        </w:tc>
        <w:tc>
          <w:tcPr>
            <w:tcW w:w="237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0.1568</w:t>
            </w:r>
          </w:p>
        </w:tc>
        <w:tc>
          <w:tcPr>
            <w:tcW w:w="340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0.0141</w:t>
            </w:r>
          </w:p>
        </w:tc>
        <w:tc>
          <w:tcPr>
            <w:tcW w:w="3036"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0.1411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211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pPr>
            <w:r>
              <w:rPr>
                <w:kern w:val="0"/>
              </w:rPr>
              <w:t>1000</w:t>
            </w:r>
          </w:p>
        </w:tc>
        <w:tc>
          <w:tcPr>
            <w:tcW w:w="32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0.2991</w:t>
            </w:r>
          </w:p>
        </w:tc>
        <w:tc>
          <w:tcPr>
            <w:tcW w:w="237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0.1495</w:t>
            </w:r>
          </w:p>
        </w:tc>
        <w:tc>
          <w:tcPr>
            <w:tcW w:w="340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0.0135</w:t>
            </w:r>
          </w:p>
        </w:tc>
        <w:tc>
          <w:tcPr>
            <w:tcW w:w="3036"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0.1346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211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pPr>
            <w:r>
              <w:rPr>
                <w:kern w:val="0"/>
              </w:rPr>
              <w:t>1500</w:t>
            </w:r>
          </w:p>
        </w:tc>
        <w:tc>
          <w:tcPr>
            <w:tcW w:w="32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0.2465</w:t>
            </w:r>
          </w:p>
        </w:tc>
        <w:tc>
          <w:tcPr>
            <w:tcW w:w="237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0.1233</w:t>
            </w:r>
          </w:p>
        </w:tc>
        <w:tc>
          <w:tcPr>
            <w:tcW w:w="340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0.0111</w:t>
            </w:r>
          </w:p>
        </w:tc>
        <w:tc>
          <w:tcPr>
            <w:tcW w:w="3036"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0.1109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211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pPr>
            <w:r>
              <w:rPr>
                <w:kern w:val="0"/>
              </w:rPr>
              <w:t>2000</w:t>
            </w:r>
          </w:p>
        </w:tc>
        <w:tc>
          <w:tcPr>
            <w:tcW w:w="32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0.2081</w:t>
            </w:r>
          </w:p>
        </w:tc>
        <w:tc>
          <w:tcPr>
            <w:tcW w:w="237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0.1040</w:t>
            </w:r>
          </w:p>
        </w:tc>
        <w:tc>
          <w:tcPr>
            <w:tcW w:w="340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0.0094</w:t>
            </w:r>
          </w:p>
        </w:tc>
        <w:tc>
          <w:tcPr>
            <w:tcW w:w="3036"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0.0936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11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pPr>
            <w:r>
              <w:rPr>
                <w:kern w:val="0"/>
              </w:rPr>
              <w:t>2500</w:t>
            </w:r>
          </w:p>
        </w:tc>
        <w:tc>
          <w:tcPr>
            <w:tcW w:w="32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0.1796</w:t>
            </w:r>
          </w:p>
        </w:tc>
        <w:tc>
          <w:tcPr>
            <w:tcW w:w="237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pPr>
            <w:r>
              <w:t>0.0898</w:t>
            </w:r>
          </w:p>
        </w:tc>
        <w:tc>
          <w:tcPr>
            <w:tcW w:w="340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0.0081</w:t>
            </w:r>
          </w:p>
        </w:tc>
        <w:tc>
          <w:tcPr>
            <w:tcW w:w="3036"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0.0808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116"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center"/>
            </w:pPr>
            <w:r>
              <w:t>下风向最大质量浓度及对应占标率</w:t>
            </w:r>
          </w:p>
        </w:tc>
        <w:tc>
          <w:tcPr>
            <w:tcW w:w="32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1.0154</w:t>
            </w:r>
          </w:p>
        </w:tc>
        <w:tc>
          <w:tcPr>
            <w:tcW w:w="23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0.5077</w:t>
            </w:r>
          </w:p>
        </w:tc>
        <w:tc>
          <w:tcPr>
            <w:tcW w:w="340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0.0457</w:t>
            </w:r>
          </w:p>
        </w:tc>
        <w:tc>
          <w:tcPr>
            <w:tcW w:w="3036"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pPr>
            <w:r>
              <w:t>0.4569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116"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center"/>
            </w:pPr>
            <w:r>
              <w:t>对应下风向最大质量浓度距离（m）</w:t>
            </w:r>
          </w:p>
        </w:tc>
        <w:tc>
          <w:tcPr>
            <w:tcW w:w="56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center"/>
              <w:rPr>
                <w:rFonts w:hint="default" w:eastAsia="宋体"/>
                <w:kern w:val="0"/>
                <w:lang w:val="en-US" w:eastAsia="zh-CN"/>
              </w:rPr>
            </w:pPr>
            <w:r>
              <w:rPr>
                <w:rFonts w:hint="eastAsia"/>
                <w:kern w:val="0"/>
                <w:lang w:val="en-US" w:eastAsia="zh-CN"/>
              </w:rPr>
              <w:t>109</w:t>
            </w:r>
          </w:p>
        </w:tc>
        <w:tc>
          <w:tcPr>
            <w:tcW w:w="6441" w:type="dxa"/>
            <w:gridSpan w:val="2"/>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center"/>
              <w:rPr>
                <w:rFonts w:hint="default" w:eastAsia="宋体"/>
                <w:kern w:val="0"/>
                <w:lang w:val="en-US" w:eastAsia="zh-CN"/>
              </w:rPr>
            </w:pPr>
            <w:r>
              <w:rPr>
                <w:rFonts w:hint="eastAsia"/>
                <w:kern w:val="0"/>
                <w:lang w:val="en-US" w:eastAsia="zh-CN"/>
              </w:rPr>
              <w:t>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89" w:hRule="atLeast"/>
          <w:jc w:val="center"/>
        </w:trPr>
        <w:tc>
          <w:tcPr>
            <w:tcW w:w="2116"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center"/>
              <w:rPr>
                <w:spacing w:val="-12"/>
              </w:rPr>
            </w:pPr>
            <w:r>
              <w:t>浓度占标准限值10%时距源最远距离D</w:t>
            </w:r>
            <w:r>
              <w:rPr>
                <w:vertAlign w:val="subscript"/>
              </w:rPr>
              <w:t>10%</w:t>
            </w:r>
            <w:r>
              <w:t>/m</w:t>
            </w:r>
          </w:p>
        </w:tc>
        <w:tc>
          <w:tcPr>
            <w:tcW w:w="5632"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pPr>
            <w:r>
              <w:t>——</w:t>
            </w:r>
          </w:p>
        </w:tc>
        <w:tc>
          <w:tcPr>
            <w:tcW w:w="6441"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pPr>
            <w:r>
              <w:t>——</w:t>
            </w:r>
          </w:p>
        </w:tc>
      </w:tr>
    </w:tbl>
    <w:p>
      <w:pPr>
        <w:pStyle w:val="2"/>
        <w:ind w:firstLine="0" w:firstLineChars="0"/>
        <w:sectPr>
          <w:headerReference r:id="rId12" w:type="default"/>
          <w:pgSz w:w="16840" w:h="11907" w:orient="landscape"/>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bookmarkStart w:id="187" w:name="OLE_LINK1"/>
      <w:r>
        <w:rPr>
          <w:sz w:val="24"/>
          <w:szCs w:val="24"/>
        </w:rPr>
        <w:t>根据估算模式的计算结果，项目运营期间废气</w:t>
      </w:r>
      <w:r>
        <w:rPr>
          <w:rFonts w:hint="eastAsia"/>
          <w:sz w:val="24"/>
          <w:szCs w:val="24"/>
        </w:rPr>
        <w:t>下风向最大质量浓度对应的</w:t>
      </w:r>
      <w:r>
        <w:rPr>
          <w:sz w:val="24"/>
          <w:szCs w:val="24"/>
        </w:rPr>
        <w:t>占标率</w:t>
      </w:r>
      <w:r>
        <w:rPr>
          <w:rFonts w:hint="eastAsia"/>
          <w:sz w:val="24"/>
          <w:szCs w:val="24"/>
        </w:rPr>
        <w:t>均</w:t>
      </w:r>
      <w:r>
        <w:rPr>
          <w:sz w:val="24"/>
          <w:szCs w:val="24"/>
        </w:rPr>
        <w:t>小于</w:t>
      </w:r>
      <w:r>
        <w:rPr>
          <w:rFonts w:hint="eastAsia"/>
          <w:sz w:val="24"/>
          <w:szCs w:val="24"/>
        </w:rPr>
        <w:t>1</w:t>
      </w:r>
      <w:r>
        <w:rPr>
          <w:sz w:val="24"/>
          <w:szCs w:val="24"/>
        </w:rPr>
        <w:t>%，</w:t>
      </w:r>
      <w:bookmarkEnd w:id="187"/>
      <w:r>
        <w:rPr>
          <w:sz w:val="24"/>
          <w:szCs w:val="24"/>
        </w:rPr>
        <w:t>因此，按《环境影响评价技术导则 大气环境》（HJ/T2.2-2018）规定，确定大气评价工作等级为</w:t>
      </w:r>
      <w:r>
        <w:rPr>
          <w:rFonts w:hint="eastAsia"/>
          <w:sz w:val="24"/>
          <w:szCs w:val="24"/>
          <w:lang w:eastAsia="zh-CN"/>
        </w:rPr>
        <w:t>三</w:t>
      </w:r>
      <w:r>
        <w:rPr>
          <w:sz w:val="24"/>
          <w:szCs w:val="24"/>
        </w:rPr>
        <w:t>级</w:t>
      </w:r>
      <w:r>
        <w:rPr>
          <w:rFonts w:hint="eastAsia"/>
          <w:sz w:val="24"/>
          <w:lang w:eastAsia="zh-CN"/>
        </w:rPr>
        <w:t>，</w:t>
      </w:r>
      <w:r>
        <w:rPr>
          <w:rFonts w:hint="eastAsia"/>
          <w:sz w:val="24"/>
        </w:rPr>
        <w:t>可不设置</w:t>
      </w:r>
      <w:r>
        <w:rPr>
          <w:sz w:val="24"/>
        </w:rPr>
        <w:t>大气环境影响评价范围。</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pPr>
      <w:r>
        <w:rPr>
          <w:b w:val="0"/>
        </w:rPr>
        <w:t>（</w:t>
      </w:r>
      <w:r>
        <w:rPr>
          <w:rFonts w:hint="eastAsia"/>
          <w:b w:val="0"/>
          <w:lang w:val="en-US" w:eastAsia="zh-CN"/>
        </w:rPr>
        <w:t>6</w:t>
      </w:r>
      <w:r>
        <w:rPr>
          <w:b w:val="0"/>
        </w:rPr>
        <w:t>）环境防护距离的设置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sz w:val="24"/>
          <w:szCs w:val="24"/>
        </w:rPr>
        <w:t>根据《环境影响评价技术导则大气环境》（HJ2.2-2018），对于项目厂界浓度满足大气污染物厂界浓度限值，但厂界外大气污染物短期贡献浓度超过环境质量浓度限值的，可以自厂界外设置一定范围的大气环境防护区域，以确保大气环境防护区域外的污染物贡献浓度满足环境质量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
          <w:sz w:val="24"/>
          <w:szCs w:val="24"/>
        </w:rPr>
      </w:pPr>
      <w:r>
        <w:rPr>
          <w:sz w:val="24"/>
          <w:szCs w:val="24"/>
        </w:rPr>
        <w:t>根据</w:t>
      </w:r>
      <w:r>
        <w:rPr>
          <w:sz w:val="24"/>
        </w:rPr>
        <w:t>导则推荐的估算模式估算结果可知，本项目各污染物厂界浓度均满足大气污染物厂界浓度限值，最大质量浓度能够满足环境空气质量标准限值。因此本项目可不设置大气环境防护距离。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sz w:val="24"/>
          <w:szCs w:val="24"/>
        </w:rPr>
      </w:pPr>
      <w:r>
        <w:rPr>
          <w:rFonts w:hint="eastAsia"/>
          <w:sz w:val="24"/>
          <w:szCs w:val="24"/>
          <w:lang w:eastAsia="zh-CN"/>
        </w:rPr>
        <w:t>（</w:t>
      </w:r>
      <w:r>
        <w:rPr>
          <w:rFonts w:hint="eastAsia"/>
          <w:sz w:val="24"/>
          <w:szCs w:val="24"/>
          <w:lang w:val="en-US" w:eastAsia="zh-CN"/>
        </w:rPr>
        <w:t>7</w:t>
      </w:r>
      <w:r>
        <w:rPr>
          <w:rFonts w:hint="eastAsia"/>
          <w:sz w:val="24"/>
          <w:szCs w:val="24"/>
          <w:lang w:eastAsia="zh-CN"/>
        </w:rPr>
        <w:t>）</w:t>
      </w:r>
      <w:r>
        <w:rPr>
          <w:sz w:val="24"/>
          <w:szCs w:val="24"/>
        </w:rPr>
        <w:t>大气环境影响评价自查表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sz w:val="24"/>
        </w:rPr>
        <w:t>根据《环境影响评价技术导则 大气环境》（HJ2.2-2018），项目大气环境评价等级为</w:t>
      </w:r>
      <w:r>
        <w:rPr>
          <w:rFonts w:hint="eastAsia"/>
          <w:sz w:val="24"/>
        </w:rPr>
        <w:t>三</w:t>
      </w:r>
      <w:r>
        <w:rPr>
          <w:sz w:val="24"/>
        </w:rPr>
        <w:t>级，不进行进一步预测与评价，</w:t>
      </w:r>
      <w:r>
        <w:rPr>
          <w:rFonts w:hint="eastAsia"/>
          <w:sz w:val="24"/>
        </w:rPr>
        <w:t>也无需进行</w:t>
      </w:r>
      <w:r>
        <w:rPr>
          <w:sz w:val="24"/>
        </w:rPr>
        <w:t>污染物排放量进行核算。</w:t>
      </w:r>
    </w:p>
    <w:p>
      <w:pPr>
        <w:spacing w:line="240" w:lineRule="auto"/>
        <w:ind w:firstLine="482"/>
        <w:jc w:val="center"/>
        <w:rPr>
          <w:rFonts w:eastAsiaTheme="minorEastAsia"/>
          <w:b/>
          <w:sz w:val="24"/>
          <w:szCs w:val="24"/>
        </w:rPr>
      </w:pPr>
      <w:r>
        <w:rPr>
          <w:rFonts w:eastAsiaTheme="minorEastAsia"/>
          <w:b/>
          <w:sz w:val="24"/>
          <w:szCs w:val="24"/>
        </w:rPr>
        <w:t>表4</w:t>
      </w:r>
      <w:r>
        <w:rPr>
          <w:rFonts w:hint="eastAsia" w:eastAsiaTheme="minorEastAsia"/>
          <w:b/>
          <w:sz w:val="24"/>
          <w:szCs w:val="24"/>
          <w:lang w:val="en-US" w:eastAsia="zh-CN"/>
        </w:rPr>
        <w:t>.2-7</w:t>
      </w:r>
      <w:r>
        <w:rPr>
          <w:rFonts w:eastAsiaTheme="minorEastAsia"/>
          <w:b/>
          <w:sz w:val="24"/>
          <w:szCs w:val="24"/>
        </w:rPr>
        <w:t xml:space="preserve">  大气环境影响评价自查表</w:t>
      </w:r>
    </w:p>
    <w:tbl>
      <w:tblPr>
        <w:tblStyle w:val="22"/>
        <w:tblW w:w="9568" w:type="dxa"/>
        <w:jc w:val="center"/>
        <w:tblInd w:w="-383"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43"/>
        <w:gridCol w:w="1680"/>
        <w:gridCol w:w="1003"/>
        <w:gridCol w:w="200"/>
        <w:gridCol w:w="455"/>
        <w:gridCol w:w="93"/>
        <w:gridCol w:w="198"/>
        <w:gridCol w:w="78"/>
        <w:gridCol w:w="196"/>
        <w:gridCol w:w="185"/>
        <w:gridCol w:w="275"/>
        <w:gridCol w:w="285"/>
        <w:gridCol w:w="209"/>
        <w:gridCol w:w="340"/>
        <w:gridCol w:w="232"/>
        <w:gridCol w:w="489"/>
        <w:gridCol w:w="147"/>
        <w:gridCol w:w="105"/>
        <w:gridCol w:w="81"/>
        <w:gridCol w:w="128"/>
        <w:gridCol w:w="198"/>
        <w:gridCol w:w="148"/>
        <w:gridCol w:w="53"/>
        <w:gridCol w:w="320"/>
        <w:gridCol w:w="122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60" w:hRule="atLeast"/>
          <w:jc w:val="center"/>
        </w:trPr>
        <w:tc>
          <w:tcPr>
            <w:tcW w:w="2923" w:type="dxa"/>
            <w:gridSpan w:val="2"/>
            <w:tcBorders>
              <w:tl2br w:val="nil"/>
              <w:tr2bl w:val="nil"/>
            </w:tcBorders>
          </w:tcPr>
          <w:p>
            <w:pPr>
              <w:spacing w:line="240" w:lineRule="auto"/>
              <w:jc w:val="center"/>
            </w:pPr>
            <w:r>
              <w:t>工作内容</w:t>
            </w:r>
          </w:p>
        </w:tc>
        <w:tc>
          <w:tcPr>
            <w:tcW w:w="6645" w:type="dxa"/>
            <w:gridSpan w:val="23"/>
            <w:tcBorders>
              <w:tl2br w:val="nil"/>
              <w:tr2bl w:val="nil"/>
            </w:tcBorders>
          </w:tcPr>
          <w:p>
            <w:pPr>
              <w:spacing w:line="240" w:lineRule="auto"/>
              <w:jc w:val="center"/>
            </w:pPr>
            <w:r>
              <w:t>自查项目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65" w:hRule="atLeast"/>
          <w:jc w:val="center"/>
        </w:trPr>
        <w:tc>
          <w:tcPr>
            <w:tcW w:w="1243" w:type="dxa"/>
            <w:vMerge w:val="restart"/>
            <w:tcBorders>
              <w:tl2br w:val="nil"/>
              <w:tr2bl w:val="nil"/>
            </w:tcBorders>
            <w:vAlign w:val="center"/>
          </w:tcPr>
          <w:p>
            <w:pPr>
              <w:spacing w:line="240" w:lineRule="auto"/>
              <w:jc w:val="center"/>
            </w:pPr>
            <w:r>
              <w:t>评价等级与范围</w:t>
            </w:r>
          </w:p>
        </w:tc>
        <w:tc>
          <w:tcPr>
            <w:tcW w:w="1680" w:type="dxa"/>
            <w:tcBorders>
              <w:tl2br w:val="nil"/>
              <w:tr2bl w:val="nil"/>
            </w:tcBorders>
            <w:vAlign w:val="center"/>
          </w:tcPr>
          <w:p>
            <w:pPr>
              <w:spacing w:line="240" w:lineRule="auto"/>
              <w:jc w:val="center"/>
            </w:pPr>
            <w:r>
              <w:t>评价等级</w:t>
            </w:r>
          </w:p>
        </w:tc>
        <w:tc>
          <w:tcPr>
            <w:tcW w:w="2408" w:type="dxa"/>
            <w:gridSpan w:val="8"/>
            <w:tcBorders>
              <w:tl2br w:val="nil"/>
              <w:tr2bl w:val="nil"/>
            </w:tcBorders>
            <w:vAlign w:val="center"/>
          </w:tcPr>
          <w:p>
            <w:pPr>
              <w:spacing w:line="240" w:lineRule="auto"/>
              <w:jc w:val="center"/>
            </w:pPr>
            <w:r>
              <w:t>一级</w:t>
            </w:r>
            <w:r>
              <w:rPr/>
              <w:sym w:font="Wingdings" w:char="00A8"/>
            </w:r>
          </w:p>
        </w:tc>
        <w:tc>
          <w:tcPr>
            <w:tcW w:w="1977" w:type="dxa"/>
            <w:gridSpan w:val="7"/>
            <w:tcBorders>
              <w:tl2br w:val="nil"/>
              <w:tr2bl w:val="nil"/>
            </w:tcBorders>
            <w:vAlign w:val="center"/>
          </w:tcPr>
          <w:p>
            <w:pPr>
              <w:spacing w:line="240" w:lineRule="auto"/>
              <w:jc w:val="center"/>
            </w:pPr>
            <w:r>
              <w:t>二级</w:t>
            </w:r>
            <w:r>
              <w:rPr/>
              <w:sym w:font="Wingdings" w:char="00A8"/>
            </w:r>
          </w:p>
        </w:tc>
        <w:tc>
          <w:tcPr>
            <w:tcW w:w="2260" w:type="dxa"/>
            <w:gridSpan w:val="8"/>
            <w:tcBorders>
              <w:tl2br w:val="nil"/>
              <w:tr2bl w:val="nil"/>
            </w:tcBorders>
            <w:vAlign w:val="center"/>
          </w:tcPr>
          <w:p>
            <w:pPr>
              <w:spacing w:line="240" w:lineRule="auto"/>
              <w:jc w:val="center"/>
            </w:pPr>
            <w:r>
              <w:t>三级</w:t>
            </w:r>
            <w:r>
              <w:rPr/>
              <w:sym w:font="Wingdings" w:char="00FE"/>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45" w:hRule="atLeast"/>
          <w:jc w:val="center"/>
        </w:trPr>
        <w:tc>
          <w:tcPr>
            <w:tcW w:w="1243" w:type="dxa"/>
            <w:vMerge w:val="continue"/>
            <w:tcBorders>
              <w:tl2br w:val="nil"/>
              <w:tr2bl w:val="nil"/>
            </w:tcBorders>
            <w:vAlign w:val="center"/>
          </w:tcPr>
          <w:p>
            <w:pPr>
              <w:spacing w:line="240" w:lineRule="auto"/>
              <w:jc w:val="center"/>
            </w:pPr>
          </w:p>
        </w:tc>
        <w:tc>
          <w:tcPr>
            <w:tcW w:w="1680" w:type="dxa"/>
            <w:tcBorders>
              <w:tl2br w:val="nil"/>
              <w:tr2bl w:val="nil"/>
            </w:tcBorders>
          </w:tcPr>
          <w:p>
            <w:pPr>
              <w:spacing w:line="240" w:lineRule="auto"/>
              <w:jc w:val="center"/>
            </w:pPr>
            <w:r>
              <w:t>评价范围</w:t>
            </w:r>
          </w:p>
        </w:tc>
        <w:tc>
          <w:tcPr>
            <w:tcW w:w="2408" w:type="dxa"/>
            <w:gridSpan w:val="8"/>
            <w:tcBorders>
              <w:tl2br w:val="nil"/>
              <w:tr2bl w:val="nil"/>
            </w:tcBorders>
          </w:tcPr>
          <w:p>
            <w:pPr>
              <w:spacing w:line="240" w:lineRule="auto"/>
              <w:jc w:val="center"/>
            </w:pPr>
            <w:r>
              <w:t>边长=50km</w:t>
            </w:r>
            <w:r>
              <w:rPr/>
              <w:sym w:font="Wingdings" w:char="00A8"/>
            </w:r>
          </w:p>
        </w:tc>
        <w:tc>
          <w:tcPr>
            <w:tcW w:w="1977" w:type="dxa"/>
            <w:gridSpan w:val="7"/>
            <w:tcBorders>
              <w:tl2br w:val="nil"/>
              <w:tr2bl w:val="nil"/>
            </w:tcBorders>
          </w:tcPr>
          <w:p>
            <w:pPr>
              <w:spacing w:line="240" w:lineRule="auto"/>
              <w:jc w:val="center"/>
            </w:pPr>
            <w:r>
              <w:t>边长5~50km</w:t>
            </w:r>
            <w:r>
              <w:rPr/>
              <w:sym w:font="Wingdings" w:char="00A8"/>
            </w:r>
          </w:p>
        </w:tc>
        <w:tc>
          <w:tcPr>
            <w:tcW w:w="2260" w:type="dxa"/>
            <w:gridSpan w:val="8"/>
            <w:tcBorders>
              <w:tl2br w:val="nil"/>
              <w:tr2bl w:val="nil"/>
            </w:tcBorders>
          </w:tcPr>
          <w:p>
            <w:pPr>
              <w:spacing w:line="240" w:lineRule="auto"/>
              <w:jc w:val="center"/>
            </w:pPr>
            <w:r>
              <w:t>边长=5km</w:t>
            </w:r>
            <w:r>
              <w:rPr/>
              <w:sym w:font="Wingdings" w:char="00A8"/>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63" w:hRule="atLeast"/>
          <w:jc w:val="center"/>
        </w:trPr>
        <w:tc>
          <w:tcPr>
            <w:tcW w:w="1243" w:type="dxa"/>
            <w:vMerge w:val="restart"/>
            <w:tcBorders>
              <w:tl2br w:val="nil"/>
              <w:tr2bl w:val="nil"/>
            </w:tcBorders>
            <w:vAlign w:val="center"/>
          </w:tcPr>
          <w:p>
            <w:pPr>
              <w:spacing w:line="240" w:lineRule="auto"/>
              <w:jc w:val="center"/>
            </w:pPr>
            <w:r>
              <w:t>评价因子</w:t>
            </w:r>
          </w:p>
        </w:tc>
        <w:tc>
          <w:tcPr>
            <w:tcW w:w="1680" w:type="dxa"/>
            <w:tcBorders>
              <w:tl2br w:val="nil"/>
              <w:tr2bl w:val="nil"/>
            </w:tcBorders>
            <w:vAlign w:val="center"/>
          </w:tcPr>
          <w:p>
            <w:pPr>
              <w:spacing w:line="240" w:lineRule="auto"/>
              <w:jc w:val="center"/>
            </w:pPr>
            <w:r>
              <w:t>SO</w:t>
            </w:r>
            <w:r>
              <w:rPr>
                <w:vertAlign w:val="subscript"/>
              </w:rPr>
              <w:t>2</w:t>
            </w:r>
            <w:r>
              <w:t>+NO</w:t>
            </w:r>
            <w:r>
              <w:rPr>
                <w:vertAlign w:val="subscript"/>
              </w:rPr>
              <w:t>2</w:t>
            </w:r>
            <w:r>
              <w:t>排放量</w:t>
            </w:r>
          </w:p>
        </w:tc>
        <w:tc>
          <w:tcPr>
            <w:tcW w:w="1949" w:type="dxa"/>
            <w:gridSpan w:val="5"/>
            <w:tcBorders>
              <w:tl2br w:val="nil"/>
              <w:tr2bl w:val="nil"/>
            </w:tcBorders>
            <w:vAlign w:val="center"/>
          </w:tcPr>
          <w:p>
            <w:pPr>
              <w:spacing w:line="240" w:lineRule="auto"/>
              <w:jc w:val="center"/>
            </w:pPr>
            <w:r>
              <w:t>≥2000t/a</w:t>
            </w:r>
            <w:r>
              <w:rPr/>
              <w:sym w:font="Wingdings" w:char="00A8"/>
            </w:r>
          </w:p>
        </w:tc>
        <w:tc>
          <w:tcPr>
            <w:tcW w:w="2436" w:type="dxa"/>
            <w:gridSpan w:val="10"/>
            <w:tcBorders>
              <w:tl2br w:val="nil"/>
              <w:tr2bl w:val="nil"/>
            </w:tcBorders>
            <w:vAlign w:val="center"/>
          </w:tcPr>
          <w:p>
            <w:pPr>
              <w:spacing w:line="240" w:lineRule="auto"/>
              <w:jc w:val="center"/>
            </w:pPr>
            <w:r>
              <w:t>500~2000t/a</w:t>
            </w:r>
            <w:r>
              <w:rPr/>
              <w:sym w:font="Wingdings" w:char="00A8"/>
            </w:r>
          </w:p>
        </w:tc>
        <w:tc>
          <w:tcPr>
            <w:tcW w:w="2260" w:type="dxa"/>
            <w:gridSpan w:val="8"/>
            <w:tcBorders>
              <w:tl2br w:val="nil"/>
              <w:tr2bl w:val="nil"/>
            </w:tcBorders>
            <w:vAlign w:val="center"/>
          </w:tcPr>
          <w:p>
            <w:pPr>
              <w:spacing w:line="240" w:lineRule="auto"/>
              <w:jc w:val="center"/>
            </w:pPr>
            <w:r>
              <w:t>＜500t/a</w:t>
            </w:r>
            <w:r>
              <w:rPr/>
              <w:sym w:font="Wingdings" w:char="00FE"/>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65" w:hRule="atLeast"/>
          <w:jc w:val="center"/>
        </w:trPr>
        <w:tc>
          <w:tcPr>
            <w:tcW w:w="1243" w:type="dxa"/>
            <w:vMerge w:val="continue"/>
            <w:tcBorders>
              <w:tl2br w:val="nil"/>
              <w:tr2bl w:val="nil"/>
            </w:tcBorders>
            <w:vAlign w:val="center"/>
          </w:tcPr>
          <w:p>
            <w:pPr>
              <w:spacing w:line="240" w:lineRule="auto"/>
              <w:jc w:val="center"/>
            </w:pPr>
          </w:p>
        </w:tc>
        <w:tc>
          <w:tcPr>
            <w:tcW w:w="1680" w:type="dxa"/>
            <w:tcBorders>
              <w:tl2br w:val="nil"/>
              <w:tr2bl w:val="nil"/>
            </w:tcBorders>
            <w:vAlign w:val="center"/>
          </w:tcPr>
          <w:p>
            <w:pPr>
              <w:spacing w:line="240" w:lineRule="auto"/>
              <w:jc w:val="center"/>
            </w:pPr>
            <w:r>
              <w:t>评价因子</w:t>
            </w:r>
          </w:p>
        </w:tc>
        <w:tc>
          <w:tcPr>
            <w:tcW w:w="3517" w:type="dxa"/>
            <w:gridSpan w:val="12"/>
            <w:tcBorders>
              <w:tl2br w:val="nil"/>
              <w:tr2bl w:val="nil"/>
            </w:tcBorders>
          </w:tcPr>
          <w:p>
            <w:pPr>
              <w:spacing w:line="240" w:lineRule="auto"/>
              <w:jc w:val="center"/>
            </w:pPr>
            <w:r>
              <w:t>基本污染物（SO</w:t>
            </w:r>
            <w:r>
              <w:rPr>
                <w:vertAlign w:val="subscript"/>
              </w:rPr>
              <w:t>2</w:t>
            </w:r>
            <w:r>
              <w:t>、</w:t>
            </w:r>
            <w:r>
              <w:rPr>
                <w:rFonts w:hint="eastAsia"/>
              </w:rPr>
              <w:t>PM</w:t>
            </w:r>
            <w:r>
              <w:rPr>
                <w:rFonts w:hint="eastAsia"/>
                <w:vertAlign w:val="subscript"/>
              </w:rPr>
              <w:t>10</w:t>
            </w:r>
            <w:r>
              <w:t>）</w:t>
            </w:r>
          </w:p>
          <w:p>
            <w:pPr>
              <w:spacing w:line="240" w:lineRule="auto"/>
              <w:jc w:val="center"/>
            </w:pPr>
            <w:r>
              <w:t>其他污染物（</w:t>
            </w:r>
            <w:r>
              <w:rPr>
                <w:rFonts w:hint="eastAsia"/>
                <w:lang w:val="en-US" w:eastAsia="zh-CN"/>
              </w:rPr>
              <w:t>NH</w:t>
            </w:r>
            <w:r>
              <w:rPr>
                <w:rFonts w:hint="eastAsia"/>
                <w:vertAlign w:val="subscript"/>
                <w:lang w:val="en-US" w:eastAsia="zh-CN"/>
              </w:rPr>
              <w:t>3</w:t>
            </w:r>
            <w:r>
              <w:t>、</w:t>
            </w:r>
            <w:r>
              <w:rPr>
                <w:rFonts w:hint="eastAsia"/>
                <w:lang w:val="en-US" w:eastAsia="zh-CN"/>
              </w:rPr>
              <w:t>H</w:t>
            </w:r>
            <w:r>
              <w:rPr>
                <w:rFonts w:hint="eastAsia"/>
                <w:vertAlign w:val="subscript"/>
                <w:lang w:val="en-US" w:eastAsia="zh-CN"/>
              </w:rPr>
              <w:t>2</w:t>
            </w:r>
            <w:r>
              <w:rPr>
                <w:rFonts w:hint="eastAsia"/>
                <w:lang w:val="en-US" w:eastAsia="zh-CN"/>
              </w:rPr>
              <w:t>S</w:t>
            </w:r>
            <w:r>
              <w:rPr>
                <w:rFonts w:hint="eastAsia"/>
              </w:rPr>
              <w:t>、NOx</w:t>
            </w:r>
            <w:r>
              <w:t>）</w:t>
            </w:r>
          </w:p>
        </w:tc>
        <w:tc>
          <w:tcPr>
            <w:tcW w:w="3128" w:type="dxa"/>
            <w:gridSpan w:val="11"/>
            <w:tcBorders>
              <w:tl2br w:val="nil"/>
              <w:tr2bl w:val="nil"/>
            </w:tcBorders>
          </w:tcPr>
          <w:p>
            <w:pPr>
              <w:spacing w:line="240" w:lineRule="auto"/>
              <w:jc w:val="right"/>
            </w:pPr>
            <w:r>
              <w:t>包括二次PM</w:t>
            </w:r>
            <w:r>
              <w:rPr>
                <w:vertAlign w:val="subscript"/>
              </w:rPr>
              <w:t xml:space="preserve">2.5 </w:t>
            </w:r>
            <w:r>
              <w:rPr/>
              <w:sym w:font="Wingdings" w:char="00A8"/>
            </w:r>
            <w:r>
              <w:rPr>
                <w:vertAlign w:val="subscript"/>
              </w:rPr>
              <w:t xml:space="preserve">   </w:t>
            </w:r>
          </w:p>
          <w:p>
            <w:pPr>
              <w:spacing w:line="240" w:lineRule="auto"/>
              <w:jc w:val="right"/>
            </w:pPr>
            <w:r>
              <w:t>不包括二次PM</w:t>
            </w:r>
            <w:r>
              <w:rPr>
                <w:vertAlign w:val="subscript"/>
              </w:rPr>
              <w:t xml:space="preserve">2.5 </w:t>
            </w:r>
            <w:r>
              <w:rPr/>
              <w:sym w:font="Wingdings" w:char="00FE"/>
            </w:r>
            <w:r>
              <w:rPr>
                <w:vertAlign w:val="subscript"/>
              </w:rPr>
              <w:t xml:space="preserve">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58" w:hRule="atLeast"/>
          <w:jc w:val="center"/>
        </w:trPr>
        <w:tc>
          <w:tcPr>
            <w:tcW w:w="1243" w:type="dxa"/>
            <w:tcBorders>
              <w:tl2br w:val="nil"/>
              <w:tr2bl w:val="nil"/>
            </w:tcBorders>
            <w:vAlign w:val="center"/>
          </w:tcPr>
          <w:p>
            <w:pPr>
              <w:spacing w:line="240" w:lineRule="auto"/>
              <w:jc w:val="center"/>
            </w:pPr>
            <w:r>
              <w:t>评价标准</w:t>
            </w:r>
          </w:p>
        </w:tc>
        <w:tc>
          <w:tcPr>
            <w:tcW w:w="1680" w:type="dxa"/>
            <w:tcBorders>
              <w:tl2br w:val="nil"/>
              <w:tr2bl w:val="nil"/>
            </w:tcBorders>
            <w:vAlign w:val="center"/>
          </w:tcPr>
          <w:p>
            <w:pPr>
              <w:spacing w:line="240" w:lineRule="auto"/>
              <w:jc w:val="center"/>
            </w:pPr>
            <w:r>
              <w:t>评价标准</w:t>
            </w:r>
          </w:p>
        </w:tc>
        <w:tc>
          <w:tcPr>
            <w:tcW w:w="2223" w:type="dxa"/>
            <w:gridSpan w:val="7"/>
            <w:tcBorders>
              <w:tl2br w:val="nil"/>
              <w:tr2bl w:val="nil"/>
            </w:tcBorders>
            <w:vAlign w:val="center"/>
          </w:tcPr>
          <w:p>
            <w:pPr>
              <w:spacing w:line="240" w:lineRule="auto"/>
              <w:jc w:val="center"/>
            </w:pPr>
            <w:r>
              <w:t>国家标准</w:t>
            </w:r>
            <w:r>
              <w:rPr/>
              <w:sym w:font="Wingdings" w:char="00FE"/>
            </w:r>
          </w:p>
        </w:tc>
        <w:tc>
          <w:tcPr>
            <w:tcW w:w="1294" w:type="dxa"/>
            <w:gridSpan w:val="5"/>
            <w:tcBorders>
              <w:tl2br w:val="nil"/>
              <w:tr2bl w:val="nil"/>
            </w:tcBorders>
            <w:vAlign w:val="center"/>
          </w:tcPr>
          <w:p>
            <w:pPr>
              <w:spacing w:line="240" w:lineRule="auto"/>
              <w:jc w:val="center"/>
            </w:pPr>
            <w:r>
              <w:t>地方标准</w:t>
            </w:r>
            <w:r>
              <w:rPr/>
              <w:sym w:font="Wingdings" w:char="00A8"/>
            </w:r>
          </w:p>
        </w:tc>
        <w:tc>
          <w:tcPr>
            <w:tcW w:w="1380" w:type="dxa"/>
            <w:gridSpan w:val="7"/>
            <w:tcBorders>
              <w:tl2br w:val="nil"/>
              <w:tr2bl w:val="nil"/>
            </w:tcBorders>
            <w:vAlign w:val="center"/>
          </w:tcPr>
          <w:p>
            <w:pPr>
              <w:spacing w:line="240" w:lineRule="auto"/>
              <w:jc w:val="center"/>
            </w:pPr>
            <w:r>
              <w:t>附录D</w:t>
            </w:r>
            <w:r>
              <w:rPr/>
              <w:sym w:font="Wingdings" w:char="00FE"/>
            </w:r>
          </w:p>
        </w:tc>
        <w:tc>
          <w:tcPr>
            <w:tcW w:w="1748" w:type="dxa"/>
            <w:gridSpan w:val="4"/>
            <w:tcBorders>
              <w:tl2br w:val="nil"/>
              <w:tr2bl w:val="nil"/>
            </w:tcBorders>
            <w:vAlign w:val="center"/>
          </w:tcPr>
          <w:p>
            <w:pPr>
              <w:spacing w:line="240" w:lineRule="auto"/>
              <w:jc w:val="center"/>
            </w:pPr>
            <w:r>
              <w:t>其他标准</w:t>
            </w:r>
            <w:r>
              <w:rPr/>
              <w:sym w:font="Wingdings" w:char="00A8"/>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52" w:hRule="atLeast"/>
          <w:jc w:val="center"/>
        </w:trPr>
        <w:tc>
          <w:tcPr>
            <w:tcW w:w="1243" w:type="dxa"/>
            <w:vMerge w:val="restart"/>
            <w:tcBorders>
              <w:tl2br w:val="nil"/>
              <w:tr2bl w:val="nil"/>
            </w:tcBorders>
            <w:vAlign w:val="center"/>
          </w:tcPr>
          <w:p>
            <w:pPr>
              <w:spacing w:line="240" w:lineRule="auto"/>
              <w:jc w:val="center"/>
            </w:pPr>
            <w:r>
              <w:t>现状评价</w:t>
            </w:r>
          </w:p>
        </w:tc>
        <w:tc>
          <w:tcPr>
            <w:tcW w:w="1680" w:type="dxa"/>
            <w:tcBorders>
              <w:tl2br w:val="nil"/>
              <w:tr2bl w:val="nil"/>
            </w:tcBorders>
            <w:vAlign w:val="center"/>
          </w:tcPr>
          <w:p>
            <w:pPr>
              <w:spacing w:line="240" w:lineRule="auto"/>
              <w:jc w:val="center"/>
            </w:pPr>
            <w:r>
              <w:t>环境功能区</w:t>
            </w:r>
          </w:p>
        </w:tc>
        <w:tc>
          <w:tcPr>
            <w:tcW w:w="2408" w:type="dxa"/>
            <w:gridSpan w:val="8"/>
            <w:tcBorders>
              <w:tl2br w:val="nil"/>
              <w:tr2bl w:val="nil"/>
            </w:tcBorders>
            <w:vAlign w:val="center"/>
          </w:tcPr>
          <w:p>
            <w:pPr>
              <w:spacing w:line="240" w:lineRule="auto"/>
              <w:jc w:val="center"/>
            </w:pPr>
            <w:r>
              <w:t>一类区</w:t>
            </w:r>
            <w:r>
              <w:rPr/>
              <w:sym w:font="Wingdings" w:char="00A8"/>
            </w:r>
          </w:p>
        </w:tc>
        <w:tc>
          <w:tcPr>
            <w:tcW w:w="2163" w:type="dxa"/>
            <w:gridSpan w:val="9"/>
            <w:tcBorders>
              <w:tl2br w:val="nil"/>
              <w:tr2bl w:val="nil"/>
            </w:tcBorders>
            <w:vAlign w:val="center"/>
          </w:tcPr>
          <w:p>
            <w:pPr>
              <w:spacing w:line="240" w:lineRule="auto"/>
              <w:jc w:val="center"/>
            </w:pPr>
            <w:r>
              <w:t>二类区</w:t>
            </w:r>
            <w:r>
              <w:rPr/>
              <w:sym w:font="Wingdings" w:char="00FE"/>
            </w:r>
          </w:p>
        </w:tc>
        <w:tc>
          <w:tcPr>
            <w:tcW w:w="2074" w:type="dxa"/>
            <w:gridSpan w:val="6"/>
            <w:tcBorders>
              <w:tl2br w:val="nil"/>
              <w:tr2bl w:val="nil"/>
            </w:tcBorders>
            <w:vAlign w:val="center"/>
          </w:tcPr>
          <w:p>
            <w:pPr>
              <w:spacing w:line="240" w:lineRule="auto"/>
              <w:jc w:val="center"/>
            </w:pPr>
            <w:r>
              <w:t>一类区和二类区</w:t>
            </w:r>
            <w:r>
              <w:rPr/>
              <w:sym w:font="Wingdings" w:char="00A8"/>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60" w:hRule="atLeast"/>
          <w:jc w:val="center"/>
        </w:trPr>
        <w:tc>
          <w:tcPr>
            <w:tcW w:w="1243" w:type="dxa"/>
            <w:vMerge w:val="continue"/>
            <w:tcBorders>
              <w:tl2br w:val="nil"/>
              <w:tr2bl w:val="nil"/>
            </w:tcBorders>
            <w:vAlign w:val="center"/>
          </w:tcPr>
          <w:p>
            <w:pPr>
              <w:spacing w:line="240" w:lineRule="auto"/>
              <w:jc w:val="center"/>
            </w:pPr>
          </w:p>
        </w:tc>
        <w:tc>
          <w:tcPr>
            <w:tcW w:w="1680" w:type="dxa"/>
            <w:tcBorders>
              <w:tl2br w:val="nil"/>
              <w:tr2bl w:val="nil"/>
            </w:tcBorders>
            <w:vAlign w:val="center"/>
          </w:tcPr>
          <w:p>
            <w:pPr>
              <w:spacing w:line="240" w:lineRule="auto"/>
              <w:jc w:val="center"/>
            </w:pPr>
            <w:r>
              <w:t>环境基准年</w:t>
            </w:r>
          </w:p>
        </w:tc>
        <w:tc>
          <w:tcPr>
            <w:tcW w:w="6645" w:type="dxa"/>
            <w:gridSpan w:val="23"/>
            <w:tcBorders>
              <w:tl2br w:val="nil"/>
              <w:tr2bl w:val="nil"/>
            </w:tcBorders>
            <w:vAlign w:val="center"/>
          </w:tcPr>
          <w:p>
            <w:pPr>
              <w:spacing w:line="240" w:lineRule="auto"/>
              <w:jc w:val="center"/>
            </w:pPr>
            <w:r>
              <w:t>（2017）年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975" w:hRule="atLeast"/>
          <w:jc w:val="center"/>
        </w:trPr>
        <w:tc>
          <w:tcPr>
            <w:tcW w:w="1243" w:type="dxa"/>
            <w:vMerge w:val="continue"/>
            <w:tcBorders>
              <w:tl2br w:val="nil"/>
              <w:tr2bl w:val="nil"/>
            </w:tcBorders>
            <w:vAlign w:val="center"/>
          </w:tcPr>
          <w:p>
            <w:pPr>
              <w:spacing w:line="240" w:lineRule="auto"/>
              <w:jc w:val="center"/>
            </w:pPr>
          </w:p>
        </w:tc>
        <w:tc>
          <w:tcPr>
            <w:tcW w:w="1680" w:type="dxa"/>
            <w:tcBorders>
              <w:tl2br w:val="nil"/>
              <w:tr2bl w:val="nil"/>
            </w:tcBorders>
            <w:vAlign w:val="center"/>
          </w:tcPr>
          <w:p>
            <w:pPr>
              <w:spacing w:line="240" w:lineRule="auto"/>
              <w:jc w:val="center"/>
            </w:pPr>
            <w:r>
              <w:t>环境空气质量</w:t>
            </w:r>
          </w:p>
          <w:p>
            <w:pPr>
              <w:spacing w:line="240" w:lineRule="auto"/>
              <w:jc w:val="center"/>
            </w:pPr>
            <w:r>
              <w:t>现状调查数据来源</w:t>
            </w:r>
          </w:p>
        </w:tc>
        <w:tc>
          <w:tcPr>
            <w:tcW w:w="2223" w:type="dxa"/>
            <w:gridSpan w:val="7"/>
            <w:tcBorders>
              <w:tl2br w:val="nil"/>
              <w:tr2bl w:val="nil"/>
            </w:tcBorders>
            <w:vAlign w:val="center"/>
          </w:tcPr>
          <w:p>
            <w:pPr>
              <w:spacing w:line="240" w:lineRule="auto"/>
              <w:jc w:val="center"/>
            </w:pPr>
            <w:r>
              <w:t>长期例行监测数据</w:t>
            </w:r>
            <w:r>
              <w:rPr/>
              <w:sym w:font="Wingdings" w:char="00A8"/>
            </w:r>
          </w:p>
        </w:tc>
        <w:tc>
          <w:tcPr>
            <w:tcW w:w="2267" w:type="dxa"/>
            <w:gridSpan w:val="9"/>
            <w:tcBorders>
              <w:tl2br w:val="nil"/>
              <w:tr2bl w:val="nil"/>
            </w:tcBorders>
            <w:vAlign w:val="center"/>
          </w:tcPr>
          <w:p>
            <w:pPr>
              <w:spacing w:line="240" w:lineRule="auto"/>
              <w:jc w:val="center"/>
            </w:pPr>
            <w:r>
              <w:t>主管部门发布的数据</w:t>
            </w:r>
            <w:r>
              <w:rPr/>
              <w:sym w:font="Wingdings" w:char="00FE"/>
            </w:r>
          </w:p>
        </w:tc>
        <w:tc>
          <w:tcPr>
            <w:tcW w:w="2155" w:type="dxa"/>
            <w:gridSpan w:val="7"/>
            <w:tcBorders>
              <w:tl2br w:val="nil"/>
              <w:tr2bl w:val="nil"/>
            </w:tcBorders>
            <w:vAlign w:val="center"/>
          </w:tcPr>
          <w:p>
            <w:pPr>
              <w:spacing w:line="240" w:lineRule="auto"/>
              <w:jc w:val="center"/>
            </w:pPr>
            <w:r>
              <w:t>现状补充监测</w:t>
            </w:r>
            <w:r>
              <w:rPr/>
              <w:sym w:font="Wingdings" w:char="00A8"/>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60" w:hRule="atLeast"/>
          <w:jc w:val="center"/>
        </w:trPr>
        <w:tc>
          <w:tcPr>
            <w:tcW w:w="1243" w:type="dxa"/>
            <w:vMerge w:val="continue"/>
            <w:tcBorders>
              <w:tl2br w:val="nil"/>
              <w:tr2bl w:val="nil"/>
            </w:tcBorders>
            <w:vAlign w:val="center"/>
          </w:tcPr>
          <w:p>
            <w:pPr>
              <w:spacing w:line="240" w:lineRule="auto"/>
              <w:jc w:val="center"/>
            </w:pPr>
          </w:p>
        </w:tc>
        <w:tc>
          <w:tcPr>
            <w:tcW w:w="1680" w:type="dxa"/>
            <w:tcBorders>
              <w:tl2br w:val="nil"/>
              <w:tr2bl w:val="nil"/>
            </w:tcBorders>
            <w:vAlign w:val="center"/>
          </w:tcPr>
          <w:p>
            <w:pPr>
              <w:spacing w:line="240" w:lineRule="auto"/>
              <w:jc w:val="center"/>
            </w:pPr>
            <w:r>
              <w:t>现状评估</w:t>
            </w:r>
          </w:p>
        </w:tc>
        <w:tc>
          <w:tcPr>
            <w:tcW w:w="3517" w:type="dxa"/>
            <w:gridSpan w:val="12"/>
            <w:tcBorders>
              <w:tl2br w:val="nil"/>
              <w:tr2bl w:val="nil"/>
            </w:tcBorders>
            <w:vAlign w:val="center"/>
          </w:tcPr>
          <w:p>
            <w:pPr>
              <w:spacing w:line="240" w:lineRule="auto"/>
              <w:jc w:val="center"/>
            </w:pPr>
            <w:r>
              <w:t>达标区</w:t>
            </w:r>
            <w:r>
              <w:rPr/>
              <w:sym w:font="Wingdings" w:char="00A8"/>
            </w:r>
          </w:p>
        </w:tc>
        <w:tc>
          <w:tcPr>
            <w:tcW w:w="3128" w:type="dxa"/>
            <w:gridSpan w:val="11"/>
            <w:tcBorders>
              <w:tl2br w:val="nil"/>
              <w:tr2bl w:val="nil"/>
            </w:tcBorders>
            <w:vAlign w:val="center"/>
          </w:tcPr>
          <w:p>
            <w:pPr>
              <w:spacing w:line="240" w:lineRule="auto"/>
              <w:jc w:val="center"/>
            </w:pPr>
            <w:r>
              <w:t>不达标区</w:t>
            </w:r>
            <w:r>
              <w:rPr/>
              <w:sym w:font="Wingdings" w:char="00FE"/>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618" w:hRule="atLeast"/>
          <w:jc w:val="center"/>
        </w:trPr>
        <w:tc>
          <w:tcPr>
            <w:tcW w:w="1243" w:type="dxa"/>
            <w:tcBorders>
              <w:tl2br w:val="nil"/>
              <w:tr2bl w:val="nil"/>
            </w:tcBorders>
            <w:vAlign w:val="center"/>
          </w:tcPr>
          <w:p>
            <w:pPr>
              <w:spacing w:line="240" w:lineRule="auto"/>
              <w:jc w:val="center"/>
            </w:pPr>
            <w:r>
              <w:t>污染源</w:t>
            </w:r>
          </w:p>
          <w:p>
            <w:pPr>
              <w:spacing w:line="240" w:lineRule="auto"/>
              <w:jc w:val="center"/>
            </w:pPr>
            <w:r>
              <w:t>调查</w:t>
            </w:r>
          </w:p>
        </w:tc>
        <w:tc>
          <w:tcPr>
            <w:tcW w:w="1680" w:type="dxa"/>
            <w:tcBorders>
              <w:tl2br w:val="nil"/>
              <w:tr2bl w:val="nil"/>
            </w:tcBorders>
            <w:vAlign w:val="center"/>
          </w:tcPr>
          <w:p>
            <w:pPr>
              <w:spacing w:line="240" w:lineRule="auto"/>
              <w:jc w:val="center"/>
            </w:pPr>
            <w:r>
              <w:t>调查内容</w:t>
            </w:r>
          </w:p>
        </w:tc>
        <w:tc>
          <w:tcPr>
            <w:tcW w:w="2027" w:type="dxa"/>
            <w:gridSpan w:val="6"/>
            <w:tcBorders>
              <w:tl2br w:val="nil"/>
              <w:tr2bl w:val="nil"/>
            </w:tcBorders>
            <w:vAlign w:val="center"/>
          </w:tcPr>
          <w:p>
            <w:pPr>
              <w:spacing w:line="240" w:lineRule="auto"/>
              <w:jc w:val="right"/>
            </w:pPr>
            <w:r>
              <w:t xml:space="preserve">本项目正常排放源 </w:t>
            </w:r>
            <w:r>
              <w:rPr/>
              <w:sym w:font="Wingdings" w:char="00FE"/>
            </w:r>
          </w:p>
          <w:p>
            <w:pPr>
              <w:spacing w:line="240" w:lineRule="auto"/>
              <w:jc w:val="right"/>
            </w:pPr>
            <w:r>
              <w:t xml:space="preserve">本项目非正常排放源 </w:t>
            </w:r>
            <w:r>
              <w:rPr/>
              <w:sym w:font="Wingdings" w:char="00A8"/>
            </w:r>
          </w:p>
          <w:p>
            <w:pPr>
              <w:spacing w:line="240" w:lineRule="auto"/>
              <w:jc w:val="right"/>
            </w:pPr>
            <w:r>
              <w:t xml:space="preserve">现有污染源 </w:t>
            </w:r>
            <w:r>
              <w:rPr/>
              <w:sym w:font="Wingdings" w:char="00A8"/>
            </w:r>
          </w:p>
        </w:tc>
        <w:tc>
          <w:tcPr>
            <w:tcW w:w="1490" w:type="dxa"/>
            <w:gridSpan w:val="6"/>
            <w:tcBorders>
              <w:tl2br w:val="nil"/>
              <w:tr2bl w:val="nil"/>
            </w:tcBorders>
            <w:vAlign w:val="center"/>
          </w:tcPr>
          <w:p>
            <w:pPr>
              <w:spacing w:line="240" w:lineRule="auto"/>
              <w:jc w:val="center"/>
            </w:pPr>
            <w:r>
              <w:t>拟替代的污染源</w:t>
            </w:r>
            <w:r>
              <w:rPr/>
              <w:sym w:font="Wingdings" w:char="00A8"/>
            </w:r>
          </w:p>
        </w:tc>
        <w:tc>
          <w:tcPr>
            <w:tcW w:w="1528" w:type="dxa"/>
            <w:gridSpan w:val="8"/>
            <w:tcBorders>
              <w:tl2br w:val="nil"/>
              <w:tr2bl w:val="nil"/>
            </w:tcBorders>
            <w:vAlign w:val="center"/>
          </w:tcPr>
          <w:p>
            <w:pPr>
              <w:spacing w:line="240" w:lineRule="auto"/>
              <w:jc w:val="center"/>
            </w:pPr>
            <w:r>
              <w:t>其他在建、</w:t>
            </w:r>
            <w:r>
              <w:rPr>
                <w:rFonts w:hint="eastAsia"/>
              </w:rPr>
              <w:t>项目</w:t>
            </w:r>
            <w:r>
              <w:t>污染源</w:t>
            </w:r>
            <w:r>
              <w:rPr/>
              <w:sym w:font="Wingdings" w:char="00A8"/>
            </w:r>
          </w:p>
        </w:tc>
        <w:tc>
          <w:tcPr>
            <w:tcW w:w="1600" w:type="dxa"/>
            <w:gridSpan w:val="3"/>
            <w:tcBorders>
              <w:tl2br w:val="nil"/>
              <w:tr2bl w:val="nil"/>
            </w:tcBorders>
            <w:vAlign w:val="center"/>
          </w:tcPr>
          <w:p>
            <w:pPr>
              <w:spacing w:line="240" w:lineRule="auto"/>
              <w:jc w:val="center"/>
            </w:pPr>
            <w:r>
              <w:t>区域污染源</w:t>
            </w:r>
            <w:r>
              <w:rPr/>
              <w:sym w:font="Wingdings" w:char="00A8"/>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978" w:hRule="atLeast"/>
          <w:jc w:val="center"/>
        </w:trPr>
        <w:tc>
          <w:tcPr>
            <w:tcW w:w="1243" w:type="dxa"/>
            <w:vMerge w:val="restart"/>
            <w:tcBorders>
              <w:tl2br w:val="nil"/>
              <w:tr2bl w:val="nil"/>
            </w:tcBorders>
            <w:vAlign w:val="center"/>
          </w:tcPr>
          <w:p>
            <w:pPr>
              <w:spacing w:line="240" w:lineRule="auto"/>
              <w:jc w:val="center"/>
            </w:pPr>
            <w:r>
              <w:t>大气环境影响预测与</w:t>
            </w:r>
          </w:p>
          <w:p>
            <w:pPr>
              <w:spacing w:line="240" w:lineRule="auto"/>
              <w:jc w:val="center"/>
            </w:pPr>
            <w:r>
              <w:t>评价</w:t>
            </w:r>
          </w:p>
        </w:tc>
        <w:tc>
          <w:tcPr>
            <w:tcW w:w="1680" w:type="dxa"/>
            <w:tcBorders>
              <w:tl2br w:val="nil"/>
              <w:tr2bl w:val="nil"/>
            </w:tcBorders>
            <w:vAlign w:val="center"/>
          </w:tcPr>
          <w:p>
            <w:pPr>
              <w:spacing w:line="240" w:lineRule="auto"/>
              <w:jc w:val="center"/>
            </w:pPr>
            <w:r>
              <w:t>预测模型</w:t>
            </w:r>
          </w:p>
        </w:tc>
        <w:tc>
          <w:tcPr>
            <w:tcW w:w="1003" w:type="dxa"/>
            <w:tcBorders>
              <w:tl2br w:val="nil"/>
              <w:tr2bl w:val="nil"/>
            </w:tcBorders>
            <w:vAlign w:val="center"/>
          </w:tcPr>
          <w:p>
            <w:pPr>
              <w:spacing w:line="240" w:lineRule="auto"/>
              <w:jc w:val="center"/>
            </w:pPr>
            <w:r>
              <w:t>AERMOD</w:t>
            </w:r>
            <w:r>
              <w:rPr/>
              <w:sym w:font="Wingdings" w:char="00A8"/>
            </w:r>
          </w:p>
        </w:tc>
        <w:tc>
          <w:tcPr>
            <w:tcW w:w="655" w:type="dxa"/>
            <w:gridSpan w:val="2"/>
            <w:tcBorders>
              <w:tl2br w:val="nil"/>
              <w:tr2bl w:val="nil"/>
            </w:tcBorders>
            <w:vAlign w:val="center"/>
          </w:tcPr>
          <w:p>
            <w:pPr>
              <w:spacing w:line="240" w:lineRule="auto"/>
              <w:jc w:val="center"/>
            </w:pPr>
            <w:r>
              <w:t>ADMS</w:t>
            </w:r>
          </w:p>
          <w:p>
            <w:pPr>
              <w:spacing w:line="240" w:lineRule="auto"/>
              <w:jc w:val="center"/>
            </w:pPr>
            <w:r>
              <w:rPr/>
              <w:sym w:font="Wingdings" w:char="00A8"/>
            </w:r>
          </w:p>
        </w:tc>
        <w:tc>
          <w:tcPr>
            <w:tcW w:w="1025" w:type="dxa"/>
            <w:gridSpan w:val="6"/>
            <w:tcBorders>
              <w:tl2br w:val="nil"/>
              <w:tr2bl w:val="nil"/>
            </w:tcBorders>
            <w:vAlign w:val="center"/>
          </w:tcPr>
          <w:p>
            <w:pPr>
              <w:spacing w:line="240" w:lineRule="auto"/>
              <w:jc w:val="center"/>
            </w:pPr>
            <w:r>
              <w:t>AUSTAL2000</w:t>
            </w:r>
            <w:r>
              <w:rPr/>
              <w:sym w:font="Wingdings" w:char="00A8"/>
            </w:r>
          </w:p>
        </w:tc>
        <w:tc>
          <w:tcPr>
            <w:tcW w:w="1066" w:type="dxa"/>
            <w:gridSpan w:val="4"/>
            <w:tcBorders>
              <w:tl2br w:val="nil"/>
              <w:tr2bl w:val="nil"/>
            </w:tcBorders>
            <w:vAlign w:val="center"/>
          </w:tcPr>
          <w:p>
            <w:pPr>
              <w:spacing w:line="240" w:lineRule="auto"/>
              <w:jc w:val="center"/>
            </w:pPr>
            <w:r>
              <w:t>EDMS/AEDT</w:t>
            </w:r>
            <w:r>
              <w:rPr/>
              <w:sym w:font="Wingdings" w:char="00A8"/>
            </w:r>
          </w:p>
        </w:tc>
        <w:tc>
          <w:tcPr>
            <w:tcW w:w="822" w:type="dxa"/>
            <w:gridSpan w:val="4"/>
            <w:tcBorders>
              <w:tl2br w:val="nil"/>
              <w:tr2bl w:val="nil"/>
            </w:tcBorders>
            <w:vAlign w:val="center"/>
          </w:tcPr>
          <w:p>
            <w:pPr>
              <w:spacing w:line="240" w:lineRule="auto"/>
              <w:jc w:val="center"/>
            </w:pPr>
            <w:r>
              <w:t>CALPUFF</w:t>
            </w:r>
            <w:r>
              <w:rPr/>
              <w:sym w:font="Wingdings" w:char="00A8"/>
            </w:r>
          </w:p>
        </w:tc>
        <w:tc>
          <w:tcPr>
            <w:tcW w:w="847" w:type="dxa"/>
            <w:gridSpan w:val="5"/>
            <w:tcBorders>
              <w:tl2br w:val="nil"/>
              <w:tr2bl w:val="nil"/>
            </w:tcBorders>
            <w:vAlign w:val="center"/>
          </w:tcPr>
          <w:p>
            <w:pPr>
              <w:spacing w:line="240" w:lineRule="auto"/>
              <w:jc w:val="center"/>
            </w:pPr>
            <w:r>
              <w:t>网络模型</w:t>
            </w:r>
          </w:p>
          <w:p>
            <w:pPr>
              <w:spacing w:line="240" w:lineRule="auto"/>
              <w:jc w:val="center"/>
            </w:pPr>
            <w:r>
              <w:rPr/>
              <w:sym w:font="Wingdings" w:char="00A8"/>
            </w:r>
          </w:p>
        </w:tc>
        <w:tc>
          <w:tcPr>
            <w:tcW w:w="1227" w:type="dxa"/>
            <w:tcBorders>
              <w:tl2br w:val="nil"/>
              <w:tr2bl w:val="nil"/>
            </w:tcBorders>
            <w:vAlign w:val="center"/>
          </w:tcPr>
          <w:p>
            <w:pPr>
              <w:spacing w:line="240" w:lineRule="auto"/>
              <w:jc w:val="center"/>
            </w:pPr>
            <w:r>
              <w:t>其他</w:t>
            </w:r>
          </w:p>
          <w:p>
            <w:pPr>
              <w:spacing w:line="240" w:lineRule="auto"/>
              <w:jc w:val="center"/>
            </w:pPr>
            <w:r>
              <w:rPr/>
              <w:sym w:font="Wingdings" w:char="00A8"/>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60" w:hRule="atLeast"/>
          <w:jc w:val="center"/>
        </w:trPr>
        <w:tc>
          <w:tcPr>
            <w:tcW w:w="1243" w:type="dxa"/>
            <w:vMerge w:val="continue"/>
            <w:tcBorders>
              <w:tl2br w:val="nil"/>
              <w:tr2bl w:val="nil"/>
            </w:tcBorders>
          </w:tcPr>
          <w:p>
            <w:pPr>
              <w:spacing w:line="240" w:lineRule="auto"/>
              <w:jc w:val="center"/>
            </w:pPr>
          </w:p>
        </w:tc>
        <w:tc>
          <w:tcPr>
            <w:tcW w:w="1680" w:type="dxa"/>
            <w:tcBorders>
              <w:tl2br w:val="nil"/>
              <w:tr2bl w:val="nil"/>
            </w:tcBorders>
            <w:vAlign w:val="center"/>
          </w:tcPr>
          <w:p>
            <w:pPr>
              <w:spacing w:line="240" w:lineRule="auto"/>
              <w:jc w:val="center"/>
            </w:pPr>
            <w:r>
              <w:t>预测范围</w:t>
            </w:r>
          </w:p>
        </w:tc>
        <w:tc>
          <w:tcPr>
            <w:tcW w:w="1751" w:type="dxa"/>
            <w:gridSpan w:val="4"/>
            <w:tcBorders>
              <w:tl2br w:val="nil"/>
              <w:tr2bl w:val="nil"/>
            </w:tcBorders>
            <w:vAlign w:val="center"/>
          </w:tcPr>
          <w:p>
            <w:pPr>
              <w:spacing w:line="240" w:lineRule="auto"/>
              <w:jc w:val="center"/>
            </w:pPr>
            <w:r>
              <w:t xml:space="preserve">边长≥50km </w:t>
            </w:r>
            <w:r>
              <w:rPr/>
              <w:sym w:font="Wingdings" w:char="00A8"/>
            </w:r>
          </w:p>
        </w:tc>
        <w:tc>
          <w:tcPr>
            <w:tcW w:w="2820" w:type="dxa"/>
            <w:gridSpan w:val="13"/>
            <w:tcBorders>
              <w:tl2br w:val="nil"/>
              <w:tr2bl w:val="nil"/>
            </w:tcBorders>
            <w:vAlign w:val="center"/>
          </w:tcPr>
          <w:p>
            <w:pPr>
              <w:spacing w:line="240" w:lineRule="auto"/>
              <w:jc w:val="center"/>
            </w:pPr>
            <w:r>
              <w:t xml:space="preserve">边长5~50km </w:t>
            </w:r>
            <w:r>
              <w:rPr/>
              <w:sym w:font="Wingdings" w:char="00A8"/>
            </w:r>
          </w:p>
        </w:tc>
        <w:tc>
          <w:tcPr>
            <w:tcW w:w="2074" w:type="dxa"/>
            <w:gridSpan w:val="6"/>
            <w:tcBorders>
              <w:tl2br w:val="nil"/>
              <w:tr2bl w:val="nil"/>
            </w:tcBorders>
            <w:vAlign w:val="center"/>
          </w:tcPr>
          <w:p>
            <w:pPr>
              <w:spacing w:line="240" w:lineRule="auto"/>
              <w:jc w:val="center"/>
            </w:pPr>
            <w:r>
              <w:t xml:space="preserve">边长=5km </w:t>
            </w:r>
            <w:r>
              <w:rPr/>
              <w:sym w:font="Wingdings" w:char="00A8"/>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65" w:hRule="atLeast"/>
          <w:jc w:val="center"/>
        </w:trPr>
        <w:tc>
          <w:tcPr>
            <w:tcW w:w="1243" w:type="dxa"/>
            <w:vMerge w:val="continue"/>
            <w:tcBorders>
              <w:tl2br w:val="nil"/>
              <w:tr2bl w:val="nil"/>
            </w:tcBorders>
          </w:tcPr>
          <w:p>
            <w:pPr>
              <w:spacing w:line="240" w:lineRule="auto"/>
              <w:jc w:val="center"/>
            </w:pPr>
          </w:p>
        </w:tc>
        <w:tc>
          <w:tcPr>
            <w:tcW w:w="1680" w:type="dxa"/>
            <w:tcBorders>
              <w:tl2br w:val="nil"/>
              <w:tr2bl w:val="nil"/>
            </w:tcBorders>
            <w:vAlign w:val="center"/>
          </w:tcPr>
          <w:p>
            <w:pPr>
              <w:spacing w:line="240" w:lineRule="auto"/>
              <w:jc w:val="center"/>
            </w:pPr>
            <w:r>
              <w:t>预测因子</w:t>
            </w:r>
          </w:p>
        </w:tc>
        <w:tc>
          <w:tcPr>
            <w:tcW w:w="3517" w:type="dxa"/>
            <w:gridSpan w:val="12"/>
            <w:tcBorders>
              <w:tl2br w:val="nil"/>
              <w:tr2bl w:val="nil"/>
            </w:tcBorders>
            <w:vAlign w:val="center"/>
          </w:tcPr>
          <w:p>
            <w:pPr>
              <w:spacing w:line="240" w:lineRule="auto"/>
              <w:jc w:val="center"/>
            </w:pPr>
            <w:r>
              <w:t>预测因子（）</w:t>
            </w:r>
          </w:p>
        </w:tc>
        <w:tc>
          <w:tcPr>
            <w:tcW w:w="3128" w:type="dxa"/>
            <w:gridSpan w:val="11"/>
            <w:tcBorders>
              <w:tl2br w:val="nil"/>
              <w:tr2bl w:val="nil"/>
            </w:tcBorders>
          </w:tcPr>
          <w:p>
            <w:pPr>
              <w:spacing w:line="240" w:lineRule="auto"/>
              <w:jc w:val="right"/>
            </w:pPr>
            <w:r>
              <w:t>包括二次PM</w:t>
            </w:r>
            <w:r>
              <w:rPr>
                <w:vertAlign w:val="subscript"/>
              </w:rPr>
              <w:t xml:space="preserve">2.5 </w:t>
            </w:r>
            <w:r>
              <w:rPr/>
              <w:sym w:font="Wingdings" w:char="00A8"/>
            </w:r>
            <w:r>
              <w:rPr>
                <w:vertAlign w:val="subscript"/>
              </w:rPr>
              <w:t xml:space="preserve">   </w:t>
            </w:r>
          </w:p>
          <w:p>
            <w:pPr>
              <w:spacing w:line="240" w:lineRule="auto"/>
              <w:jc w:val="right"/>
            </w:pPr>
            <w:r>
              <w:t>不包括二次PM</w:t>
            </w:r>
            <w:r>
              <w:rPr>
                <w:vertAlign w:val="subscript"/>
              </w:rPr>
              <w:t xml:space="preserve">2.5 </w:t>
            </w:r>
            <w:r>
              <w:rPr/>
              <w:sym w:font="Wingdings" w:char="00A8"/>
            </w:r>
            <w:r>
              <w:rPr>
                <w:vertAlign w:val="subscript"/>
              </w:rPr>
              <w:t xml:space="preserve">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975" w:hRule="atLeast"/>
          <w:jc w:val="center"/>
        </w:trPr>
        <w:tc>
          <w:tcPr>
            <w:tcW w:w="1243" w:type="dxa"/>
            <w:vMerge w:val="continue"/>
            <w:tcBorders>
              <w:tl2br w:val="nil"/>
              <w:tr2bl w:val="nil"/>
            </w:tcBorders>
          </w:tcPr>
          <w:p>
            <w:pPr>
              <w:spacing w:line="240" w:lineRule="auto"/>
              <w:jc w:val="center"/>
            </w:pPr>
          </w:p>
        </w:tc>
        <w:tc>
          <w:tcPr>
            <w:tcW w:w="1680" w:type="dxa"/>
            <w:tcBorders>
              <w:tl2br w:val="nil"/>
              <w:tr2bl w:val="nil"/>
            </w:tcBorders>
            <w:vAlign w:val="center"/>
          </w:tcPr>
          <w:p>
            <w:pPr>
              <w:spacing w:line="240" w:lineRule="auto"/>
              <w:jc w:val="center"/>
            </w:pPr>
            <w:r>
              <w:t>正常排放短期浓度</w:t>
            </w:r>
          </w:p>
          <w:p>
            <w:pPr>
              <w:spacing w:line="240" w:lineRule="auto"/>
              <w:jc w:val="center"/>
            </w:pPr>
            <w:r>
              <w:t>贡献值</w:t>
            </w:r>
          </w:p>
        </w:tc>
        <w:tc>
          <w:tcPr>
            <w:tcW w:w="3517" w:type="dxa"/>
            <w:gridSpan w:val="12"/>
            <w:tcBorders>
              <w:tl2br w:val="nil"/>
              <w:tr2bl w:val="nil"/>
            </w:tcBorders>
            <w:vAlign w:val="center"/>
          </w:tcPr>
          <w:p>
            <w:pPr>
              <w:spacing w:line="240" w:lineRule="auto"/>
              <w:jc w:val="center"/>
            </w:pPr>
            <w:r>
              <w:t>C</w:t>
            </w:r>
            <w:r>
              <w:rPr>
                <w:vertAlign w:val="subscript"/>
              </w:rPr>
              <w:t>本项目</w:t>
            </w:r>
            <w:r>
              <w:t>最大占标率≤100%</w:t>
            </w:r>
            <w:r>
              <w:rPr/>
              <w:sym w:font="Wingdings" w:char="00A8"/>
            </w:r>
          </w:p>
        </w:tc>
        <w:tc>
          <w:tcPr>
            <w:tcW w:w="3128" w:type="dxa"/>
            <w:gridSpan w:val="11"/>
            <w:tcBorders>
              <w:tl2br w:val="nil"/>
              <w:tr2bl w:val="nil"/>
            </w:tcBorders>
            <w:vAlign w:val="center"/>
          </w:tcPr>
          <w:p>
            <w:pPr>
              <w:spacing w:line="240" w:lineRule="auto"/>
              <w:jc w:val="center"/>
            </w:pPr>
            <w:r>
              <w:t>C</w:t>
            </w:r>
            <w:r>
              <w:rPr>
                <w:vertAlign w:val="subscript"/>
              </w:rPr>
              <w:t>本项目</w:t>
            </w:r>
            <w:r>
              <w:t>最大占标率＞100%</w:t>
            </w:r>
            <w:r>
              <w:rPr/>
              <w:sym w:font="Wingdings" w:char="00A8"/>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22" w:hRule="atLeast"/>
          <w:jc w:val="center"/>
        </w:trPr>
        <w:tc>
          <w:tcPr>
            <w:tcW w:w="1243" w:type="dxa"/>
            <w:vMerge w:val="continue"/>
            <w:tcBorders>
              <w:tl2br w:val="nil"/>
              <w:tr2bl w:val="nil"/>
            </w:tcBorders>
          </w:tcPr>
          <w:p>
            <w:pPr>
              <w:spacing w:line="240" w:lineRule="auto"/>
              <w:jc w:val="center"/>
            </w:pPr>
          </w:p>
        </w:tc>
        <w:tc>
          <w:tcPr>
            <w:tcW w:w="1680" w:type="dxa"/>
            <w:vMerge w:val="restart"/>
            <w:tcBorders>
              <w:tl2br w:val="nil"/>
              <w:tr2bl w:val="nil"/>
            </w:tcBorders>
            <w:vAlign w:val="center"/>
          </w:tcPr>
          <w:p>
            <w:pPr>
              <w:spacing w:line="240" w:lineRule="auto"/>
              <w:jc w:val="center"/>
            </w:pPr>
            <w:r>
              <w:t>正常排放年均浓度</w:t>
            </w:r>
          </w:p>
          <w:p>
            <w:pPr>
              <w:spacing w:line="240" w:lineRule="auto"/>
              <w:jc w:val="center"/>
            </w:pPr>
            <w:r>
              <w:t>贡献值</w:t>
            </w:r>
          </w:p>
        </w:tc>
        <w:tc>
          <w:tcPr>
            <w:tcW w:w="1203" w:type="dxa"/>
            <w:gridSpan w:val="2"/>
            <w:tcBorders>
              <w:tl2br w:val="nil"/>
              <w:tr2bl w:val="nil"/>
            </w:tcBorders>
            <w:vAlign w:val="center"/>
          </w:tcPr>
          <w:p>
            <w:pPr>
              <w:spacing w:line="240" w:lineRule="auto"/>
              <w:jc w:val="center"/>
            </w:pPr>
            <w:r>
              <w:t>一类区</w:t>
            </w:r>
          </w:p>
        </w:tc>
        <w:tc>
          <w:tcPr>
            <w:tcW w:w="2314" w:type="dxa"/>
            <w:gridSpan w:val="10"/>
            <w:tcBorders>
              <w:tl2br w:val="nil"/>
              <w:tr2bl w:val="nil"/>
            </w:tcBorders>
            <w:vAlign w:val="center"/>
          </w:tcPr>
          <w:p>
            <w:pPr>
              <w:spacing w:line="240" w:lineRule="auto"/>
              <w:jc w:val="center"/>
            </w:pPr>
            <w:r>
              <w:t>C</w:t>
            </w:r>
            <w:r>
              <w:rPr>
                <w:vertAlign w:val="subscript"/>
              </w:rPr>
              <w:t>本项目</w:t>
            </w:r>
            <w:r>
              <w:t>最大占标率≤10%</w:t>
            </w:r>
            <w:r>
              <w:rPr/>
              <w:sym w:font="Wingdings" w:char="00A8"/>
            </w:r>
          </w:p>
        </w:tc>
        <w:tc>
          <w:tcPr>
            <w:tcW w:w="3128" w:type="dxa"/>
            <w:gridSpan w:val="11"/>
            <w:tcBorders>
              <w:tl2br w:val="nil"/>
              <w:tr2bl w:val="nil"/>
            </w:tcBorders>
            <w:vAlign w:val="center"/>
          </w:tcPr>
          <w:p>
            <w:pPr>
              <w:spacing w:line="240" w:lineRule="auto"/>
              <w:jc w:val="center"/>
            </w:pPr>
            <w:r>
              <w:t>C</w:t>
            </w:r>
            <w:r>
              <w:rPr>
                <w:vertAlign w:val="subscript"/>
              </w:rPr>
              <w:t>本项目</w:t>
            </w:r>
            <w:r>
              <w:t>最大占标率＞10%</w:t>
            </w:r>
            <w:r>
              <w:rPr/>
              <w:sym w:font="Wingdings" w:char="00A8"/>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07" w:hRule="atLeast"/>
          <w:jc w:val="center"/>
        </w:trPr>
        <w:tc>
          <w:tcPr>
            <w:tcW w:w="1243" w:type="dxa"/>
            <w:vMerge w:val="continue"/>
            <w:tcBorders>
              <w:tl2br w:val="nil"/>
              <w:tr2bl w:val="nil"/>
            </w:tcBorders>
          </w:tcPr>
          <w:p>
            <w:pPr>
              <w:spacing w:line="240" w:lineRule="auto"/>
              <w:jc w:val="center"/>
            </w:pPr>
          </w:p>
        </w:tc>
        <w:tc>
          <w:tcPr>
            <w:tcW w:w="1680" w:type="dxa"/>
            <w:vMerge w:val="continue"/>
            <w:tcBorders>
              <w:tl2br w:val="nil"/>
              <w:tr2bl w:val="nil"/>
            </w:tcBorders>
            <w:vAlign w:val="center"/>
          </w:tcPr>
          <w:p>
            <w:pPr>
              <w:spacing w:line="240" w:lineRule="auto"/>
              <w:jc w:val="center"/>
            </w:pPr>
          </w:p>
        </w:tc>
        <w:tc>
          <w:tcPr>
            <w:tcW w:w="1203" w:type="dxa"/>
            <w:gridSpan w:val="2"/>
            <w:tcBorders>
              <w:tl2br w:val="nil"/>
              <w:tr2bl w:val="nil"/>
            </w:tcBorders>
            <w:vAlign w:val="center"/>
          </w:tcPr>
          <w:p>
            <w:pPr>
              <w:spacing w:line="240" w:lineRule="auto"/>
              <w:jc w:val="center"/>
            </w:pPr>
            <w:r>
              <w:t>二类区</w:t>
            </w:r>
          </w:p>
        </w:tc>
        <w:tc>
          <w:tcPr>
            <w:tcW w:w="2314" w:type="dxa"/>
            <w:gridSpan w:val="10"/>
            <w:tcBorders>
              <w:tl2br w:val="nil"/>
              <w:tr2bl w:val="nil"/>
            </w:tcBorders>
            <w:vAlign w:val="center"/>
          </w:tcPr>
          <w:p>
            <w:pPr>
              <w:spacing w:line="240" w:lineRule="auto"/>
              <w:jc w:val="center"/>
            </w:pPr>
            <w:r>
              <w:t>C</w:t>
            </w:r>
            <w:r>
              <w:rPr>
                <w:vertAlign w:val="subscript"/>
              </w:rPr>
              <w:t>本项目</w:t>
            </w:r>
            <w:r>
              <w:t>最大占标率≤30%</w:t>
            </w:r>
            <w:r>
              <w:rPr/>
              <w:sym w:font="Wingdings" w:char="00A8"/>
            </w:r>
          </w:p>
        </w:tc>
        <w:tc>
          <w:tcPr>
            <w:tcW w:w="3128" w:type="dxa"/>
            <w:gridSpan w:val="11"/>
            <w:tcBorders>
              <w:tl2br w:val="nil"/>
              <w:tr2bl w:val="nil"/>
            </w:tcBorders>
            <w:vAlign w:val="center"/>
          </w:tcPr>
          <w:p>
            <w:pPr>
              <w:spacing w:line="240" w:lineRule="auto"/>
              <w:jc w:val="center"/>
            </w:pPr>
            <w:r>
              <w:t>C</w:t>
            </w:r>
            <w:r>
              <w:rPr>
                <w:vertAlign w:val="subscript"/>
              </w:rPr>
              <w:t>本项目</w:t>
            </w:r>
            <w:r>
              <w:t>最大占标率＞30%</w:t>
            </w:r>
            <w:r>
              <w:rPr/>
              <w:sym w:font="Wingdings" w:char="00A8"/>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65" w:hRule="atLeast"/>
          <w:jc w:val="center"/>
        </w:trPr>
        <w:tc>
          <w:tcPr>
            <w:tcW w:w="1243" w:type="dxa"/>
            <w:vMerge w:val="continue"/>
            <w:tcBorders>
              <w:tl2br w:val="nil"/>
              <w:tr2bl w:val="nil"/>
            </w:tcBorders>
          </w:tcPr>
          <w:p>
            <w:pPr>
              <w:spacing w:line="240" w:lineRule="auto"/>
              <w:jc w:val="center"/>
            </w:pPr>
          </w:p>
        </w:tc>
        <w:tc>
          <w:tcPr>
            <w:tcW w:w="1680" w:type="dxa"/>
            <w:tcBorders>
              <w:tl2br w:val="nil"/>
              <w:tr2bl w:val="nil"/>
            </w:tcBorders>
            <w:vAlign w:val="center"/>
          </w:tcPr>
          <w:p>
            <w:pPr>
              <w:spacing w:line="240" w:lineRule="auto"/>
              <w:jc w:val="center"/>
            </w:pPr>
            <w:r>
              <w:t>非正常排放1h浓度贡献值</w:t>
            </w:r>
          </w:p>
        </w:tc>
        <w:tc>
          <w:tcPr>
            <w:tcW w:w="1751" w:type="dxa"/>
            <w:gridSpan w:val="4"/>
            <w:tcBorders>
              <w:tl2br w:val="nil"/>
              <w:tr2bl w:val="nil"/>
            </w:tcBorders>
            <w:vAlign w:val="center"/>
          </w:tcPr>
          <w:p>
            <w:pPr>
              <w:spacing w:line="240" w:lineRule="auto"/>
              <w:jc w:val="center"/>
            </w:pPr>
            <w:r>
              <w:t>非正常持续时长（）h</w:t>
            </w:r>
          </w:p>
        </w:tc>
        <w:tc>
          <w:tcPr>
            <w:tcW w:w="2487" w:type="dxa"/>
            <w:gridSpan w:val="10"/>
            <w:tcBorders>
              <w:tl2br w:val="nil"/>
              <w:tr2bl w:val="nil"/>
            </w:tcBorders>
            <w:vAlign w:val="center"/>
          </w:tcPr>
          <w:p>
            <w:pPr>
              <w:spacing w:line="240" w:lineRule="auto"/>
              <w:jc w:val="center"/>
            </w:pPr>
            <w:r>
              <w:t>C</w:t>
            </w:r>
            <w:r>
              <w:rPr>
                <w:vertAlign w:val="subscript"/>
              </w:rPr>
              <w:t>非正常</w:t>
            </w:r>
            <w:r>
              <w:t>占标率≤100%</w:t>
            </w:r>
            <w:r>
              <w:rPr/>
              <w:sym w:font="Wingdings" w:char="00A8"/>
            </w:r>
          </w:p>
        </w:tc>
        <w:tc>
          <w:tcPr>
            <w:tcW w:w="2407" w:type="dxa"/>
            <w:gridSpan w:val="9"/>
            <w:tcBorders>
              <w:tl2br w:val="nil"/>
              <w:tr2bl w:val="nil"/>
            </w:tcBorders>
            <w:vAlign w:val="center"/>
          </w:tcPr>
          <w:p>
            <w:pPr>
              <w:spacing w:line="240" w:lineRule="auto"/>
              <w:jc w:val="center"/>
            </w:pPr>
            <w:r>
              <w:t>C</w:t>
            </w:r>
            <w:r>
              <w:rPr>
                <w:vertAlign w:val="subscript"/>
              </w:rPr>
              <w:t>非正常</w:t>
            </w:r>
            <w:r>
              <w:t>占标率＞100%</w:t>
            </w:r>
            <w:r>
              <w:rPr/>
              <w:sym w:font="Wingdings" w:char="00A8"/>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978" w:hRule="atLeast"/>
          <w:jc w:val="center"/>
        </w:trPr>
        <w:tc>
          <w:tcPr>
            <w:tcW w:w="1243" w:type="dxa"/>
            <w:vMerge w:val="continue"/>
            <w:tcBorders>
              <w:tl2br w:val="nil"/>
              <w:tr2bl w:val="nil"/>
            </w:tcBorders>
          </w:tcPr>
          <w:p>
            <w:pPr>
              <w:spacing w:line="240" w:lineRule="auto"/>
              <w:jc w:val="center"/>
            </w:pPr>
          </w:p>
        </w:tc>
        <w:tc>
          <w:tcPr>
            <w:tcW w:w="1680" w:type="dxa"/>
            <w:tcBorders>
              <w:tl2br w:val="nil"/>
              <w:tr2bl w:val="nil"/>
            </w:tcBorders>
            <w:vAlign w:val="center"/>
          </w:tcPr>
          <w:p>
            <w:pPr>
              <w:spacing w:line="240" w:lineRule="auto"/>
              <w:jc w:val="center"/>
            </w:pPr>
            <w:r>
              <w:t>保证率日平均浓度和年平均浓度叠加值</w:t>
            </w:r>
          </w:p>
        </w:tc>
        <w:tc>
          <w:tcPr>
            <w:tcW w:w="3517" w:type="dxa"/>
            <w:gridSpan w:val="12"/>
            <w:tcBorders>
              <w:tl2br w:val="nil"/>
              <w:tr2bl w:val="nil"/>
            </w:tcBorders>
            <w:vAlign w:val="center"/>
          </w:tcPr>
          <w:p>
            <w:pPr>
              <w:spacing w:line="240" w:lineRule="auto"/>
              <w:jc w:val="center"/>
            </w:pPr>
            <w:r>
              <w:t>C</w:t>
            </w:r>
            <w:r>
              <w:rPr>
                <w:vertAlign w:val="subscript"/>
              </w:rPr>
              <w:t>叠加</w:t>
            </w:r>
            <w:r>
              <w:t>达标</w:t>
            </w:r>
            <w:r>
              <w:rPr/>
              <w:sym w:font="Wingdings" w:char="00A8"/>
            </w:r>
          </w:p>
        </w:tc>
        <w:tc>
          <w:tcPr>
            <w:tcW w:w="3128" w:type="dxa"/>
            <w:gridSpan w:val="11"/>
            <w:tcBorders>
              <w:tl2br w:val="nil"/>
              <w:tr2bl w:val="nil"/>
            </w:tcBorders>
            <w:vAlign w:val="center"/>
          </w:tcPr>
          <w:p>
            <w:pPr>
              <w:spacing w:line="240" w:lineRule="auto"/>
              <w:jc w:val="center"/>
            </w:pPr>
            <w:r>
              <w:t>C</w:t>
            </w:r>
            <w:r>
              <w:rPr>
                <w:vertAlign w:val="subscript"/>
              </w:rPr>
              <w:t>叠加</w:t>
            </w:r>
            <w:r>
              <w:t>不达标</w:t>
            </w:r>
            <w:r>
              <w:rPr/>
              <w:sym w:font="Wingdings" w:char="00A8"/>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65" w:hRule="atLeast"/>
          <w:jc w:val="center"/>
        </w:trPr>
        <w:tc>
          <w:tcPr>
            <w:tcW w:w="1243" w:type="dxa"/>
            <w:vMerge w:val="continue"/>
            <w:tcBorders>
              <w:tl2br w:val="nil"/>
              <w:tr2bl w:val="nil"/>
            </w:tcBorders>
          </w:tcPr>
          <w:p>
            <w:pPr>
              <w:spacing w:line="240" w:lineRule="auto"/>
              <w:jc w:val="center"/>
            </w:pPr>
          </w:p>
        </w:tc>
        <w:tc>
          <w:tcPr>
            <w:tcW w:w="1680" w:type="dxa"/>
            <w:tcBorders>
              <w:tl2br w:val="nil"/>
              <w:tr2bl w:val="nil"/>
            </w:tcBorders>
            <w:vAlign w:val="center"/>
          </w:tcPr>
          <w:p>
            <w:pPr>
              <w:spacing w:line="240" w:lineRule="auto"/>
              <w:jc w:val="center"/>
            </w:pPr>
            <w:r>
              <w:t>区域环境质量的整体变化情况</w:t>
            </w:r>
          </w:p>
        </w:tc>
        <w:tc>
          <w:tcPr>
            <w:tcW w:w="3517" w:type="dxa"/>
            <w:gridSpan w:val="12"/>
            <w:tcBorders>
              <w:tl2br w:val="nil"/>
              <w:tr2bl w:val="nil"/>
            </w:tcBorders>
            <w:vAlign w:val="center"/>
          </w:tcPr>
          <w:p>
            <w:pPr>
              <w:spacing w:line="240" w:lineRule="auto"/>
              <w:jc w:val="center"/>
            </w:pPr>
            <w:r>
              <w:t>ｋ≤-20%</w:t>
            </w:r>
            <w:r>
              <w:rPr/>
              <w:sym w:font="Wingdings" w:char="00A8"/>
            </w:r>
          </w:p>
        </w:tc>
        <w:tc>
          <w:tcPr>
            <w:tcW w:w="3128" w:type="dxa"/>
            <w:gridSpan w:val="11"/>
            <w:tcBorders>
              <w:tl2br w:val="nil"/>
              <w:tr2bl w:val="nil"/>
            </w:tcBorders>
            <w:vAlign w:val="center"/>
          </w:tcPr>
          <w:p>
            <w:pPr>
              <w:spacing w:line="240" w:lineRule="auto"/>
              <w:jc w:val="center"/>
            </w:pPr>
            <w:r>
              <w:t>ｋ＞-20%</w:t>
            </w:r>
            <w:r>
              <w:rPr/>
              <w:sym w:font="Wingdings" w:char="00A8"/>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65" w:hRule="atLeast"/>
          <w:jc w:val="center"/>
        </w:trPr>
        <w:tc>
          <w:tcPr>
            <w:tcW w:w="1243" w:type="dxa"/>
            <w:vMerge w:val="restart"/>
            <w:tcBorders>
              <w:tl2br w:val="nil"/>
              <w:tr2bl w:val="nil"/>
            </w:tcBorders>
            <w:vAlign w:val="center"/>
          </w:tcPr>
          <w:p>
            <w:pPr>
              <w:spacing w:line="240" w:lineRule="auto"/>
              <w:jc w:val="center"/>
            </w:pPr>
            <w:r>
              <w:t>环境监测</w:t>
            </w:r>
          </w:p>
          <w:p>
            <w:pPr>
              <w:spacing w:line="240" w:lineRule="auto"/>
              <w:jc w:val="center"/>
            </w:pPr>
            <w:r>
              <w:t>计划</w:t>
            </w:r>
          </w:p>
        </w:tc>
        <w:tc>
          <w:tcPr>
            <w:tcW w:w="1680" w:type="dxa"/>
            <w:tcBorders>
              <w:tl2br w:val="nil"/>
              <w:tr2bl w:val="nil"/>
            </w:tcBorders>
            <w:vAlign w:val="center"/>
          </w:tcPr>
          <w:p>
            <w:pPr>
              <w:spacing w:line="240" w:lineRule="auto"/>
              <w:jc w:val="center"/>
            </w:pPr>
            <w:r>
              <w:t>污染源监测</w:t>
            </w:r>
          </w:p>
        </w:tc>
        <w:tc>
          <w:tcPr>
            <w:tcW w:w="2968" w:type="dxa"/>
            <w:gridSpan w:val="10"/>
            <w:tcBorders>
              <w:tl2br w:val="nil"/>
              <w:tr2bl w:val="nil"/>
            </w:tcBorders>
            <w:vAlign w:val="center"/>
          </w:tcPr>
          <w:p>
            <w:pPr>
              <w:spacing w:line="240" w:lineRule="auto"/>
              <w:jc w:val="center"/>
            </w:pPr>
            <w:r>
              <w:t>监测因子：（</w:t>
            </w:r>
            <w:r>
              <w:rPr>
                <w:rFonts w:hint="eastAsia"/>
                <w:lang w:val="en-US" w:eastAsia="zh-CN"/>
              </w:rPr>
              <w:t>NH</w:t>
            </w:r>
            <w:r>
              <w:rPr>
                <w:rFonts w:hint="eastAsia"/>
                <w:vertAlign w:val="subscript"/>
                <w:lang w:val="en-US" w:eastAsia="zh-CN"/>
              </w:rPr>
              <w:t>3</w:t>
            </w:r>
            <w:r>
              <w:t>、</w:t>
            </w:r>
            <w:r>
              <w:rPr>
                <w:rFonts w:hint="eastAsia"/>
                <w:lang w:val="en-US" w:eastAsia="zh-CN"/>
              </w:rPr>
              <w:t>H</w:t>
            </w:r>
            <w:r>
              <w:rPr>
                <w:rFonts w:hint="eastAsia"/>
                <w:vertAlign w:val="subscript"/>
                <w:lang w:val="en-US" w:eastAsia="zh-CN"/>
              </w:rPr>
              <w:t>2</w:t>
            </w:r>
            <w:r>
              <w:rPr>
                <w:rFonts w:hint="eastAsia"/>
                <w:lang w:val="en-US" w:eastAsia="zh-CN"/>
              </w:rPr>
              <w:t>S</w:t>
            </w:r>
            <w:r>
              <w:t>）</w:t>
            </w:r>
          </w:p>
        </w:tc>
        <w:tc>
          <w:tcPr>
            <w:tcW w:w="2130" w:type="dxa"/>
            <w:gridSpan w:val="11"/>
            <w:tcBorders>
              <w:tl2br w:val="nil"/>
              <w:tr2bl w:val="nil"/>
            </w:tcBorders>
            <w:vAlign w:val="center"/>
          </w:tcPr>
          <w:p>
            <w:pPr>
              <w:spacing w:line="240" w:lineRule="auto"/>
              <w:jc w:val="center"/>
            </w:pPr>
            <w:r>
              <w:t>有组织废气监测</w:t>
            </w:r>
            <w:r>
              <w:rPr/>
              <w:sym w:font="Wingdings" w:char="00FE"/>
            </w:r>
          </w:p>
          <w:p>
            <w:pPr>
              <w:spacing w:line="240" w:lineRule="auto"/>
              <w:jc w:val="center"/>
            </w:pPr>
            <w:r>
              <w:t>无组织废气监测</w:t>
            </w:r>
            <w:r>
              <w:rPr/>
              <w:sym w:font="Wingdings" w:char="00FE"/>
            </w:r>
          </w:p>
        </w:tc>
        <w:tc>
          <w:tcPr>
            <w:tcW w:w="1547" w:type="dxa"/>
            <w:gridSpan w:val="2"/>
            <w:tcBorders>
              <w:tl2br w:val="nil"/>
              <w:tr2bl w:val="nil"/>
            </w:tcBorders>
            <w:vAlign w:val="center"/>
          </w:tcPr>
          <w:p>
            <w:pPr>
              <w:spacing w:line="240" w:lineRule="auto"/>
              <w:jc w:val="center"/>
            </w:pPr>
            <w:r>
              <w:t>无监测</w:t>
            </w:r>
            <w:r>
              <w:rPr/>
              <w:sym w:font="Wingdings" w:char="00A8"/>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60" w:hRule="atLeast"/>
          <w:jc w:val="center"/>
        </w:trPr>
        <w:tc>
          <w:tcPr>
            <w:tcW w:w="1243" w:type="dxa"/>
            <w:vMerge w:val="continue"/>
            <w:tcBorders>
              <w:tl2br w:val="nil"/>
              <w:tr2bl w:val="nil"/>
            </w:tcBorders>
          </w:tcPr>
          <w:p>
            <w:pPr>
              <w:spacing w:line="240" w:lineRule="auto"/>
              <w:jc w:val="center"/>
            </w:pPr>
          </w:p>
        </w:tc>
        <w:tc>
          <w:tcPr>
            <w:tcW w:w="1680" w:type="dxa"/>
            <w:tcBorders>
              <w:tl2br w:val="nil"/>
              <w:tr2bl w:val="nil"/>
            </w:tcBorders>
            <w:vAlign w:val="center"/>
          </w:tcPr>
          <w:p>
            <w:pPr>
              <w:spacing w:line="240" w:lineRule="auto"/>
              <w:jc w:val="center"/>
            </w:pPr>
            <w:r>
              <w:t>环境质量监测</w:t>
            </w:r>
          </w:p>
        </w:tc>
        <w:tc>
          <w:tcPr>
            <w:tcW w:w="2968" w:type="dxa"/>
            <w:gridSpan w:val="10"/>
            <w:tcBorders>
              <w:tl2br w:val="nil"/>
              <w:tr2bl w:val="nil"/>
            </w:tcBorders>
            <w:vAlign w:val="center"/>
          </w:tcPr>
          <w:p>
            <w:pPr>
              <w:spacing w:line="240" w:lineRule="auto"/>
              <w:jc w:val="center"/>
            </w:pPr>
            <w:r>
              <w:t>监测因子：（）</w:t>
            </w:r>
          </w:p>
        </w:tc>
        <w:tc>
          <w:tcPr>
            <w:tcW w:w="2130" w:type="dxa"/>
            <w:gridSpan w:val="11"/>
            <w:tcBorders>
              <w:tl2br w:val="nil"/>
              <w:tr2bl w:val="nil"/>
            </w:tcBorders>
            <w:vAlign w:val="center"/>
          </w:tcPr>
          <w:p>
            <w:pPr>
              <w:spacing w:line="240" w:lineRule="auto"/>
              <w:jc w:val="center"/>
            </w:pPr>
            <w:r>
              <w:t>监测点位数（）</w:t>
            </w:r>
          </w:p>
        </w:tc>
        <w:tc>
          <w:tcPr>
            <w:tcW w:w="1547" w:type="dxa"/>
            <w:gridSpan w:val="2"/>
            <w:tcBorders>
              <w:tl2br w:val="nil"/>
              <w:tr2bl w:val="nil"/>
            </w:tcBorders>
            <w:vAlign w:val="center"/>
          </w:tcPr>
          <w:p>
            <w:pPr>
              <w:spacing w:line="240" w:lineRule="auto"/>
              <w:jc w:val="center"/>
            </w:pPr>
            <w:r>
              <w:t>无监测</w:t>
            </w:r>
            <w:r>
              <w:rPr/>
              <w:sym w:font="Wingdings" w:char="00FE"/>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60" w:hRule="atLeast"/>
          <w:jc w:val="center"/>
        </w:trPr>
        <w:tc>
          <w:tcPr>
            <w:tcW w:w="1243" w:type="dxa"/>
            <w:vMerge w:val="restart"/>
            <w:tcBorders>
              <w:tl2br w:val="nil"/>
              <w:tr2bl w:val="nil"/>
            </w:tcBorders>
            <w:vAlign w:val="center"/>
          </w:tcPr>
          <w:p>
            <w:pPr>
              <w:spacing w:line="240" w:lineRule="auto"/>
              <w:jc w:val="center"/>
            </w:pPr>
            <w:r>
              <w:t>评价结论</w:t>
            </w:r>
          </w:p>
        </w:tc>
        <w:tc>
          <w:tcPr>
            <w:tcW w:w="1680" w:type="dxa"/>
            <w:tcBorders>
              <w:tl2br w:val="nil"/>
              <w:tr2bl w:val="nil"/>
            </w:tcBorders>
            <w:vAlign w:val="center"/>
          </w:tcPr>
          <w:p>
            <w:pPr>
              <w:spacing w:line="240" w:lineRule="auto"/>
              <w:jc w:val="center"/>
            </w:pPr>
            <w:r>
              <w:t>环境影响</w:t>
            </w:r>
          </w:p>
        </w:tc>
        <w:tc>
          <w:tcPr>
            <w:tcW w:w="6645" w:type="dxa"/>
            <w:gridSpan w:val="23"/>
            <w:tcBorders>
              <w:tl2br w:val="nil"/>
              <w:tr2bl w:val="nil"/>
            </w:tcBorders>
            <w:vAlign w:val="center"/>
          </w:tcPr>
          <w:p>
            <w:pPr>
              <w:spacing w:line="240" w:lineRule="auto"/>
              <w:jc w:val="center"/>
            </w:pPr>
            <w:r>
              <w:t>可以接受</w:t>
            </w:r>
            <w:r>
              <w:rPr/>
              <w:sym w:font="Wingdings" w:char="00FE"/>
            </w:r>
            <w:r>
              <w:t xml:space="preserve">                     不可以接受</w:t>
            </w:r>
            <w:r>
              <w:rPr/>
              <w:sym w:font="Wingdings" w:char="00A8"/>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53" w:hRule="atLeast"/>
          <w:jc w:val="center"/>
        </w:trPr>
        <w:tc>
          <w:tcPr>
            <w:tcW w:w="1243" w:type="dxa"/>
            <w:vMerge w:val="continue"/>
            <w:tcBorders>
              <w:tl2br w:val="nil"/>
              <w:tr2bl w:val="nil"/>
            </w:tcBorders>
          </w:tcPr>
          <w:p>
            <w:pPr>
              <w:spacing w:line="240" w:lineRule="auto"/>
              <w:jc w:val="center"/>
            </w:pPr>
          </w:p>
        </w:tc>
        <w:tc>
          <w:tcPr>
            <w:tcW w:w="1680" w:type="dxa"/>
            <w:tcBorders>
              <w:tl2br w:val="nil"/>
              <w:tr2bl w:val="nil"/>
            </w:tcBorders>
            <w:vAlign w:val="center"/>
          </w:tcPr>
          <w:p>
            <w:pPr>
              <w:spacing w:line="240" w:lineRule="auto"/>
              <w:jc w:val="center"/>
            </w:pPr>
            <w:r>
              <w:t>大气环境防护距离</w:t>
            </w:r>
          </w:p>
        </w:tc>
        <w:tc>
          <w:tcPr>
            <w:tcW w:w="6645" w:type="dxa"/>
            <w:gridSpan w:val="23"/>
            <w:tcBorders>
              <w:tl2br w:val="nil"/>
              <w:tr2bl w:val="nil"/>
            </w:tcBorders>
            <w:vAlign w:val="center"/>
          </w:tcPr>
          <w:p>
            <w:pPr>
              <w:spacing w:line="240" w:lineRule="auto"/>
              <w:jc w:val="center"/>
            </w:pPr>
            <w:r>
              <w:t>距（）厂界最远（）m</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60" w:hRule="atLeast"/>
          <w:jc w:val="center"/>
        </w:trPr>
        <w:tc>
          <w:tcPr>
            <w:tcW w:w="1243" w:type="dxa"/>
            <w:vMerge w:val="continue"/>
            <w:tcBorders>
              <w:tl2br w:val="nil"/>
              <w:tr2bl w:val="nil"/>
            </w:tcBorders>
          </w:tcPr>
          <w:p>
            <w:pPr>
              <w:spacing w:line="240" w:lineRule="auto"/>
              <w:jc w:val="center"/>
            </w:pPr>
          </w:p>
        </w:tc>
        <w:tc>
          <w:tcPr>
            <w:tcW w:w="1680" w:type="dxa"/>
            <w:tcBorders>
              <w:tl2br w:val="nil"/>
              <w:tr2bl w:val="nil"/>
            </w:tcBorders>
            <w:vAlign w:val="center"/>
          </w:tcPr>
          <w:p>
            <w:pPr>
              <w:spacing w:line="240" w:lineRule="auto"/>
              <w:jc w:val="center"/>
            </w:pPr>
            <w:r>
              <w:t>污染源年排放量</w:t>
            </w:r>
          </w:p>
        </w:tc>
        <w:tc>
          <w:tcPr>
            <w:tcW w:w="1658" w:type="dxa"/>
            <w:gridSpan w:val="3"/>
            <w:tcBorders>
              <w:tl2br w:val="nil"/>
              <w:tr2bl w:val="nil"/>
            </w:tcBorders>
            <w:vAlign w:val="center"/>
          </w:tcPr>
          <w:p>
            <w:pPr>
              <w:spacing w:line="240" w:lineRule="auto"/>
              <w:jc w:val="center"/>
            </w:pPr>
            <w:r>
              <w:t>SO</w:t>
            </w:r>
            <w:r>
              <w:rPr>
                <w:vertAlign w:val="subscript"/>
              </w:rPr>
              <w:t>2</w:t>
            </w:r>
            <w:r>
              <w:t>：（</w:t>
            </w:r>
            <w:r>
              <w:rPr>
                <w:rFonts w:hint="eastAsia"/>
                <w:lang w:val="en-US" w:eastAsia="zh-CN"/>
              </w:rPr>
              <w:t>/</w:t>
            </w:r>
            <w:r>
              <w:t>）t/a</w:t>
            </w:r>
          </w:p>
        </w:tc>
        <w:tc>
          <w:tcPr>
            <w:tcW w:w="1519" w:type="dxa"/>
            <w:gridSpan w:val="8"/>
            <w:tcBorders>
              <w:tl2br w:val="nil"/>
              <w:tr2bl w:val="nil"/>
            </w:tcBorders>
            <w:vAlign w:val="center"/>
          </w:tcPr>
          <w:p>
            <w:pPr>
              <w:spacing w:line="240" w:lineRule="auto"/>
              <w:jc w:val="center"/>
            </w:pPr>
            <w:r>
              <w:t>NO</w:t>
            </w:r>
            <w:r>
              <w:rPr>
                <w:vertAlign w:val="subscript"/>
              </w:rPr>
              <w:t>2</w:t>
            </w:r>
            <w:r>
              <w:t>：（/）t/a</w:t>
            </w:r>
          </w:p>
        </w:tc>
        <w:tc>
          <w:tcPr>
            <w:tcW w:w="1522" w:type="dxa"/>
            <w:gridSpan w:val="7"/>
            <w:tcBorders>
              <w:tl2br w:val="nil"/>
              <w:tr2bl w:val="nil"/>
            </w:tcBorders>
            <w:vAlign w:val="center"/>
          </w:tcPr>
          <w:p>
            <w:pPr>
              <w:spacing w:line="240" w:lineRule="auto"/>
              <w:jc w:val="center"/>
            </w:pPr>
            <w:r>
              <w:t>颗粒物：（</w:t>
            </w:r>
            <w:r>
              <w:rPr>
                <w:rFonts w:hint="eastAsia"/>
                <w:lang w:val="en-US" w:eastAsia="zh-CN"/>
              </w:rPr>
              <w:t>/</w:t>
            </w:r>
            <w:r>
              <w:t>）t/a</w:t>
            </w:r>
          </w:p>
        </w:tc>
        <w:tc>
          <w:tcPr>
            <w:tcW w:w="1946" w:type="dxa"/>
            <w:gridSpan w:val="5"/>
            <w:tcBorders>
              <w:tl2br w:val="nil"/>
              <w:tr2bl w:val="nil"/>
            </w:tcBorders>
            <w:vAlign w:val="center"/>
          </w:tcPr>
          <w:p>
            <w:pPr>
              <w:spacing w:line="240" w:lineRule="auto"/>
              <w:jc w:val="center"/>
            </w:pPr>
            <w:r>
              <w:t>VOCs：（/）t/a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7" w:hRule="atLeast"/>
          <w:jc w:val="center"/>
        </w:trPr>
        <w:tc>
          <w:tcPr>
            <w:tcW w:w="9568" w:type="dxa"/>
            <w:gridSpan w:val="25"/>
            <w:tcBorders>
              <w:tl2br w:val="nil"/>
              <w:tr2bl w:val="nil"/>
            </w:tcBorders>
          </w:tcPr>
          <w:p>
            <w:pPr>
              <w:spacing w:line="240" w:lineRule="auto"/>
              <w:jc w:val="left"/>
            </w:pPr>
            <w:r>
              <w:t xml:space="preserve">注：“ </w:t>
            </w:r>
            <w:r>
              <w:rPr/>
              <w:sym w:font="Wingdings" w:char="00A8"/>
            </w:r>
            <w:r>
              <w:t xml:space="preserve"> ”为勾选项，填“ √ ”；“ （    ） ”为内容填写项</w:t>
            </w:r>
          </w:p>
        </w:tc>
      </w:tr>
    </w:tbl>
    <w:p>
      <w:pPr>
        <w:pStyle w:val="7"/>
        <w:rPr>
          <w:szCs w:val="24"/>
        </w:rPr>
      </w:pPr>
      <w:r>
        <w:rPr>
          <w:szCs w:val="24"/>
        </w:rPr>
        <w:t>4.2.2 营运期地表水环境影响分析</w:t>
      </w:r>
    </w:p>
    <w:p>
      <w:pPr>
        <w:ind w:firstLine="480" w:firstLineChars="200"/>
        <w:rPr>
          <w:sz w:val="24"/>
          <w:szCs w:val="24"/>
        </w:rPr>
      </w:pPr>
      <w:r>
        <w:rPr>
          <w:sz w:val="24"/>
          <w:szCs w:val="24"/>
        </w:rPr>
        <w:t>（1）项目排水方案</w:t>
      </w:r>
    </w:p>
    <w:p>
      <w:pPr>
        <w:ind w:firstLine="480" w:firstLineChars="200"/>
        <w:rPr>
          <w:rFonts w:hint="eastAsia"/>
          <w:sz w:val="24"/>
          <w:szCs w:val="24"/>
          <w:lang w:val="zh-CN"/>
        </w:rPr>
      </w:pPr>
      <w:r>
        <w:rPr>
          <w:sz w:val="24"/>
          <w:szCs w:val="24"/>
          <w:lang w:val="zh-CN"/>
        </w:rPr>
        <w:t>项目运营期产生的</w:t>
      </w:r>
      <w:r>
        <w:rPr>
          <w:rFonts w:hint="eastAsia"/>
          <w:sz w:val="24"/>
          <w:szCs w:val="24"/>
          <w:lang w:val="zh-CN"/>
        </w:rPr>
        <w:t>生产废水</w:t>
      </w:r>
      <w:r>
        <w:rPr>
          <w:sz w:val="24"/>
          <w:szCs w:val="24"/>
          <w:lang w:val="zh-CN"/>
        </w:rPr>
        <w:t>经自建污水站处理达标后</w:t>
      </w:r>
      <w:r>
        <w:rPr>
          <w:rFonts w:hint="eastAsia"/>
          <w:sz w:val="24"/>
          <w:szCs w:val="24"/>
          <w:lang w:val="zh-CN"/>
        </w:rPr>
        <w:t>汇同经隔油池和化粪池预处理后的生活污水经市政污水管网排入城北污水处理厂。</w:t>
      </w:r>
    </w:p>
    <w:p>
      <w:pPr>
        <w:ind w:firstLine="480" w:firstLineChars="200"/>
        <w:rPr>
          <w:sz w:val="24"/>
          <w:szCs w:val="24"/>
        </w:rPr>
      </w:pPr>
      <w:r>
        <w:rPr>
          <w:sz w:val="24"/>
          <w:szCs w:val="24"/>
        </w:rPr>
        <w:t>（2）地表水环境影响评价内容确定</w:t>
      </w:r>
    </w:p>
    <w:p>
      <w:pPr>
        <w:ind w:firstLine="480" w:firstLineChars="200"/>
        <w:rPr>
          <w:sz w:val="24"/>
          <w:szCs w:val="24"/>
        </w:rPr>
      </w:pPr>
      <w:r>
        <w:rPr>
          <w:sz w:val="24"/>
          <w:szCs w:val="24"/>
        </w:rPr>
        <w:t>①评价工作等级判别</w:t>
      </w:r>
    </w:p>
    <w:p>
      <w:pPr>
        <w:ind w:firstLine="480" w:firstLineChars="200"/>
        <w:rPr>
          <w:sz w:val="24"/>
          <w:szCs w:val="24"/>
        </w:rPr>
      </w:pPr>
      <w:r>
        <w:rPr>
          <w:sz w:val="24"/>
          <w:szCs w:val="24"/>
        </w:rPr>
        <w:t>根据《环境影响评价技术导则 地表水环境》（HJ2.3-2018），结合项目废水排放方式和排放量，确定项目地表水环境评价等级为三级B。</w:t>
      </w:r>
    </w:p>
    <w:p>
      <w:pPr>
        <w:ind w:firstLine="480" w:firstLineChars="200"/>
        <w:rPr>
          <w:sz w:val="24"/>
          <w:szCs w:val="24"/>
        </w:rPr>
      </w:pPr>
      <w:r>
        <w:rPr>
          <w:sz w:val="24"/>
          <w:szCs w:val="24"/>
        </w:rPr>
        <w:t>②地表水环境影响评价内容</w:t>
      </w:r>
    </w:p>
    <w:p>
      <w:pPr>
        <w:ind w:firstLine="480" w:firstLineChars="200"/>
        <w:rPr>
          <w:sz w:val="24"/>
          <w:szCs w:val="24"/>
        </w:rPr>
      </w:pPr>
      <w:r>
        <w:rPr>
          <w:sz w:val="24"/>
          <w:szCs w:val="24"/>
        </w:rPr>
        <w:t>根据《环境影响评价技术导则 地表水环境》（HJ2.3-2018），项目地表水环境评价等级为三级B，主要评价内容包括水污染控制和水环境影响减缓措施有效性评价及依托污水处理设施的环境可行性评价。</w:t>
      </w:r>
    </w:p>
    <w:p>
      <w:pPr>
        <w:autoSpaceDE w:val="0"/>
        <w:autoSpaceDN w:val="0"/>
        <w:ind w:firstLine="480" w:firstLineChars="200"/>
        <w:rPr>
          <w:kern w:val="0"/>
          <w:sz w:val="24"/>
          <w:szCs w:val="24"/>
        </w:rPr>
      </w:pPr>
      <w:r>
        <w:rPr>
          <w:sz w:val="24"/>
          <w:szCs w:val="24"/>
        </w:rPr>
        <w:t>（3）水污染控制和水环境影响减缓措施有效性分析</w:t>
      </w:r>
    </w:p>
    <w:p>
      <w:pPr>
        <w:ind w:firstLine="480" w:firstLineChars="200"/>
        <w:rPr>
          <w:sz w:val="24"/>
          <w:szCs w:val="24"/>
        </w:rPr>
      </w:pPr>
      <w:r>
        <w:rPr>
          <w:sz w:val="24"/>
          <w:szCs w:val="24"/>
        </w:rPr>
        <w:t>项目</w:t>
      </w:r>
      <w:r>
        <w:rPr>
          <w:rFonts w:hint="eastAsia"/>
          <w:sz w:val="24"/>
          <w:szCs w:val="24"/>
          <w:lang w:eastAsia="zh-CN"/>
        </w:rPr>
        <w:t>外排</w:t>
      </w:r>
      <w:r>
        <w:rPr>
          <w:sz w:val="24"/>
          <w:szCs w:val="24"/>
        </w:rPr>
        <w:t>废水主要为</w:t>
      </w:r>
      <w:r>
        <w:rPr>
          <w:rFonts w:hint="eastAsia"/>
          <w:sz w:val="24"/>
          <w:szCs w:val="24"/>
          <w:lang w:eastAsia="zh-CN"/>
        </w:rPr>
        <w:t>水洗</w:t>
      </w:r>
      <w:r>
        <w:rPr>
          <w:sz w:val="24"/>
          <w:szCs w:val="24"/>
        </w:rPr>
        <w:t>生产废水</w:t>
      </w:r>
      <w:r>
        <w:rPr>
          <w:rFonts w:hint="eastAsia"/>
          <w:sz w:val="24"/>
          <w:szCs w:val="24"/>
          <w:lang w:eastAsia="zh-CN"/>
        </w:rPr>
        <w:t>和</w:t>
      </w:r>
      <w:r>
        <w:rPr>
          <w:sz w:val="24"/>
          <w:szCs w:val="24"/>
        </w:rPr>
        <w:t>职工生活污水。废水主要污染物为COD、SS、NH</w:t>
      </w:r>
      <w:r>
        <w:rPr>
          <w:sz w:val="24"/>
          <w:szCs w:val="24"/>
          <w:vertAlign w:val="subscript"/>
        </w:rPr>
        <w:t>3</w:t>
      </w:r>
      <w:r>
        <w:rPr>
          <w:sz w:val="24"/>
          <w:szCs w:val="24"/>
        </w:rPr>
        <w:t>-N、动植物油</w:t>
      </w:r>
      <w:r>
        <w:rPr>
          <w:rFonts w:hint="eastAsia"/>
          <w:sz w:val="24"/>
          <w:szCs w:val="24"/>
          <w:lang w:eastAsia="zh-CN"/>
        </w:rPr>
        <w:t>、</w:t>
      </w:r>
      <w:r>
        <w:rPr>
          <w:rFonts w:hint="eastAsia"/>
          <w:sz w:val="24"/>
          <w:szCs w:val="24"/>
          <w:lang w:val="en-US" w:eastAsia="zh-CN"/>
        </w:rPr>
        <w:t>LAS、TP、色度</w:t>
      </w:r>
      <w:r>
        <w:rPr>
          <w:sz w:val="24"/>
          <w:szCs w:val="24"/>
        </w:rPr>
        <w:t>等，其废水产</w:t>
      </w:r>
      <w:r>
        <w:rPr>
          <w:rFonts w:hint="eastAsia"/>
          <w:sz w:val="24"/>
          <w:szCs w:val="24"/>
          <w:lang w:eastAsia="zh-CN"/>
        </w:rPr>
        <w:t>生</w:t>
      </w:r>
      <w:r>
        <w:rPr>
          <w:sz w:val="24"/>
          <w:szCs w:val="24"/>
        </w:rPr>
        <w:t>情况如下：</w:t>
      </w:r>
    </w:p>
    <w:p>
      <w:pPr>
        <w:widowControl/>
        <w:spacing w:line="480" w:lineRule="exact"/>
        <w:ind w:firstLine="2891" w:firstLineChars="1200"/>
        <w:rPr>
          <w:b/>
          <w:sz w:val="24"/>
          <w:szCs w:val="24"/>
        </w:rPr>
      </w:pPr>
      <w:r>
        <w:rPr>
          <w:b/>
          <w:sz w:val="24"/>
          <w:szCs w:val="24"/>
        </w:rPr>
        <w:t>表4</w:t>
      </w:r>
      <w:r>
        <w:rPr>
          <w:rFonts w:hint="eastAsia"/>
          <w:b/>
          <w:sz w:val="24"/>
          <w:szCs w:val="24"/>
          <w:lang w:val="en-US" w:eastAsia="zh-CN"/>
        </w:rPr>
        <w:t>.2-8</w:t>
      </w:r>
      <w:r>
        <w:rPr>
          <w:b/>
          <w:sz w:val="24"/>
          <w:szCs w:val="24"/>
        </w:rPr>
        <w:t xml:space="preserve">   生产废水源强产</w:t>
      </w:r>
      <w:r>
        <w:rPr>
          <w:rFonts w:hint="eastAsia"/>
          <w:b/>
          <w:sz w:val="24"/>
          <w:szCs w:val="24"/>
          <w:lang w:eastAsia="zh-CN"/>
        </w:rPr>
        <w:t>生</w:t>
      </w:r>
      <w:r>
        <w:rPr>
          <w:b/>
          <w:sz w:val="24"/>
          <w:szCs w:val="24"/>
        </w:rPr>
        <w:t>一览表</w:t>
      </w:r>
    </w:p>
    <w:tbl>
      <w:tblPr>
        <w:tblStyle w:val="22"/>
        <w:tblW w:w="9358" w:type="dxa"/>
        <w:jc w:val="center"/>
        <w:tblInd w:w="-64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1282"/>
        <w:gridCol w:w="895"/>
        <w:gridCol w:w="913"/>
        <w:gridCol w:w="761"/>
        <w:gridCol w:w="885"/>
        <w:gridCol w:w="1050"/>
        <w:gridCol w:w="810"/>
        <w:gridCol w:w="735"/>
        <w:gridCol w:w="7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2528" w:type="dxa"/>
            <w:gridSpan w:val="2"/>
            <w:vMerge w:val="restart"/>
            <w:vAlign w:val="center"/>
          </w:tcPr>
          <w:p>
            <w:pPr>
              <w:spacing w:line="240" w:lineRule="auto"/>
              <w:jc w:val="center"/>
            </w:pPr>
            <w:r>
              <w:t>废水类别</w:t>
            </w:r>
          </w:p>
        </w:tc>
        <w:tc>
          <w:tcPr>
            <w:tcW w:w="6830" w:type="dxa"/>
            <w:gridSpan w:val="8"/>
            <w:vAlign w:val="center"/>
          </w:tcPr>
          <w:p>
            <w:pPr>
              <w:spacing w:line="240" w:lineRule="auto"/>
              <w:jc w:val="center"/>
            </w:pPr>
            <w:r>
              <w:t>废  水  水  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2528" w:type="dxa"/>
            <w:gridSpan w:val="2"/>
            <w:vMerge w:val="continue"/>
            <w:vAlign w:val="center"/>
          </w:tcPr>
          <w:p>
            <w:pPr>
              <w:spacing w:line="240" w:lineRule="auto"/>
              <w:jc w:val="center"/>
            </w:pPr>
          </w:p>
        </w:tc>
        <w:tc>
          <w:tcPr>
            <w:tcW w:w="895" w:type="dxa"/>
            <w:vAlign w:val="center"/>
          </w:tcPr>
          <w:p>
            <w:pPr>
              <w:spacing w:line="240" w:lineRule="auto"/>
              <w:jc w:val="center"/>
            </w:pPr>
            <w:r>
              <w:t>COD</w:t>
            </w:r>
          </w:p>
        </w:tc>
        <w:tc>
          <w:tcPr>
            <w:tcW w:w="913" w:type="dxa"/>
            <w:vAlign w:val="center"/>
          </w:tcPr>
          <w:p>
            <w:pPr>
              <w:spacing w:line="240" w:lineRule="auto"/>
              <w:jc w:val="center"/>
            </w:pPr>
            <w:r>
              <w:t>BOD</w:t>
            </w:r>
            <w:r>
              <w:rPr>
                <w:vertAlign w:val="subscript"/>
              </w:rPr>
              <w:t>5</w:t>
            </w:r>
          </w:p>
        </w:tc>
        <w:tc>
          <w:tcPr>
            <w:tcW w:w="761" w:type="dxa"/>
            <w:vAlign w:val="center"/>
          </w:tcPr>
          <w:p>
            <w:pPr>
              <w:spacing w:line="240" w:lineRule="auto"/>
              <w:jc w:val="center"/>
            </w:pPr>
            <w:r>
              <w:t>SS</w:t>
            </w:r>
          </w:p>
        </w:tc>
        <w:tc>
          <w:tcPr>
            <w:tcW w:w="885" w:type="dxa"/>
            <w:vAlign w:val="center"/>
          </w:tcPr>
          <w:p>
            <w:pPr>
              <w:spacing w:line="240" w:lineRule="auto"/>
              <w:jc w:val="center"/>
            </w:pPr>
            <w:r>
              <w:t>NH</w:t>
            </w:r>
            <w:r>
              <w:rPr>
                <w:vertAlign w:val="subscript"/>
              </w:rPr>
              <w:t>3</w:t>
            </w:r>
            <w:r>
              <w:t>-N</w:t>
            </w:r>
          </w:p>
        </w:tc>
        <w:tc>
          <w:tcPr>
            <w:tcW w:w="1050" w:type="dxa"/>
            <w:vAlign w:val="center"/>
          </w:tcPr>
          <w:p>
            <w:pPr>
              <w:spacing w:line="240" w:lineRule="auto"/>
              <w:jc w:val="center"/>
            </w:pPr>
            <w:r>
              <w:t>动植物油</w:t>
            </w:r>
          </w:p>
        </w:tc>
        <w:tc>
          <w:tcPr>
            <w:tcW w:w="810" w:type="dxa"/>
            <w:vAlign w:val="center"/>
          </w:tcPr>
          <w:p>
            <w:pPr>
              <w:spacing w:line="240" w:lineRule="auto"/>
              <w:jc w:val="center"/>
              <w:rPr>
                <w:rFonts w:hint="default" w:eastAsia="宋体"/>
                <w:lang w:val="en-US" w:eastAsia="zh-CN"/>
              </w:rPr>
            </w:pPr>
            <w:r>
              <w:rPr>
                <w:rFonts w:hint="eastAsia"/>
                <w:lang w:val="en-US" w:eastAsia="zh-CN"/>
              </w:rPr>
              <w:t>TP</w:t>
            </w:r>
          </w:p>
        </w:tc>
        <w:tc>
          <w:tcPr>
            <w:tcW w:w="735" w:type="dxa"/>
            <w:vAlign w:val="center"/>
          </w:tcPr>
          <w:p>
            <w:pPr>
              <w:spacing w:line="240" w:lineRule="auto"/>
              <w:jc w:val="center"/>
              <w:rPr>
                <w:rFonts w:hint="default" w:eastAsia="宋体"/>
                <w:lang w:val="en-US" w:eastAsia="zh-CN"/>
              </w:rPr>
            </w:pPr>
            <w:r>
              <w:rPr>
                <w:rFonts w:hint="eastAsia"/>
                <w:lang w:val="en-US" w:eastAsia="zh-CN"/>
              </w:rPr>
              <w:t>LAS</w:t>
            </w:r>
          </w:p>
        </w:tc>
        <w:tc>
          <w:tcPr>
            <w:tcW w:w="781" w:type="dxa"/>
            <w:vAlign w:val="center"/>
          </w:tcPr>
          <w:p>
            <w:pPr>
              <w:spacing w:line="240" w:lineRule="auto"/>
              <w:jc w:val="center"/>
              <w:rPr>
                <w:rFonts w:hint="eastAsia"/>
                <w:lang w:val="en-US" w:eastAsia="zh-CN"/>
              </w:rPr>
            </w:pPr>
            <w:r>
              <w:rPr>
                <w:rFonts w:hint="eastAsia"/>
                <w:lang w:val="en-US" w:eastAsia="zh-CN"/>
              </w:rPr>
              <w:t>色度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246" w:type="dxa"/>
            <w:vMerge w:val="restart"/>
            <w:vAlign w:val="center"/>
          </w:tcPr>
          <w:p>
            <w:pPr>
              <w:spacing w:line="240" w:lineRule="auto"/>
              <w:jc w:val="center"/>
              <w:rPr>
                <w:rFonts w:hint="eastAsia" w:eastAsia="宋体"/>
                <w:lang w:eastAsia="zh-CN"/>
              </w:rPr>
            </w:pPr>
            <w:r>
              <w:rPr>
                <w:rFonts w:hint="eastAsia"/>
                <w:lang w:eastAsia="zh-CN"/>
              </w:rPr>
              <w:t>生产废</w:t>
            </w:r>
            <w:r>
              <w:t>水</w:t>
            </w:r>
            <w:r>
              <w:rPr>
                <w:rFonts w:hint="eastAsia"/>
                <w:lang w:eastAsia="zh-CN"/>
              </w:rPr>
              <w:t>（</w:t>
            </w:r>
            <w:r>
              <w:rPr>
                <w:rFonts w:hint="eastAsia"/>
                <w:lang w:val="en-US" w:eastAsia="zh-CN"/>
              </w:rPr>
              <w:t>4050t/a</w:t>
            </w:r>
            <w:r>
              <w:rPr>
                <w:rFonts w:hint="eastAsia"/>
                <w:lang w:eastAsia="zh-CN"/>
              </w:rPr>
              <w:t>）</w:t>
            </w:r>
          </w:p>
        </w:tc>
        <w:tc>
          <w:tcPr>
            <w:tcW w:w="1282" w:type="dxa"/>
            <w:vAlign w:val="center"/>
          </w:tcPr>
          <w:p>
            <w:pPr>
              <w:spacing w:line="240" w:lineRule="auto"/>
              <w:jc w:val="center"/>
              <w:rPr>
                <w:rFonts w:hint="eastAsia" w:eastAsia="宋体"/>
                <w:lang w:eastAsia="zh-CN"/>
              </w:rPr>
            </w:pPr>
            <w:r>
              <w:rPr>
                <w:rFonts w:hint="eastAsia"/>
                <w:lang w:eastAsia="zh-CN"/>
              </w:rPr>
              <w:t>浓度</w:t>
            </w:r>
            <w:r>
              <w:rPr>
                <w:rFonts w:hint="eastAsia"/>
              </w:rPr>
              <w:t>（</w:t>
            </w:r>
            <w:r>
              <w:t>mg/L</w:t>
            </w:r>
            <w:r>
              <w:rPr>
                <w:rFonts w:hint="eastAsia"/>
              </w:rPr>
              <w:t>）</w:t>
            </w:r>
          </w:p>
        </w:tc>
        <w:tc>
          <w:tcPr>
            <w:tcW w:w="895" w:type="dxa"/>
            <w:vAlign w:val="center"/>
          </w:tcPr>
          <w:p>
            <w:pPr>
              <w:spacing w:line="240" w:lineRule="auto"/>
              <w:jc w:val="center"/>
              <w:rPr>
                <w:rFonts w:hint="default" w:eastAsia="宋体"/>
                <w:lang w:val="en-US" w:eastAsia="zh-CN"/>
              </w:rPr>
            </w:pPr>
            <w:r>
              <w:rPr>
                <w:rFonts w:hint="eastAsia"/>
                <w:lang w:val="en-US" w:eastAsia="zh-CN"/>
              </w:rPr>
              <w:t>1000</w:t>
            </w:r>
          </w:p>
        </w:tc>
        <w:tc>
          <w:tcPr>
            <w:tcW w:w="913" w:type="dxa"/>
            <w:vAlign w:val="center"/>
          </w:tcPr>
          <w:p>
            <w:pPr>
              <w:spacing w:line="240" w:lineRule="auto"/>
              <w:jc w:val="center"/>
              <w:rPr>
                <w:rFonts w:hint="default" w:eastAsia="宋体"/>
                <w:lang w:val="en-US" w:eastAsia="zh-CN"/>
              </w:rPr>
            </w:pPr>
            <w:r>
              <w:rPr>
                <w:rFonts w:hint="eastAsia"/>
                <w:lang w:val="en-US" w:eastAsia="zh-CN"/>
              </w:rPr>
              <w:t>600</w:t>
            </w:r>
          </w:p>
        </w:tc>
        <w:tc>
          <w:tcPr>
            <w:tcW w:w="761" w:type="dxa"/>
            <w:vAlign w:val="center"/>
          </w:tcPr>
          <w:p>
            <w:pPr>
              <w:spacing w:line="240" w:lineRule="auto"/>
              <w:jc w:val="center"/>
              <w:rPr>
                <w:rFonts w:hint="default" w:eastAsia="宋体"/>
                <w:lang w:val="en-US" w:eastAsia="zh-CN"/>
              </w:rPr>
            </w:pPr>
            <w:r>
              <w:rPr>
                <w:rFonts w:hint="eastAsia"/>
                <w:lang w:val="en-US" w:eastAsia="zh-CN"/>
              </w:rPr>
              <w:t>400</w:t>
            </w:r>
          </w:p>
        </w:tc>
        <w:tc>
          <w:tcPr>
            <w:tcW w:w="885" w:type="dxa"/>
            <w:vAlign w:val="center"/>
          </w:tcPr>
          <w:p>
            <w:pPr>
              <w:spacing w:line="240" w:lineRule="auto"/>
              <w:jc w:val="center"/>
              <w:rPr>
                <w:rFonts w:hint="default" w:eastAsia="宋体"/>
                <w:lang w:val="en-US" w:eastAsia="zh-CN"/>
              </w:rPr>
            </w:pPr>
            <w:r>
              <w:rPr>
                <w:rFonts w:hint="eastAsia"/>
                <w:lang w:val="en-US" w:eastAsia="zh-CN"/>
              </w:rPr>
              <w:t>50</w:t>
            </w:r>
          </w:p>
        </w:tc>
        <w:tc>
          <w:tcPr>
            <w:tcW w:w="1050" w:type="dxa"/>
            <w:vAlign w:val="center"/>
          </w:tcPr>
          <w:p>
            <w:pPr>
              <w:spacing w:line="240" w:lineRule="auto"/>
              <w:jc w:val="center"/>
              <w:rPr>
                <w:rFonts w:hint="eastAsia" w:eastAsia="宋体"/>
                <w:lang w:val="en-US" w:eastAsia="zh-CN"/>
              </w:rPr>
            </w:pPr>
            <w:r>
              <w:rPr>
                <w:rFonts w:hint="eastAsia"/>
                <w:lang w:val="en-US" w:eastAsia="zh-CN"/>
              </w:rPr>
              <w:t>-</w:t>
            </w:r>
          </w:p>
        </w:tc>
        <w:tc>
          <w:tcPr>
            <w:tcW w:w="810" w:type="dxa"/>
            <w:vAlign w:val="center"/>
          </w:tcPr>
          <w:p>
            <w:pPr>
              <w:spacing w:line="240" w:lineRule="auto"/>
              <w:jc w:val="center"/>
              <w:rPr>
                <w:rFonts w:hint="eastAsia" w:eastAsia="宋体"/>
                <w:lang w:val="en-US" w:eastAsia="zh-CN"/>
              </w:rPr>
            </w:pPr>
            <w:r>
              <w:rPr>
                <w:rFonts w:hint="eastAsia"/>
                <w:lang w:val="en-US" w:eastAsia="zh-CN"/>
              </w:rPr>
              <w:t>8</w:t>
            </w:r>
          </w:p>
        </w:tc>
        <w:tc>
          <w:tcPr>
            <w:tcW w:w="735" w:type="dxa"/>
            <w:vAlign w:val="center"/>
          </w:tcPr>
          <w:p>
            <w:pPr>
              <w:spacing w:line="240" w:lineRule="auto"/>
              <w:jc w:val="center"/>
              <w:rPr>
                <w:rFonts w:hint="default" w:eastAsia="宋体"/>
                <w:lang w:val="en-US" w:eastAsia="zh-CN"/>
              </w:rPr>
            </w:pPr>
            <w:r>
              <w:rPr>
                <w:rFonts w:hint="eastAsia"/>
                <w:lang w:val="en-US" w:eastAsia="zh-CN"/>
              </w:rPr>
              <w:t>30</w:t>
            </w:r>
          </w:p>
        </w:tc>
        <w:tc>
          <w:tcPr>
            <w:tcW w:w="781" w:type="dxa"/>
            <w:vAlign w:val="center"/>
          </w:tcPr>
          <w:p>
            <w:pPr>
              <w:spacing w:line="240" w:lineRule="auto"/>
              <w:jc w:val="center"/>
              <w:rPr>
                <w:rFonts w:hint="default"/>
                <w:lang w:val="en-US" w:eastAsia="zh-CN"/>
              </w:rPr>
            </w:pPr>
            <w:r>
              <w:rPr>
                <w:rFonts w:hint="eastAsia"/>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246" w:type="dxa"/>
            <w:vMerge w:val="continue"/>
            <w:vAlign w:val="center"/>
          </w:tcPr>
          <w:p>
            <w:pPr>
              <w:spacing w:line="240" w:lineRule="auto"/>
              <w:jc w:val="center"/>
            </w:pPr>
          </w:p>
        </w:tc>
        <w:tc>
          <w:tcPr>
            <w:tcW w:w="1282" w:type="dxa"/>
            <w:vAlign w:val="center"/>
          </w:tcPr>
          <w:p>
            <w:pPr>
              <w:spacing w:line="240" w:lineRule="auto"/>
              <w:jc w:val="center"/>
              <w:rPr>
                <w:rFonts w:hint="eastAsia" w:eastAsia="宋体"/>
                <w:lang w:eastAsia="zh-CN"/>
              </w:rPr>
            </w:pPr>
            <w:r>
              <w:rPr>
                <w:rFonts w:hint="eastAsia"/>
                <w:lang w:eastAsia="zh-CN"/>
              </w:rPr>
              <w:t>产生量</w:t>
            </w:r>
          </w:p>
        </w:tc>
        <w:tc>
          <w:tcPr>
            <w:tcW w:w="895" w:type="dxa"/>
            <w:vAlign w:val="center"/>
          </w:tcPr>
          <w:p>
            <w:pPr>
              <w:spacing w:line="240" w:lineRule="auto"/>
              <w:jc w:val="center"/>
              <w:rPr>
                <w:rFonts w:hint="default" w:eastAsia="宋体"/>
                <w:lang w:val="en-US" w:eastAsia="zh-CN"/>
              </w:rPr>
            </w:pPr>
            <w:r>
              <w:rPr>
                <w:rFonts w:hint="eastAsia"/>
                <w:lang w:val="en-US" w:eastAsia="zh-CN"/>
              </w:rPr>
              <w:t>4.05</w:t>
            </w:r>
          </w:p>
        </w:tc>
        <w:tc>
          <w:tcPr>
            <w:tcW w:w="913" w:type="dxa"/>
            <w:vAlign w:val="center"/>
          </w:tcPr>
          <w:p>
            <w:pPr>
              <w:spacing w:line="240" w:lineRule="auto"/>
              <w:jc w:val="center"/>
              <w:rPr>
                <w:rFonts w:hint="default" w:eastAsia="宋体"/>
                <w:lang w:val="en-US" w:eastAsia="zh-CN"/>
              </w:rPr>
            </w:pPr>
            <w:r>
              <w:rPr>
                <w:rFonts w:hint="eastAsia"/>
                <w:lang w:val="en-US" w:eastAsia="zh-CN"/>
              </w:rPr>
              <w:t>2.43</w:t>
            </w:r>
          </w:p>
        </w:tc>
        <w:tc>
          <w:tcPr>
            <w:tcW w:w="761" w:type="dxa"/>
            <w:vAlign w:val="center"/>
          </w:tcPr>
          <w:p>
            <w:pPr>
              <w:spacing w:line="240" w:lineRule="auto"/>
              <w:jc w:val="center"/>
              <w:rPr>
                <w:rFonts w:hint="default" w:eastAsia="宋体"/>
                <w:lang w:val="en-US" w:eastAsia="zh-CN"/>
              </w:rPr>
            </w:pPr>
            <w:r>
              <w:rPr>
                <w:rFonts w:hint="eastAsia"/>
                <w:lang w:val="en-US" w:eastAsia="zh-CN"/>
              </w:rPr>
              <w:t>1.62</w:t>
            </w:r>
          </w:p>
        </w:tc>
        <w:tc>
          <w:tcPr>
            <w:tcW w:w="885" w:type="dxa"/>
            <w:vAlign w:val="center"/>
          </w:tcPr>
          <w:p>
            <w:pPr>
              <w:spacing w:line="240" w:lineRule="auto"/>
              <w:jc w:val="center"/>
              <w:rPr>
                <w:rFonts w:hint="default" w:eastAsia="宋体"/>
                <w:lang w:val="en-US" w:eastAsia="zh-CN"/>
              </w:rPr>
            </w:pPr>
            <w:r>
              <w:rPr>
                <w:rFonts w:hint="eastAsia"/>
                <w:lang w:val="en-US" w:eastAsia="zh-CN"/>
              </w:rPr>
              <w:t>0.21</w:t>
            </w:r>
          </w:p>
        </w:tc>
        <w:tc>
          <w:tcPr>
            <w:tcW w:w="1050" w:type="dxa"/>
            <w:vAlign w:val="center"/>
          </w:tcPr>
          <w:p>
            <w:pPr>
              <w:spacing w:line="240" w:lineRule="auto"/>
              <w:jc w:val="center"/>
              <w:rPr>
                <w:rFonts w:hint="eastAsia" w:eastAsia="宋体"/>
                <w:lang w:val="en-US" w:eastAsia="zh-CN"/>
              </w:rPr>
            </w:pPr>
            <w:r>
              <w:rPr>
                <w:rFonts w:hint="eastAsia"/>
                <w:lang w:val="en-US" w:eastAsia="zh-CN"/>
              </w:rPr>
              <w:t>-</w:t>
            </w:r>
          </w:p>
        </w:tc>
        <w:tc>
          <w:tcPr>
            <w:tcW w:w="810" w:type="dxa"/>
            <w:vAlign w:val="center"/>
          </w:tcPr>
          <w:p>
            <w:pPr>
              <w:spacing w:line="240" w:lineRule="auto"/>
              <w:jc w:val="center"/>
              <w:rPr>
                <w:rFonts w:hint="default" w:eastAsia="宋体"/>
                <w:lang w:val="en-US" w:eastAsia="zh-CN"/>
              </w:rPr>
            </w:pPr>
            <w:r>
              <w:rPr>
                <w:rFonts w:hint="eastAsia"/>
                <w:lang w:val="en-US" w:eastAsia="zh-CN"/>
              </w:rPr>
              <w:t>0.032</w:t>
            </w:r>
          </w:p>
        </w:tc>
        <w:tc>
          <w:tcPr>
            <w:tcW w:w="735" w:type="dxa"/>
            <w:vAlign w:val="center"/>
          </w:tcPr>
          <w:p>
            <w:pPr>
              <w:spacing w:line="240" w:lineRule="auto"/>
              <w:jc w:val="center"/>
              <w:rPr>
                <w:rFonts w:hint="default" w:eastAsia="宋体"/>
                <w:lang w:val="en-US" w:eastAsia="zh-CN"/>
              </w:rPr>
            </w:pPr>
            <w:r>
              <w:rPr>
                <w:rFonts w:hint="eastAsia"/>
                <w:lang w:val="en-US" w:eastAsia="zh-CN"/>
              </w:rPr>
              <w:t>0.122</w:t>
            </w:r>
          </w:p>
        </w:tc>
        <w:tc>
          <w:tcPr>
            <w:tcW w:w="781" w:type="dxa"/>
            <w:vAlign w:val="center"/>
          </w:tcPr>
          <w:p>
            <w:pPr>
              <w:spacing w:line="240" w:lineRule="auto"/>
              <w:jc w:val="center"/>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24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生活污水</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lang w:eastAsia="zh-CN"/>
              </w:rPr>
            </w:pPr>
            <w:r>
              <w:rPr>
                <w:rFonts w:hint="eastAsia"/>
                <w:lang w:eastAsia="zh-CN"/>
              </w:rPr>
              <w:t>（</w:t>
            </w:r>
            <w:r>
              <w:rPr>
                <w:rFonts w:hint="eastAsia"/>
                <w:lang w:val="en-US" w:eastAsia="zh-CN"/>
              </w:rPr>
              <w:t>5760t/a</w:t>
            </w:r>
            <w:r>
              <w:rPr>
                <w:rFonts w:hint="eastAsia"/>
                <w:lang w:eastAsia="zh-CN"/>
              </w:rPr>
              <w:t>）</w:t>
            </w:r>
          </w:p>
        </w:tc>
        <w:tc>
          <w:tcPr>
            <w:tcW w:w="1282" w:type="dxa"/>
            <w:vAlign w:val="center"/>
          </w:tcPr>
          <w:p>
            <w:pPr>
              <w:spacing w:line="240" w:lineRule="auto"/>
              <w:jc w:val="center"/>
              <w:rPr>
                <w:rFonts w:hint="eastAsia"/>
                <w:lang w:eastAsia="zh-CN"/>
              </w:rPr>
            </w:pPr>
            <w:r>
              <w:rPr>
                <w:rFonts w:hint="eastAsia"/>
                <w:lang w:eastAsia="zh-CN"/>
              </w:rPr>
              <w:t>浓度</w:t>
            </w:r>
            <w:r>
              <w:rPr>
                <w:rFonts w:hint="eastAsia"/>
              </w:rPr>
              <w:t>（</w:t>
            </w:r>
            <w:r>
              <w:t>mg/L</w:t>
            </w:r>
            <w:r>
              <w:rPr>
                <w:rFonts w:hint="eastAsia"/>
              </w:rPr>
              <w:t>）</w:t>
            </w:r>
          </w:p>
        </w:tc>
        <w:tc>
          <w:tcPr>
            <w:tcW w:w="895" w:type="dxa"/>
            <w:vAlign w:val="center"/>
          </w:tcPr>
          <w:p>
            <w:pPr>
              <w:spacing w:line="240" w:lineRule="auto"/>
              <w:jc w:val="center"/>
              <w:rPr>
                <w:rFonts w:hint="default" w:eastAsia="宋体"/>
                <w:lang w:val="en-US" w:eastAsia="zh-CN"/>
              </w:rPr>
            </w:pPr>
            <w:r>
              <w:rPr>
                <w:rFonts w:hint="eastAsia"/>
                <w:lang w:val="en-US" w:eastAsia="zh-CN"/>
              </w:rPr>
              <w:t>300</w:t>
            </w:r>
          </w:p>
        </w:tc>
        <w:tc>
          <w:tcPr>
            <w:tcW w:w="913" w:type="dxa"/>
            <w:vAlign w:val="center"/>
          </w:tcPr>
          <w:p>
            <w:pPr>
              <w:spacing w:line="240" w:lineRule="auto"/>
              <w:jc w:val="center"/>
              <w:rPr>
                <w:rFonts w:hint="default" w:eastAsia="宋体"/>
                <w:lang w:val="en-US" w:eastAsia="zh-CN"/>
              </w:rPr>
            </w:pPr>
            <w:r>
              <w:rPr>
                <w:rFonts w:hint="eastAsia"/>
                <w:lang w:val="en-US" w:eastAsia="zh-CN"/>
              </w:rPr>
              <w:t>180</w:t>
            </w:r>
          </w:p>
        </w:tc>
        <w:tc>
          <w:tcPr>
            <w:tcW w:w="761" w:type="dxa"/>
            <w:vAlign w:val="center"/>
          </w:tcPr>
          <w:p>
            <w:pPr>
              <w:spacing w:line="240" w:lineRule="auto"/>
              <w:jc w:val="center"/>
              <w:rPr>
                <w:rFonts w:hint="default" w:eastAsia="宋体"/>
                <w:lang w:val="en-US" w:eastAsia="zh-CN"/>
              </w:rPr>
            </w:pPr>
            <w:r>
              <w:rPr>
                <w:rFonts w:hint="eastAsia"/>
                <w:lang w:val="en-US" w:eastAsia="zh-CN"/>
              </w:rPr>
              <w:t>200</w:t>
            </w:r>
          </w:p>
        </w:tc>
        <w:tc>
          <w:tcPr>
            <w:tcW w:w="885" w:type="dxa"/>
            <w:vAlign w:val="center"/>
          </w:tcPr>
          <w:p>
            <w:pPr>
              <w:spacing w:line="240" w:lineRule="auto"/>
              <w:jc w:val="center"/>
              <w:rPr>
                <w:rFonts w:hint="default" w:eastAsia="宋体"/>
                <w:lang w:val="en-US" w:eastAsia="zh-CN"/>
              </w:rPr>
            </w:pPr>
            <w:r>
              <w:rPr>
                <w:rFonts w:hint="eastAsia"/>
                <w:lang w:val="en-US" w:eastAsia="zh-CN"/>
              </w:rPr>
              <w:t>35</w:t>
            </w:r>
          </w:p>
        </w:tc>
        <w:tc>
          <w:tcPr>
            <w:tcW w:w="1050" w:type="dxa"/>
            <w:vAlign w:val="center"/>
          </w:tcPr>
          <w:p>
            <w:pPr>
              <w:spacing w:line="240" w:lineRule="auto"/>
              <w:jc w:val="center"/>
              <w:rPr>
                <w:rFonts w:hint="default" w:eastAsia="宋体"/>
                <w:lang w:val="en-US" w:eastAsia="zh-CN"/>
              </w:rPr>
            </w:pPr>
            <w:r>
              <w:rPr>
                <w:rFonts w:hint="eastAsia"/>
                <w:lang w:val="en-US" w:eastAsia="zh-CN"/>
              </w:rPr>
              <w:t>30</w:t>
            </w:r>
          </w:p>
        </w:tc>
        <w:tc>
          <w:tcPr>
            <w:tcW w:w="810" w:type="dxa"/>
            <w:vAlign w:val="center"/>
          </w:tcPr>
          <w:p>
            <w:pPr>
              <w:spacing w:line="240" w:lineRule="auto"/>
              <w:jc w:val="center"/>
              <w:rPr>
                <w:rFonts w:hint="eastAsia" w:eastAsia="宋体"/>
                <w:lang w:val="en-US" w:eastAsia="zh-CN"/>
              </w:rPr>
            </w:pPr>
            <w:r>
              <w:rPr>
                <w:rFonts w:hint="eastAsia"/>
                <w:lang w:val="en-US" w:eastAsia="zh-CN"/>
              </w:rPr>
              <w:t>-</w:t>
            </w:r>
          </w:p>
        </w:tc>
        <w:tc>
          <w:tcPr>
            <w:tcW w:w="735" w:type="dxa"/>
            <w:vAlign w:val="center"/>
          </w:tcPr>
          <w:p>
            <w:pPr>
              <w:spacing w:line="240" w:lineRule="auto"/>
              <w:jc w:val="center"/>
              <w:rPr>
                <w:rFonts w:hint="eastAsia" w:eastAsia="宋体"/>
                <w:lang w:val="en-US" w:eastAsia="zh-CN"/>
              </w:rPr>
            </w:pPr>
            <w:r>
              <w:rPr>
                <w:rFonts w:hint="eastAsia"/>
                <w:lang w:val="en-US" w:eastAsia="zh-CN"/>
              </w:rPr>
              <w:t>-</w:t>
            </w:r>
          </w:p>
        </w:tc>
        <w:tc>
          <w:tcPr>
            <w:tcW w:w="781" w:type="dxa"/>
            <w:vAlign w:val="center"/>
          </w:tcPr>
          <w:p>
            <w:pPr>
              <w:spacing w:line="240" w:lineRule="auto"/>
              <w:jc w:val="center"/>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246" w:type="dxa"/>
            <w:vMerge w:val="continue"/>
            <w:vAlign w:val="center"/>
          </w:tcPr>
          <w:p>
            <w:pPr>
              <w:spacing w:line="240" w:lineRule="auto"/>
              <w:jc w:val="center"/>
            </w:pPr>
          </w:p>
        </w:tc>
        <w:tc>
          <w:tcPr>
            <w:tcW w:w="1282" w:type="dxa"/>
            <w:vAlign w:val="center"/>
          </w:tcPr>
          <w:p>
            <w:pPr>
              <w:spacing w:line="240" w:lineRule="auto"/>
              <w:jc w:val="center"/>
              <w:rPr>
                <w:rFonts w:hint="eastAsia"/>
                <w:lang w:eastAsia="zh-CN"/>
              </w:rPr>
            </w:pPr>
            <w:r>
              <w:rPr>
                <w:rFonts w:hint="eastAsia"/>
                <w:lang w:eastAsia="zh-CN"/>
              </w:rPr>
              <w:t>产生量</w:t>
            </w:r>
          </w:p>
        </w:tc>
        <w:tc>
          <w:tcPr>
            <w:tcW w:w="895" w:type="dxa"/>
            <w:vAlign w:val="center"/>
          </w:tcPr>
          <w:p>
            <w:pPr>
              <w:spacing w:line="240" w:lineRule="auto"/>
              <w:jc w:val="center"/>
              <w:rPr>
                <w:rFonts w:hint="default" w:eastAsia="宋体"/>
                <w:lang w:val="en-US" w:eastAsia="zh-CN"/>
              </w:rPr>
            </w:pPr>
            <w:r>
              <w:rPr>
                <w:rFonts w:hint="eastAsia"/>
                <w:lang w:val="en-US" w:eastAsia="zh-CN"/>
              </w:rPr>
              <w:t>1.73</w:t>
            </w:r>
          </w:p>
        </w:tc>
        <w:tc>
          <w:tcPr>
            <w:tcW w:w="913" w:type="dxa"/>
            <w:vAlign w:val="center"/>
          </w:tcPr>
          <w:p>
            <w:pPr>
              <w:spacing w:line="240" w:lineRule="auto"/>
              <w:jc w:val="center"/>
              <w:rPr>
                <w:rFonts w:hint="default" w:eastAsia="宋体"/>
                <w:lang w:val="en-US" w:eastAsia="zh-CN"/>
              </w:rPr>
            </w:pPr>
            <w:r>
              <w:rPr>
                <w:rFonts w:hint="eastAsia"/>
                <w:lang w:val="en-US" w:eastAsia="zh-CN"/>
              </w:rPr>
              <w:t>1.037</w:t>
            </w:r>
          </w:p>
        </w:tc>
        <w:tc>
          <w:tcPr>
            <w:tcW w:w="761" w:type="dxa"/>
            <w:vAlign w:val="center"/>
          </w:tcPr>
          <w:p>
            <w:pPr>
              <w:spacing w:line="240" w:lineRule="auto"/>
              <w:jc w:val="center"/>
              <w:rPr>
                <w:rFonts w:hint="default" w:eastAsia="宋体"/>
                <w:lang w:val="en-US" w:eastAsia="zh-CN"/>
              </w:rPr>
            </w:pPr>
            <w:r>
              <w:rPr>
                <w:rFonts w:hint="eastAsia"/>
                <w:lang w:val="en-US" w:eastAsia="zh-CN"/>
              </w:rPr>
              <w:t>1.152</w:t>
            </w:r>
          </w:p>
        </w:tc>
        <w:tc>
          <w:tcPr>
            <w:tcW w:w="885" w:type="dxa"/>
            <w:vAlign w:val="center"/>
          </w:tcPr>
          <w:p>
            <w:pPr>
              <w:spacing w:line="240" w:lineRule="auto"/>
              <w:jc w:val="center"/>
              <w:rPr>
                <w:rFonts w:hint="default" w:eastAsia="宋体"/>
                <w:lang w:val="en-US" w:eastAsia="zh-CN"/>
              </w:rPr>
            </w:pPr>
            <w:r>
              <w:rPr>
                <w:rFonts w:hint="eastAsia"/>
                <w:lang w:val="en-US" w:eastAsia="zh-CN"/>
              </w:rPr>
              <w:t>0.21</w:t>
            </w:r>
          </w:p>
        </w:tc>
        <w:tc>
          <w:tcPr>
            <w:tcW w:w="1050" w:type="dxa"/>
            <w:vAlign w:val="center"/>
          </w:tcPr>
          <w:p>
            <w:pPr>
              <w:spacing w:line="240" w:lineRule="auto"/>
              <w:jc w:val="center"/>
              <w:rPr>
                <w:rFonts w:hint="default" w:eastAsia="宋体"/>
                <w:lang w:val="en-US" w:eastAsia="zh-CN"/>
              </w:rPr>
            </w:pPr>
            <w:r>
              <w:rPr>
                <w:rFonts w:hint="eastAsia"/>
                <w:lang w:val="en-US" w:eastAsia="zh-CN"/>
              </w:rPr>
              <w:t>0.173</w:t>
            </w:r>
          </w:p>
        </w:tc>
        <w:tc>
          <w:tcPr>
            <w:tcW w:w="810" w:type="dxa"/>
            <w:vAlign w:val="center"/>
          </w:tcPr>
          <w:p>
            <w:pPr>
              <w:spacing w:line="240" w:lineRule="auto"/>
              <w:jc w:val="center"/>
              <w:rPr>
                <w:rFonts w:hint="eastAsia" w:eastAsia="宋体"/>
                <w:lang w:val="en-US" w:eastAsia="zh-CN"/>
              </w:rPr>
            </w:pPr>
            <w:r>
              <w:rPr>
                <w:rFonts w:hint="eastAsia"/>
                <w:lang w:val="en-US" w:eastAsia="zh-CN"/>
              </w:rPr>
              <w:t>-</w:t>
            </w:r>
          </w:p>
        </w:tc>
        <w:tc>
          <w:tcPr>
            <w:tcW w:w="735" w:type="dxa"/>
            <w:vAlign w:val="center"/>
          </w:tcPr>
          <w:p>
            <w:pPr>
              <w:spacing w:line="240" w:lineRule="auto"/>
              <w:jc w:val="center"/>
              <w:rPr>
                <w:rFonts w:hint="eastAsia" w:eastAsia="宋体"/>
                <w:lang w:val="en-US" w:eastAsia="zh-CN"/>
              </w:rPr>
            </w:pPr>
            <w:r>
              <w:rPr>
                <w:rFonts w:hint="eastAsia"/>
                <w:lang w:val="en-US" w:eastAsia="zh-CN"/>
              </w:rPr>
              <w:t>-</w:t>
            </w:r>
          </w:p>
        </w:tc>
        <w:tc>
          <w:tcPr>
            <w:tcW w:w="781" w:type="dxa"/>
            <w:vAlign w:val="center"/>
          </w:tcPr>
          <w:p>
            <w:pPr>
              <w:spacing w:line="240" w:lineRule="auto"/>
              <w:jc w:val="center"/>
              <w:rPr>
                <w:rFonts w:hint="default"/>
                <w:lang w:val="en-US" w:eastAsia="zh-CN"/>
              </w:rPr>
            </w:pPr>
            <w:r>
              <w:rPr>
                <w:rFonts w:hint="eastAsia"/>
                <w:lang w:val="en-US" w:eastAsia="zh-CN"/>
              </w:rPr>
              <w:t>-</w:t>
            </w:r>
          </w:p>
        </w:tc>
      </w:tr>
    </w:tbl>
    <w:p>
      <w:pPr>
        <w:widowControl/>
        <w:spacing w:line="480" w:lineRule="exact"/>
        <w:ind w:firstLine="480" w:firstLineChars="200"/>
        <w:rPr>
          <w:rFonts w:hint="eastAsia"/>
          <w:sz w:val="24"/>
          <w:szCs w:val="24"/>
          <w:lang w:eastAsia="zh-CN"/>
        </w:rPr>
      </w:pPr>
      <w:r>
        <w:rPr>
          <w:rFonts w:hint="eastAsia"/>
          <w:sz w:val="24"/>
          <w:szCs w:val="24"/>
          <w:lang w:eastAsia="zh-CN"/>
        </w:rPr>
        <w:t>其中生产废水经自建污水处理站处理，生活污水经隔油池和化粪池预处理，经处理后的各废水汇合到一起经过排污口进入市政污水管网排入城北污水处理厂，则废水排放情况如下：</w:t>
      </w:r>
    </w:p>
    <w:p>
      <w:pPr>
        <w:widowControl/>
        <w:spacing w:line="480" w:lineRule="exact"/>
        <w:ind w:firstLine="2891" w:firstLineChars="1200"/>
        <w:rPr>
          <w:b/>
          <w:sz w:val="24"/>
          <w:szCs w:val="24"/>
        </w:rPr>
      </w:pPr>
      <w:r>
        <w:rPr>
          <w:b/>
          <w:sz w:val="24"/>
          <w:szCs w:val="24"/>
        </w:rPr>
        <w:t>表4</w:t>
      </w:r>
      <w:r>
        <w:rPr>
          <w:rFonts w:hint="eastAsia"/>
          <w:b/>
          <w:sz w:val="24"/>
          <w:szCs w:val="24"/>
          <w:lang w:val="en-US" w:eastAsia="zh-CN"/>
        </w:rPr>
        <w:t>.2-9</w:t>
      </w:r>
      <w:r>
        <w:rPr>
          <w:b/>
          <w:sz w:val="24"/>
          <w:szCs w:val="24"/>
        </w:rPr>
        <w:t xml:space="preserve">   生产废水源强</w:t>
      </w:r>
      <w:r>
        <w:rPr>
          <w:rFonts w:hint="eastAsia"/>
          <w:b/>
          <w:sz w:val="24"/>
          <w:szCs w:val="24"/>
          <w:lang w:eastAsia="zh-CN"/>
        </w:rPr>
        <w:t>排放</w:t>
      </w:r>
      <w:r>
        <w:rPr>
          <w:b/>
          <w:sz w:val="24"/>
          <w:szCs w:val="24"/>
        </w:rPr>
        <w:t>一览表</w:t>
      </w:r>
    </w:p>
    <w:tbl>
      <w:tblPr>
        <w:tblStyle w:val="22"/>
        <w:tblW w:w="9777" w:type="dxa"/>
        <w:jc w:val="center"/>
        <w:tblInd w:w="-98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1184"/>
        <w:gridCol w:w="915"/>
        <w:gridCol w:w="885"/>
        <w:gridCol w:w="870"/>
        <w:gridCol w:w="945"/>
        <w:gridCol w:w="979"/>
        <w:gridCol w:w="806"/>
        <w:gridCol w:w="810"/>
        <w:gridCol w:w="8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2668" w:type="dxa"/>
            <w:gridSpan w:val="2"/>
            <w:vMerge w:val="restart"/>
            <w:vAlign w:val="center"/>
          </w:tcPr>
          <w:p>
            <w:pPr>
              <w:spacing w:line="240" w:lineRule="auto"/>
              <w:jc w:val="center"/>
            </w:pPr>
            <w:r>
              <w:t>废水类别</w:t>
            </w:r>
          </w:p>
        </w:tc>
        <w:tc>
          <w:tcPr>
            <w:tcW w:w="7109" w:type="dxa"/>
            <w:gridSpan w:val="8"/>
            <w:vAlign w:val="center"/>
          </w:tcPr>
          <w:p>
            <w:pPr>
              <w:spacing w:line="240" w:lineRule="auto"/>
              <w:jc w:val="center"/>
            </w:pPr>
            <w:r>
              <w:t>废  水  水  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2668" w:type="dxa"/>
            <w:gridSpan w:val="2"/>
            <w:vMerge w:val="continue"/>
            <w:vAlign w:val="center"/>
          </w:tcPr>
          <w:p>
            <w:pPr>
              <w:spacing w:line="240" w:lineRule="auto"/>
              <w:jc w:val="center"/>
            </w:pPr>
          </w:p>
        </w:tc>
        <w:tc>
          <w:tcPr>
            <w:tcW w:w="915" w:type="dxa"/>
            <w:vAlign w:val="center"/>
          </w:tcPr>
          <w:p>
            <w:pPr>
              <w:spacing w:line="240" w:lineRule="auto"/>
              <w:jc w:val="center"/>
            </w:pPr>
            <w:r>
              <w:t>COD</w:t>
            </w:r>
          </w:p>
        </w:tc>
        <w:tc>
          <w:tcPr>
            <w:tcW w:w="885" w:type="dxa"/>
            <w:vAlign w:val="center"/>
          </w:tcPr>
          <w:p>
            <w:pPr>
              <w:spacing w:line="240" w:lineRule="auto"/>
              <w:jc w:val="center"/>
            </w:pPr>
            <w:r>
              <w:t>BOD</w:t>
            </w:r>
            <w:r>
              <w:rPr>
                <w:vertAlign w:val="subscript"/>
              </w:rPr>
              <w:t>5</w:t>
            </w:r>
          </w:p>
        </w:tc>
        <w:tc>
          <w:tcPr>
            <w:tcW w:w="870" w:type="dxa"/>
            <w:vAlign w:val="center"/>
          </w:tcPr>
          <w:p>
            <w:pPr>
              <w:spacing w:line="240" w:lineRule="auto"/>
              <w:jc w:val="center"/>
            </w:pPr>
            <w:r>
              <w:t>SS</w:t>
            </w:r>
          </w:p>
        </w:tc>
        <w:tc>
          <w:tcPr>
            <w:tcW w:w="945" w:type="dxa"/>
            <w:vAlign w:val="center"/>
          </w:tcPr>
          <w:p>
            <w:pPr>
              <w:spacing w:line="240" w:lineRule="auto"/>
              <w:jc w:val="center"/>
            </w:pPr>
            <w:r>
              <w:t>NH</w:t>
            </w:r>
            <w:r>
              <w:rPr>
                <w:vertAlign w:val="subscript"/>
              </w:rPr>
              <w:t>3</w:t>
            </w:r>
            <w:r>
              <w:t>-N</w:t>
            </w:r>
          </w:p>
        </w:tc>
        <w:tc>
          <w:tcPr>
            <w:tcW w:w="979" w:type="dxa"/>
            <w:vAlign w:val="center"/>
          </w:tcPr>
          <w:p>
            <w:pPr>
              <w:spacing w:line="240" w:lineRule="auto"/>
              <w:jc w:val="center"/>
            </w:pPr>
            <w:r>
              <w:t>动植物油</w:t>
            </w:r>
          </w:p>
        </w:tc>
        <w:tc>
          <w:tcPr>
            <w:tcW w:w="806" w:type="dxa"/>
            <w:vAlign w:val="center"/>
          </w:tcPr>
          <w:p>
            <w:pPr>
              <w:spacing w:line="240" w:lineRule="auto"/>
              <w:jc w:val="center"/>
              <w:rPr>
                <w:rFonts w:hint="default" w:eastAsia="宋体"/>
                <w:lang w:val="en-US" w:eastAsia="zh-CN"/>
              </w:rPr>
            </w:pPr>
            <w:r>
              <w:rPr>
                <w:rFonts w:hint="eastAsia"/>
                <w:lang w:val="en-US" w:eastAsia="zh-CN"/>
              </w:rPr>
              <w:t>TP</w:t>
            </w:r>
          </w:p>
        </w:tc>
        <w:tc>
          <w:tcPr>
            <w:tcW w:w="810" w:type="dxa"/>
            <w:vAlign w:val="center"/>
          </w:tcPr>
          <w:p>
            <w:pPr>
              <w:spacing w:line="240" w:lineRule="auto"/>
              <w:jc w:val="center"/>
              <w:rPr>
                <w:rFonts w:hint="default" w:eastAsia="宋体"/>
                <w:lang w:val="en-US" w:eastAsia="zh-CN"/>
              </w:rPr>
            </w:pPr>
            <w:r>
              <w:rPr>
                <w:rFonts w:hint="eastAsia"/>
                <w:lang w:val="en-US" w:eastAsia="zh-CN"/>
              </w:rPr>
              <w:t>LAS</w:t>
            </w:r>
          </w:p>
        </w:tc>
        <w:tc>
          <w:tcPr>
            <w:tcW w:w="899" w:type="dxa"/>
            <w:vAlign w:val="center"/>
          </w:tcPr>
          <w:p>
            <w:pPr>
              <w:spacing w:line="240" w:lineRule="auto"/>
              <w:jc w:val="center"/>
              <w:rPr>
                <w:rFonts w:hint="default"/>
                <w:lang w:val="en-US" w:eastAsia="zh-CN"/>
              </w:rPr>
            </w:pPr>
            <w:r>
              <w:rPr>
                <w:rFonts w:hint="eastAsia"/>
                <w:lang w:val="en-US" w:eastAsia="zh-CN"/>
              </w:rPr>
              <w:t>色度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484" w:type="dxa"/>
            <w:vMerge w:val="restart"/>
            <w:vAlign w:val="center"/>
          </w:tcPr>
          <w:p>
            <w:pPr>
              <w:spacing w:line="240" w:lineRule="auto"/>
              <w:jc w:val="center"/>
              <w:rPr>
                <w:rFonts w:hint="eastAsia" w:eastAsia="宋体"/>
                <w:lang w:eastAsia="zh-CN"/>
              </w:rPr>
            </w:pPr>
            <w:r>
              <w:rPr>
                <w:rFonts w:hint="eastAsia"/>
                <w:lang w:eastAsia="zh-CN"/>
              </w:rPr>
              <w:t>生产废</w:t>
            </w:r>
            <w:r>
              <w:t>水</w:t>
            </w:r>
            <w:r>
              <w:rPr>
                <w:rFonts w:hint="eastAsia"/>
                <w:lang w:eastAsia="zh-CN"/>
              </w:rPr>
              <w:t>（</w:t>
            </w:r>
            <w:r>
              <w:rPr>
                <w:rFonts w:hint="eastAsia"/>
                <w:lang w:val="en-US" w:eastAsia="zh-CN"/>
              </w:rPr>
              <w:t>4050t/a</w:t>
            </w:r>
            <w:r>
              <w:rPr>
                <w:rFonts w:hint="eastAsia"/>
                <w:lang w:eastAsia="zh-CN"/>
              </w:rPr>
              <w:t>）</w:t>
            </w:r>
          </w:p>
        </w:tc>
        <w:tc>
          <w:tcPr>
            <w:tcW w:w="1184" w:type="dxa"/>
            <w:vAlign w:val="center"/>
          </w:tcPr>
          <w:p>
            <w:pPr>
              <w:spacing w:line="240" w:lineRule="auto"/>
              <w:jc w:val="center"/>
              <w:rPr>
                <w:rFonts w:hint="eastAsia" w:eastAsia="宋体"/>
                <w:lang w:eastAsia="zh-CN"/>
              </w:rPr>
            </w:pPr>
            <w:r>
              <w:rPr>
                <w:rFonts w:hint="eastAsia"/>
                <w:lang w:eastAsia="zh-CN"/>
              </w:rPr>
              <w:t>浓度</w:t>
            </w:r>
            <w:r>
              <w:rPr>
                <w:rFonts w:hint="eastAsia"/>
              </w:rPr>
              <w:t>（</w:t>
            </w:r>
            <w:r>
              <w:t>mg/L</w:t>
            </w:r>
            <w:r>
              <w:rPr>
                <w:rFonts w:hint="eastAsia"/>
              </w:rPr>
              <w:t>）</w:t>
            </w:r>
          </w:p>
        </w:tc>
        <w:tc>
          <w:tcPr>
            <w:tcW w:w="915" w:type="dxa"/>
            <w:vAlign w:val="center"/>
          </w:tcPr>
          <w:p>
            <w:pPr>
              <w:spacing w:line="240" w:lineRule="auto"/>
              <w:jc w:val="center"/>
              <w:rPr>
                <w:rFonts w:hint="default" w:eastAsia="宋体"/>
                <w:lang w:val="en-US" w:eastAsia="zh-CN"/>
              </w:rPr>
            </w:pPr>
            <w:r>
              <w:rPr>
                <w:rFonts w:hint="eastAsia"/>
                <w:lang w:val="en-US" w:eastAsia="zh-CN"/>
              </w:rPr>
              <w:t>294</w:t>
            </w:r>
          </w:p>
        </w:tc>
        <w:tc>
          <w:tcPr>
            <w:tcW w:w="885" w:type="dxa"/>
            <w:vAlign w:val="center"/>
          </w:tcPr>
          <w:p>
            <w:pPr>
              <w:spacing w:line="240" w:lineRule="auto"/>
              <w:jc w:val="center"/>
              <w:rPr>
                <w:rFonts w:hint="default" w:eastAsia="宋体"/>
                <w:lang w:val="en-US" w:eastAsia="zh-CN"/>
              </w:rPr>
            </w:pPr>
            <w:r>
              <w:rPr>
                <w:rFonts w:hint="eastAsia"/>
                <w:lang w:val="en-US" w:eastAsia="zh-CN"/>
              </w:rPr>
              <w:t>265</w:t>
            </w:r>
          </w:p>
        </w:tc>
        <w:tc>
          <w:tcPr>
            <w:tcW w:w="870" w:type="dxa"/>
            <w:vAlign w:val="center"/>
          </w:tcPr>
          <w:p>
            <w:pPr>
              <w:spacing w:line="240" w:lineRule="auto"/>
              <w:jc w:val="center"/>
              <w:rPr>
                <w:rFonts w:hint="default" w:eastAsia="宋体"/>
                <w:lang w:val="en-US" w:eastAsia="zh-CN"/>
              </w:rPr>
            </w:pPr>
            <w:r>
              <w:rPr>
                <w:rFonts w:hint="eastAsia"/>
                <w:lang w:val="en-US" w:eastAsia="zh-CN"/>
              </w:rPr>
              <w:t>288</w:t>
            </w:r>
          </w:p>
        </w:tc>
        <w:tc>
          <w:tcPr>
            <w:tcW w:w="945" w:type="dxa"/>
            <w:vAlign w:val="center"/>
          </w:tcPr>
          <w:p>
            <w:pPr>
              <w:spacing w:line="240" w:lineRule="auto"/>
              <w:jc w:val="center"/>
              <w:rPr>
                <w:rFonts w:hint="default" w:eastAsia="宋体"/>
                <w:lang w:val="en-US" w:eastAsia="zh-CN"/>
              </w:rPr>
            </w:pPr>
            <w:r>
              <w:rPr>
                <w:rFonts w:hint="eastAsia"/>
                <w:lang w:val="en-US" w:eastAsia="zh-CN"/>
              </w:rPr>
              <w:t>25</w:t>
            </w:r>
          </w:p>
        </w:tc>
        <w:tc>
          <w:tcPr>
            <w:tcW w:w="979" w:type="dxa"/>
            <w:vAlign w:val="center"/>
          </w:tcPr>
          <w:p>
            <w:pPr>
              <w:spacing w:line="240" w:lineRule="auto"/>
              <w:jc w:val="center"/>
              <w:rPr>
                <w:rFonts w:hint="eastAsia" w:eastAsia="宋体"/>
                <w:lang w:val="en-US" w:eastAsia="zh-CN"/>
              </w:rPr>
            </w:pPr>
            <w:r>
              <w:rPr>
                <w:rFonts w:hint="eastAsia"/>
                <w:lang w:val="en-US" w:eastAsia="zh-CN"/>
              </w:rPr>
              <w:t>-</w:t>
            </w:r>
          </w:p>
        </w:tc>
        <w:tc>
          <w:tcPr>
            <w:tcW w:w="806" w:type="dxa"/>
            <w:vAlign w:val="center"/>
          </w:tcPr>
          <w:p>
            <w:pPr>
              <w:spacing w:line="240" w:lineRule="auto"/>
              <w:jc w:val="center"/>
              <w:rPr>
                <w:rFonts w:hint="default" w:eastAsia="宋体"/>
                <w:lang w:val="en-US" w:eastAsia="zh-CN"/>
              </w:rPr>
            </w:pPr>
            <w:r>
              <w:rPr>
                <w:rFonts w:hint="eastAsia"/>
                <w:lang w:val="en-US" w:eastAsia="zh-CN"/>
              </w:rPr>
              <w:t>4</w:t>
            </w:r>
          </w:p>
        </w:tc>
        <w:tc>
          <w:tcPr>
            <w:tcW w:w="810" w:type="dxa"/>
            <w:vAlign w:val="center"/>
          </w:tcPr>
          <w:p>
            <w:pPr>
              <w:spacing w:line="240" w:lineRule="auto"/>
              <w:jc w:val="center"/>
              <w:rPr>
                <w:rFonts w:hint="default" w:eastAsia="宋体"/>
                <w:lang w:val="en-US" w:eastAsia="zh-CN"/>
              </w:rPr>
            </w:pPr>
            <w:r>
              <w:rPr>
                <w:rFonts w:hint="eastAsia"/>
                <w:lang w:val="en-US" w:eastAsia="zh-CN"/>
              </w:rPr>
              <w:t>12</w:t>
            </w:r>
          </w:p>
        </w:tc>
        <w:tc>
          <w:tcPr>
            <w:tcW w:w="899" w:type="dxa"/>
            <w:vAlign w:val="center"/>
          </w:tcPr>
          <w:p>
            <w:pPr>
              <w:spacing w:line="240" w:lineRule="auto"/>
              <w:jc w:val="center"/>
              <w:rPr>
                <w:rFonts w:hint="eastAsia" w:eastAsia="宋体"/>
                <w:lang w:val="en-US" w:eastAsia="zh-CN"/>
              </w:rPr>
            </w:pPr>
            <w:r>
              <w:rPr>
                <w:rFonts w:hint="eastAsia"/>
                <w:lang w:val="en-US" w:eastAsia="zh-CN"/>
              </w:rPr>
              <w:t>60倍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484" w:type="dxa"/>
            <w:vMerge w:val="continue"/>
            <w:vAlign w:val="center"/>
          </w:tcPr>
          <w:p>
            <w:pPr>
              <w:spacing w:line="240" w:lineRule="auto"/>
              <w:jc w:val="center"/>
            </w:pPr>
          </w:p>
        </w:tc>
        <w:tc>
          <w:tcPr>
            <w:tcW w:w="1184" w:type="dxa"/>
            <w:vAlign w:val="center"/>
          </w:tcPr>
          <w:p>
            <w:pPr>
              <w:spacing w:line="240" w:lineRule="auto"/>
              <w:jc w:val="center"/>
              <w:rPr>
                <w:rFonts w:hint="eastAsia" w:eastAsia="宋体"/>
                <w:lang w:eastAsia="zh-CN"/>
              </w:rPr>
            </w:pPr>
            <w:r>
              <w:rPr>
                <w:rFonts w:hint="eastAsia"/>
                <w:lang w:eastAsia="zh-CN"/>
              </w:rPr>
              <w:t>产生量</w:t>
            </w:r>
          </w:p>
        </w:tc>
        <w:tc>
          <w:tcPr>
            <w:tcW w:w="915" w:type="dxa"/>
            <w:vAlign w:val="center"/>
          </w:tcPr>
          <w:p>
            <w:pPr>
              <w:spacing w:line="240" w:lineRule="auto"/>
              <w:jc w:val="center"/>
              <w:rPr>
                <w:rFonts w:hint="default" w:eastAsia="宋体"/>
                <w:lang w:val="en-US" w:eastAsia="zh-CN"/>
              </w:rPr>
            </w:pPr>
            <w:r>
              <w:rPr>
                <w:rFonts w:hint="eastAsia"/>
                <w:lang w:val="en-US" w:eastAsia="zh-CN"/>
              </w:rPr>
              <w:t>1.19</w:t>
            </w:r>
          </w:p>
        </w:tc>
        <w:tc>
          <w:tcPr>
            <w:tcW w:w="885" w:type="dxa"/>
            <w:vAlign w:val="center"/>
          </w:tcPr>
          <w:p>
            <w:pPr>
              <w:spacing w:line="240" w:lineRule="auto"/>
              <w:jc w:val="center"/>
              <w:rPr>
                <w:rFonts w:hint="default" w:eastAsia="宋体"/>
                <w:lang w:val="en-US" w:eastAsia="zh-CN"/>
              </w:rPr>
            </w:pPr>
            <w:r>
              <w:rPr>
                <w:rFonts w:hint="eastAsia"/>
                <w:lang w:val="en-US" w:eastAsia="zh-CN"/>
              </w:rPr>
              <w:t>1.07</w:t>
            </w:r>
          </w:p>
        </w:tc>
        <w:tc>
          <w:tcPr>
            <w:tcW w:w="870" w:type="dxa"/>
            <w:vAlign w:val="center"/>
          </w:tcPr>
          <w:p>
            <w:pPr>
              <w:spacing w:line="240" w:lineRule="auto"/>
              <w:jc w:val="center"/>
              <w:rPr>
                <w:rFonts w:hint="default" w:eastAsia="宋体"/>
                <w:lang w:val="en-US" w:eastAsia="zh-CN"/>
              </w:rPr>
            </w:pPr>
            <w:r>
              <w:rPr>
                <w:rFonts w:hint="eastAsia"/>
                <w:lang w:val="en-US" w:eastAsia="zh-CN"/>
              </w:rPr>
              <w:t>1.17</w:t>
            </w:r>
          </w:p>
        </w:tc>
        <w:tc>
          <w:tcPr>
            <w:tcW w:w="945" w:type="dxa"/>
            <w:vAlign w:val="center"/>
          </w:tcPr>
          <w:p>
            <w:pPr>
              <w:spacing w:line="240" w:lineRule="auto"/>
              <w:jc w:val="center"/>
              <w:rPr>
                <w:rFonts w:hint="default" w:eastAsia="宋体"/>
                <w:lang w:val="en-US" w:eastAsia="zh-CN"/>
              </w:rPr>
            </w:pPr>
            <w:r>
              <w:rPr>
                <w:rFonts w:hint="eastAsia"/>
                <w:lang w:val="en-US" w:eastAsia="zh-CN"/>
              </w:rPr>
              <w:t>0.10</w:t>
            </w:r>
          </w:p>
        </w:tc>
        <w:tc>
          <w:tcPr>
            <w:tcW w:w="979" w:type="dxa"/>
            <w:vAlign w:val="center"/>
          </w:tcPr>
          <w:p>
            <w:pPr>
              <w:spacing w:line="240" w:lineRule="auto"/>
              <w:jc w:val="center"/>
              <w:rPr>
                <w:rFonts w:hint="eastAsia" w:eastAsia="宋体"/>
                <w:lang w:val="en-US" w:eastAsia="zh-CN"/>
              </w:rPr>
            </w:pPr>
            <w:r>
              <w:rPr>
                <w:rFonts w:hint="eastAsia"/>
                <w:lang w:val="en-US" w:eastAsia="zh-CN"/>
              </w:rPr>
              <w:t>-</w:t>
            </w:r>
          </w:p>
        </w:tc>
        <w:tc>
          <w:tcPr>
            <w:tcW w:w="806" w:type="dxa"/>
            <w:vAlign w:val="center"/>
          </w:tcPr>
          <w:p>
            <w:pPr>
              <w:spacing w:line="240" w:lineRule="auto"/>
              <w:jc w:val="center"/>
              <w:rPr>
                <w:rFonts w:hint="default" w:eastAsia="宋体"/>
                <w:lang w:val="en-US" w:eastAsia="zh-CN"/>
              </w:rPr>
            </w:pPr>
            <w:r>
              <w:rPr>
                <w:rFonts w:hint="eastAsia"/>
                <w:lang w:val="en-US" w:eastAsia="zh-CN"/>
              </w:rPr>
              <w:t>0.016</w:t>
            </w:r>
          </w:p>
        </w:tc>
        <w:tc>
          <w:tcPr>
            <w:tcW w:w="810" w:type="dxa"/>
            <w:vAlign w:val="center"/>
          </w:tcPr>
          <w:p>
            <w:pPr>
              <w:spacing w:line="240" w:lineRule="auto"/>
              <w:jc w:val="center"/>
              <w:rPr>
                <w:rFonts w:hint="default" w:eastAsia="宋体"/>
                <w:lang w:val="en-US" w:eastAsia="zh-CN"/>
              </w:rPr>
            </w:pPr>
            <w:r>
              <w:rPr>
                <w:rFonts w:hint="eastAsia"/>
                <w:lang w:val="en-US" w:eastAsia="zh-CN"/>
              </w:rPr>
              <w:t>0.049</w:t>
            </w:r>
          </w:p>
        </w:tc>
        <w:tc>
          <w:tcPr>
            <w:tcW w:w="899" w:type="dxa"/>
            <w:vAlign w:val="center"/>
          </w:tcPr>
          <w:p>
            <w:pPr>
              <w:spacing w:line="240" w:lineRule="auto"/>
              <w:jc w:val="center"/>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48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生活污水</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lang w:eastAsia="zh-CN"/>
              </w:rPr>
            </w:pPr>
            <w:r>
              <w:rPr>
                <w:rFonts w:hint="eastAsia"/>
                <w:lang w:eastAsia="zh-CN"/>
              </w:rPr>
              <w:t>（</w:t>
            </w:r>
            <w:r>
              <w:rPr>
                <w:rFonts w:hint="eastAsia"/>
                <w:lang w:val="en-US" w:eastAsia="zh-CN"/>
              </w:rPr>
              <w:t>5760t/a</w:t>
            </w:r>
            <w:r>
              <w:rPr>
                <w:rFonts w:hint="eastAsia"/>
                <w:lang w:eastAsia="zh-CN"/>
              </w:rPr>
              <w:t>）</w:t>
            </w:r>
          </w:p>
        </w:tc>
        <w:tc>
          <w:tcPr>
            <w:tcW w:w="1184" w:type="dxa"/>
            <w:vAlign w:val="center"/>
          </w:tcPr>
          <w:p>
            <w:pPr>
              <w:spacing w:line="240" w:lineRule="auto"/>
              <w:jc w:val="center"/>
              <w:rPr>
                <w:rFonts w:hint="eastAsia"/>
                <w:lang w:eastAsia="zh-CN"/>
              </w:rPr>
            </w:pPr>
            <w:r>
              <w:rPr>
                <w:rFonts w:hint="eastAsia"/>
                <w:lang w:eastAsia="zh-CN"/>
              </w:rPr>
              <w:t>浓度</w:t>
            </w:r>
            <w:r>
              <w:rPr>
                <w:rFonts w:hint="eastAsia"/>
              </w:rPr>
              <w:t>（</w:t>
            </w:r>
            <w:r>
              <w:t>mg/L</w:t>
            </w:r>
            <w:r>
              <w:rPr>
                <w:rFonts w:hint="eastAsia"/>
              </w:rPr>
              <w:t>）</w:t>
            </w:r>
          </w:p>
        </w:tc>
        <w:tc>
          <w:tcPr>
            <w:tcW w:w="915" w:type="dxa"/>
            <w:vAlign w:val="center"/>
          </w:tcPr>
          <w:p>
            <w:pPr>
              <w:spacing w:line="240" w:lineRule="auto"/>
              <w:jc w:val="center"/>
              <w:rPr>
                <w:rFonts w:hint="default" w:eastAsia="宋体"/>
                <w:lang w:val="en-US" w:eastAsia="zh-CN"/>
              </w:rPr>
            </w:pPr>
            <w:r>
              <w:rPr>
                <w:rFonts w:hint="eastAsia"/>
                <w:lang w:val="en-US" w:eastAsia="zh-CN"/>
              </w:rPr>
              <w:t>250</w:t>
            </w:r>
          </w:p>
        </w:tc>
        <w:tc>
          <w:tcPr>
            <w:tcW w:w="885" w:type="dxa"/>
            <w:vAlign w:val="center"/>
          </w:tcPr>
          <w:p>
            <w:pPr>
              <w:spacing w:line="240" w:lineRule="auto"/>
              <w:jc w:val="center"/>
              <w:rPr>
                <w:rFonts w:hint="default" w:eastAsia="宋体"/>
                <w:lang w:val="en-US" w:eastAsia="zh-CN"/>
              </w:rPr>
            </w:pPr>
            <w:r>
              <w:rPr>
                <w:rFonts w:hint="eastAsia"/>
                <w:lang w:val="en-US" w:eastAsia="zh-CN"/>
              </w:rPr>
              <w:t>150</w:t>
            </w:r>
          </w:p>
        </w:tc>
        <w:tc>
          <w:tcPr>
            <w:tcW w:w="870" w:type="dxa"/>
            <w:vAlign w:val="center"/>
          </w:tcPr>
          <w:p>
            <w:pPr>
              <w:spacing w:line="240" w:lineRule="auto"/>
              <w:jc w:val="center"/>
              <w:rPr>
                <w:rFonts w:hint="default" w:eastAsia="宋体"/>
                <w:lang w:val="en-US" w:eastAsia="zh-CN"/>
              </w:rPr>
            </w:pPr>
            <w:r>
              <w:rPr>
                <w:rFonts w:hint="eastAsia"/>
                <w:lang w:val="en-US" w:eastAsia="zh-CN"/>
              </w:rPr>
              <w:t>120</w:t>
            </w:r>
          </w:p>
        </w:tc>
        <w:tc>
          <w:tcPr>
            <w:tcW w:w="945" w:type="dxa"/>
            <w:vAlign w:val="center"/>
          </w:tcPr>
          <w:p>
            <w:pPr>
              <w:spacing w:line="240" w:lineRule="auto"/>
              <w:jc w:val="center"/>
              <w:rPr>
                <w:rFonts w:hint="default" w:eastAsia="宋体"/>
                <w:lang w:val="en-US" w:eastAsia="zh-CN"/>
              </w:rPr>
            </w:pPr>
            <w:r>
              <w:rPr>
                <w:rFonts w:hint="eastAsia"/>
                <w:lang w:val="en-US" w:eastAsia="zh-CN"/>
              </w:rPr>
              <w:t>25</w:t>
            </w:r>
          </w:p>
        </w:tc>
        <w:tc>
          <w:tcPr>
            <w:tcW w:w="979" w:type="dxa"/>
            <w:vAlign w:val="center"/>
          </w:tcPr>
          <w:p>
            <w:pPr>
              <w:spacing w:line="240" w:lineRule="auto"/>
              <w:jc w:val="center"/>
              <w:rPr>
                <w:rFonts w:hint="default" w:eastAsia="宋体"/>
                <w:lang w:val="en-US" w:eastAsia="zh-CN"/>
              </w:rPr>
            </w:pPr>
            <w:r>
              <w:rPr>
                <w:rFonts w:hint="eastAsia"/>
                <w:lang w:val="en-US" w:eastAsia="zh-CN"/>
              </w:rPr>
              <w:t>20</w:t>
            </w:r>
          </w:p>
        </w:tc>
        <w:tc>
          <w:tcPr>
            <w:tcW w:w="806" w:type="dxa"/>
            <w:vAlign w:val="center"/>
          </w:tcPr>
          <w:p>
            <w:pPr>
              <w:spacing w:line="240" w:lineRule="auto"/>
              <w:jc w:val="center"/>
              <w:rPr>
                <w:rFonts w:hint="eastAsia" w:eastAsia="宋体"/>
                <w:lang w:val="en-US" w:eastAsia="zh-CN"/>
              </w:rPr>
            </w:pPr>
            <w:r>
              <w:rPr>
                <w:rFonts w:hint="eastAsia"/>
                <w:lang w:val="en-US" w:eastAsia="zh-CN"/>
              </w:rPr>
              <w:t>-</w:t>
            </w:r>
          </w:p>
        </w:tc>
        <w:tc>
          <w:tcPr>
            <w:tcW w:w="810" w:type="dxa"/>
            <w:vAlign w:val="center"/>
          </w:tcPr>
          <w:p>
            <w:pPr>
              <w:spacing w:line="240" w:lineRule="auto"/>
              <w:jc w:val="center"/>
              <w:rPr>
                <w:rFonts w:hint="eastAsia" w:eastAsia="宋体"/>
                <w:lang w:val="en-US" w:eastAsia="zh-CN"/>
              </w:rPr>
            </w:pPr>
            <w:r>
              <w:rPr>
                <w:rFonts w:hint="eastAsia"/>
                <w:lang w:val="en-US" w:eastAsia="zh-CN"/>
              </w:rPr>
              <w:t>-</w:t>
            </w:r>
          </w:p>
        </w:tc>
        <w:tc>
          <w:tcPr>
            <w:tcW w:w="899" w:type="dxa"/>
            <w:vAlign w:val="center"/>
          </w:tcPr>
          <w:p>
            <w:pPr>
              <w:spacing w:line="240" w:lineRule="auto"/>
              <w:jc w:val="center"/>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484" w:type="dxa"/>
            <w:vMerge w:val="continue"/>
            <w:vAlign w:val="center"/>
          </w:tcPr>
          <w:p>
            <w:pPr>
              <w:spacing w:line="240" w:lineRule="auto"/>
              <w:jc w:val="center"/>
            </w:pPr>
          </w:p>
        </w:tc>
        <w:tc>
          <w:tcPr>
            <w:tcW w:w="1184" w:type="dxa"/>
            <w:vAlign w:val="center"/>
          </w:tcPr>
          <w:p>
            <w:pPr>
              <w:spacing w:line="240" w:lineRule="auto"/>
              <w:jc w:val="center"/>
              <w:rPr>
                <w:rFonts w:hint="eastAsia"/>
                <w:lang w:eastAsia="zh-CN"/>
              </w:rPr>
            </w:pPr>
            <w:r>
              <w:rPr>
                <w:rFonts w:hint="eastAsia"/>
                <w:lang w:eastAsia="zh-CN"/>
              </w:rPr>
              <w:t>产生量</w:t>
            </w:r>
          </w:p>
        </w:tc>
        <w:tc>
          <w:tcPr>
            <w:tcW w:w="915" w:type="dxa"/>
            <w:vAlign w:val="center"/>
          </w:tcPr>
          <w:p>
            <w:pPr>
              <w:spacing w:line="240" w:lineRule="auto"/>
              <w:jc w:val="center"/>
              <w:rPr>
                <w:rFonts w:hint="default" w:eastAsia="宋体"/>
                <w:lang w:val="en-US" w:eastAsia="zh-CN"/>
              </w:rPr>
            </w:pPr>
            <w:r>
              <w:rPr>
                <w:rFonts w:hint="eastAsia"/>
                <w:lang w:val="en-US" w:eastAsia="zh-CN"/>
              </w:rPr>
              <w:t>1.44</w:t>
            </w:r>
          </w:p>
        </w:tc>
        <w:tc>
          <w:tcPr>
            <w:tcW w:w="885" w:type="dxa"/>
            <w:vAlign w:val="center"/>
          </w:tcPr>
          <w:p>
            <w:pPr>
              <w:spacing w:line="240" w:lineRule="auto"/>
              <w:jc w:val="center"/>
              <w:rPr>
                <w:rFonts w:hint="default" w:eastAsia="宋体"/>
                <w:lang w:val="en-US" w:eastAsia="zh-CN"/>
              </w:rPr>
            </w:pPr>
            <w:r>
              <w:rPr>
                <w:rFonts w:hint="eastAsia"/>
                <w:lang w:val="en-US" w:eastAsia="zh-CN"/>
              </w:rPr>
              <w:t>0.86</w:t>
            </w:r>
          </w:p>
        </w:tc>
        <w:tc>
          <w:tcPr>
            <w:tcW w:w="870" w:type="dxa"/>
            <w:vAlign w:val="center"/>
          </w:tcPr>
          <w:p>
            <w:pPr>
              <w:spacing w:line="240" w:lineRule="auto"/>
              <w:jc w:val="center"/>
              <w:rPr>
                <w:rFonts w:hint="default" w:eastAsia="宋体"/>
                <w:lang w:val="en-US" w:eastAsia="zh-CN"/>
              </w:rPr>
            </w:pPr>
            <w:r>
              <w:rPr>
                <w:rFonts w:hint="eastAsia"/>
                <w:lang w:val="en-US" w:eastAsia="zh-CN"/>
              </w:rPr>
              <w:t>0.69</w:t>
            </w:r>
          </w:p>
        </w:tc>
        <w:tc>
          <w:tcPr>
            <w:tcW w:w="945" w:type="dxa"/>
            <w:vAlign w:val="center"/>
          </w:tcPr>
          <w:p>
            <w:pPr>
              <w:spacing w:line="240" w:lineRule="auto"/>
              <w:jc w:val="center"/>
              <w:rPr>
                <w:rFonts w:hint="default" w:eastAsia="宋体"/>
                <w:lang w:val="en-US" w:eastAsia="zh-CN"/>
              </w:rPr>
            </w:pPr>
            <w:r>
              <w:rPr>
                <w:rFonts w:hint="eastAsia"/>
                <w:lang w:val="en-US" w:eastAsia="zh-CN"/>
              </w:rPr>
              <w:t>0.14</w:t>
            </w:r>
          </w:p>
        </w:tc>
        <w:tc>
          <w:tcPr>
            <w:tcW w:w="979" w:type="dxa"/>
            <w:vAlign w:val="center"/>
          </w:tcPr>
          <w:p>
            <w:pPr>
              <w:spacing w:line="240" w:lineRule="auto"/>
              <w:jc w:val="center"/>
              <w:rPr>
                <w:rFonts w:hint="default" w:eastAsia="宋体"/>
                <w:lang w:val="en-US" w:eastAsia="zh-CN"/>
              </w:rPr>
            </w:pPr>
            <w:r>
              <w:rPr>
                <w:rFonts w:hint="eastAsia"/>
                <w:lang w:val="en-US" w:eastAsia="zh-CN"/>
              </w:rPr>
              <w:t>0.12</w:t>
            </w:r>
          </w:p>
        </w:tc>
        <w:tc>
          <w:tcPr>
            <w:tcW w:w="806" w:type="dxa"/>
            <w:vAlign w:val="center"/>
          </w:tcPr>
          <w:p>
            <w:pPr>
              <w:spacing w:line="240" w:lineRule="auto"/>
              <w:jc w:val="center"/>
              <w:rPr>
                <w:rFonts w:hint="eastAsia" w:eastAsia="宋体"/>
                <w:lang w:val="en-US" w:eastAsia="zh-CN"/>
              </w:rPr>
            </w:pPr>
            <w:r>
              <w:rPr>
                <w:rFonts w:hint="eastAsia"/>
                <w:lang w:val="en-US" w:eastAsia="zh-CN"/>
              </w:rPr>
              <w:t>-</w:t>
            </w:r>
          </w:p>
        </w:tc>
        <w:tc>
          <w:tcPr>
            <w:tcW w:w="810" w:type="dxa"/>
            <w:vAlign w:val="center"/>
          </w:tcPr>
          <w:p>
            <w:pPr>
              <w:spacing w:line="240" w:lineRule="auto"/>
              <w:jc w:val="center"/>
              <w:rPr>
                <w:rFonts w:hint="eastAsia" w:eastAsia="宋体"/>
                <w:lang w:val="en-US" w:eastAsia="zh-CN"/>
              </w:rPr>
            </w:pPr>
            <w:r>
              <w:rPr>
                <w:rFonts w:hint="eastAsia"/>
                <w:lang w:val="en-US" w:eastAsia="zh-CN"/>
              </w:rPr>
              <w:t>-</w:t>
            </w:r>
          </w:p>
        </w:tc>
        <w:tc>
          <w:tcPr>
            <w:tcW w:w="899" w:type="dxa"/>
            <w:vAlign w:val="center"/>
          </w:tcPr>
          <w:p>
            <w:pPr>
              <w:spacing w:line="240" w:lineRule="auto"/>
              <w:jc w:val="center"/>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484" w:type="dxa"/>
            <w:vMerge w:val="restart"/>
            <w:vAlign w:val="center"/>
          </w:tcPr>
          <w:p>
            <w:pPr>
              <w:spacing w:line="240" w:lineRule="auto"/>
              <w:jc w:val="center"/>
              <w:rPr>
                <w:rFonts w:hint="eastAsia" w:eastAsia="宋体"/>
                <w:lang w:eastAsia="zh-CN"/>
              </w:rPr>
            </w:pPr>
            <w:r>
              <w:rPr>
                <w:rFonts w:hint="eastAsia"/>
                <w:lang w:eastAsia="zh-CN"/>
              </w:rPr>
              <w:t>综合废水（</w:t>
            </w:r>
            <w:r>
              <w:rPr>
                <w:rFonts w:hint="eastAsia"/>
                <w:lang w:val="en-US" w:eastAsia="zh-CN"/>
              </w:rPr>
              <w:t>9810t/a</w:t>
            </w:r>
            <w:r>
              <w:rPr>
                <w:rFonts w:hint="eastAsia"/>
                <w:lang w:eastAsia="zh-CN"/>
              </w:rPr>
              <w:t>）</w:t>
            </w:r>
          </w:p>
        </w:tc>
        <w:tc>
          <w:tcPr>
            <w:tcW w:w="1184" w:type="dxa"/>
            <w:vAlign w:val="center"/>
          </w:tcPr>
          <w:p>
            <w:pPr>
              <w:spacing w:line="240" w:lineRule="auto"/>
              <w:jc w:val="center"/>
              <w:rPr>
                <w:rFonts w:hint="eastAsia"/>
                <w:lang w:eastAsia="zh-CN"/>
              </w:rPr>
            </w:pPr>
            <w:r>
              <w:rPr>
                <w:rFonts w:hint="eastAsia"/>
                <w:lang w:eastAsia="zh-CN"/>
              </w:rPr>
              <w:t>浓度</w:t>
            </w:r>
            <w:r>
              <w:rPr>
                <w:rFonts w:hint="eastAsia"/>
              </w:rPr>
              <w:t>（</w:t>
            </w:r>
            <w:r>
              <w:t>mg/L</w:t>
            </w:r>
            <w:r>
              <w:rPr>
                <w:rFonts w:hint="eastAsia"/>
              </w:rPr>
              <w:t>）</w:t>
            </w:r>
          </w:p>
        </w:tc>
        <w:tc>
          <w:tcPr>
            <w:tcW w:w="915" w:type="dxa"/>
            <w:vAlign w:val="center"/>
          </w:tcPr>
          <w:p>
            <w:pPr>
              <w:spacing w:line="240" w:lineRule="auto"/>
              <w:jc w:val="center"/>
              <w:rPr>
                <w:rFonts w:hint="default"/>
                <w:lang w:val="en-US" w:eastAsia="zh-CN"/>
              </w:rPr>
            </w:pPr>
            <w:r>
              <w:rPr>
                <w:rFonts w:hint="eastAsia"/>
                <w:lang w:val="en-US" w:eastAsia="zh-CN"/>
              </w:rPr>
              <w:t>268</w:t>
            </w:r>
          </w:p>
        </w:tc>
        <w:tc>
          <w:tcPr>
            <w:tcW w:w="885" w:type="dxa"/>
            <w:vAlign w:val="center"/>
          </w:tcPr>
          <w:p>
            <w:pPr>
              <w:spacing w:line="240" w:lineRule="auto"/>
              <w:jc w:val="center"/>
              <w:rPr>
                <w:rFonts w:hint="default"/>
                <w:lang w:val="en-US" w:eastAsia="zh-CN"/>
              </w:rPr>
            </w:pPr>
            <w:r>
              <w:rPr>
                <w:rFonts w:hint="eastAsia"/>
                <w:lang w:val="en-US" w:eastAsia="zh-CN"/>
              </w:rPr>
              <w:t>197</w:t>
            </w:r>
          </w:p>
        </w:tc>
        <w:tc>
          <w:tcPr>
            <w:tcW w:w="870" w:type="dxa"/>
            <w:vAlign w:val="center"/>
          </w:tcPr>
          <w:p>
            <w:pPr>
              <w:spacing w:line="240" w:lineRule="auto"/>
              <w:jc w:val="center"/>
              <w:rPr>
                <w:rFonts w:hint="default"/>
                <w:lang w:val="en-US" w:eastAsia="zh-CN"/>
              </w:rPr>
            </w:pPr>
            <w:r>
              <w:rPr>
                <w:rFonts w:hint="eastAsia"/>
                <w:lang w:val="en-US" w:eastAsia="zh-CN"/>
              </w:rPr>
              <w:t>189</w:t>
            </w:r>
          </w:p>
        </w:tc>
        <w:tc>
          <w:tcPr>
            <w:tcW w:w="945" w:type="dxa"/>
            <w:vAlign w:val="center"/>
          </w:tcPr>
          <w:p>
            <w:pPr>
              <w:spacing w:line="240" w:lineRule="auto"/>
              <w:jc w:val="center"/>
              <w:rPr>
                <w:rFonts w:hint="default"/>
                <w:lang w:val="en-US" w:eastAsia="zh-CN"/>
              </w:rPr>
            </w:pPr>
            <w:r>
              <w:rPr>
                <w:rFonts w:hint="eastAsia"/>
                <w:lang w:val="en-US" w:eastAsia="zh-CN"/>
              </w:rPr>
              <w:t>25</w:t>
            </w:r>
          </w:p>
        </w:tc>
        <w:tc>
          <w:tcPr>
            <w:tcW w:w="979" w:type="dxa"/>
            <w:vAlign w:val="center"/>
          </w:tcPr>
          <w:p>
            <w:pPr>
              <w:spacing w:line="240" w:lineRule="auto"/>
              <w:jc w:val="center"/>
              <w:rPr>
                <w:rFonts w:hint="default"/>
                <w:lang w:val="en-US" w:eastAsia="zh-CN"/>
              </w:rPr>
            </w:pPr>
            <w:r>
              <w:rPr>
                <w:rFonts w:hint="eastAsia"/>
                <w:lang w:val="en-US" w:eastAsia="zh-CN"/>
              </w:rPr>
              <w:t>12</w:t>
            </w:r>
          </w:p>
        </w:tc>
        <w:tc>
          <w:tcPr>
            <w:tcW w:w="806" w:type="dxa"/>
            <w:vAlign w:val="center"/>
          </w:tcPr>
          <w:p>
            <w:pPr>
              <w:spacing w:line="240" w:lineRule="auto"/>
              <w:jc w:val="center"/>
              <w:rPr>
                <w:rFonts w:hint="default"/>
                <w:lang w:val="en-US" w:eastAsia="zh-CN"/>
              </w:rPr>
            </w:pPr>
            <w:r>
              <w:rPr>
                <w:rFonts w:hint="eastAsia"/>
                <w:lang w:val="en-US" w:eastAsia="zh-CN"/>
              </w:rPr>
              <w:t>2</w:t>
            </w:r>
          </w:p>
        </w:tc>
        <w:tc>
          <w:tcPr>
            <w:tcW w:w="810" w:type="dxa"/>
            <w:vAlign w:val="center"/>
          </w:tcPr>
          <w:p>
            <w:pPr>
              <w:spacing w:line="240" w:lineRule="auto"/>
              <w:jc w:val="center"/>
              <w:rPr>
                <w:rFonts w:hint="default"/>
                <w:lang w:val="en-US" w:eastAsia="zh-CN"/>
              </w:rPr>
            </w:pPr>
            <w:r>
              <w:rPr>
                <w:rFonts w:hint="eastAsia"/>
                <w:lang w:val="en-US" w:eastAsia="zh-CN"/>
              </w:rPr>
              <w:t>6</w:t>
            </w:r>
          </w:p>
        </w:tc>
        <w:tc>
          <w:tcPr>
            <w:tcW w:w="899" w:type="dxa"/>
            <w:vAlign w:val="center"/>
          </w:tcPr>
          <w:p>
            <w:pPr>
              <w:spacing w:line="240" w:lineRule="auto"/>
              <w:jc w:val="center"/>
              <w:rPr>
                <w:rFonts w:hint="default"/>
                <w:lang w:val="en-US" w:eastAsia="zh-CN"/>
              </w:rPr>
            </w:pPr>
            <w:r>
              <w:rPr>
                <w:rFonts w:hint="eastAsia"/>
                <w:lang w:val="en-US" w:eastAsia="zh-CN"/>
              </w:rPr>
              <w:t>25倍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484" w:type="dxa"/>
            <w:vMerge w:val="continue"/>
            <w:vAlign w:val="center"/>
          </w:tcPr>
          <w:p>
            <w:pPr>
              <w:spacing w:line="240" w:lineRule="auto"/>
              <w:jc w:val="center"/>
            </w:pPr>
          </w:p>
        </w:tc>
        <w:tc>
          <w:tcPr>
            <w:tcW w:w="1184" w:type="dxa"/>
            <w:vAlign w:val="center"/>
          </w:tcPr>
          <w:p>
            <w:pPr>
              <w:spacing w:line="240" w:lineRule="auto"/>
              <w:jc w:val="center"/>
              <w:rPr>
                <w:rFonts w:hint="eastAsia"/>
                <w:lang w:eastAsia="zh-CN"/>
              </w:rPr>
            </w:pPr>
            <w:r>
              <w:rPr>
                <w:rFonts w:hint="eastAsia"/>
                <w:lang w:eastAsia="zh-CN"/>
              </w:rPr>
              <w:t>产生量</w:t>
            </w:r>
          </w:p>
        </w:tc>
        <w:tc>
          <w:tcPr>
            <w:tcW w:w="915" w:type="dxa"/>
            <w:vAlign w:val="center"/>
          </w:tcPr>
          <w:p>
            <w:pPr>
              <w:spacing w:line="240" w:lineRule="auto"/>
              <w:jc w:val="center"/>
              <w:rPr>
                <w:rFonts w:hint="default"/>
                <w:lang w:val="en-US" w:eastAsia="zh-CN"/>
              </w:rPr>
            </w:pPr>
            <w:r>
              <w:rPr>
                <w:rFonts w:hint="eastAsia"/>
                <w:lang w:val="en-US" w:eastAsia="zh-CN"/>
              </w:rPr>
              <w:t>2.63</w:t>
            </w:r>
          </w:p>
        </w:tc>
        <w:tc>
          <w:tcPr>
            <w:tcW w:w="885" w:type="dxa"/>
            <w:vAlign w:val="center"/>
          </w:tcPr>
          <w:p>
            <w:pPr>
              <w:spacing w:line="240" w:lineRule="auto"/>
              <w:jc w:val="center"/>
              <w:rPr>
                <w:rFonts w:hint="default"/>
                <w:lang w:val="en-US" w:eastAsia="zh-CN"/>
              </w:rPr>
            </w:pPr>
            <w:r>
              <w:rPr>
                <w:rFonts w:hint="eastAsia"/>
                <w:lang w:val="en-US" w:eastAsia="zh-CN"/>
              </w:rPr>
              <w:t>1.93</w:t>
            </w:r>
          </w:p>
        </w:tc>
        <w:tc>
          <w:tcPr>
            <w:tcW w:w="870" w:type="dxa"/>
            <w:vAlign w:val="center"/>
          </w:tcPr>
          <w:p>
            <w:pPr>
              <w:spacing w:line="240" w:lineRule="auto"/>
              <w:jc w:val="center"/>
              <w:rPr>
                <w:rFonts w:hint="default"/>
                <w:lang w:val="en-US" w:eastAsia="zh-CN"/>
              </w:rPr>
            </w:pPr>
            <w:r>
              <w:rPr>
                <w:rFonts w:hint="eastAsia"/>
                <w:lang w:val="en-US" w:eastAsia="zh-CN"/>
              </w:rPr>
              <w:t>1.85</w:t>
            </w:r>
          </w:p>
        </w:tc>
        <w:tc>
          <w:tcPr>
            <w:tcW w:w="945" w:type="dxa"/>
            <w:vAlign w:val="center"/>
          </w:tcPr>
          <w:p>
            <w:pPr>
              <w:spacing w:line="240" w:lineRule="auto"/>
              <w:jc w:val="center"/>
              <w:rPr>
                <w:rFonts w:hint="default"/>
                <w:lang w:val="en-US" w:eastAsia="zh-CN"/>
              </w:rPr>
            </w:pPr>
            <w:r>
              <w:rPr>
                <w:rFonts w:hint="eastAsia"/>
                <w:lang w:val="en-US" w:eastAsia="zh-CN"/>
              </w:rPr>
              <w:t>0.25</w:t>
            </w:r>
          </w:p>
        </w:tc>
        <w:tc>
          <w:tcPr>
            <w:tcW w:w="979" w:type="dxa"/>
            <w:vAlign w:val="center"/>
          </w:tcPr>
          <w:p>
            <w:pPr>
              <w:spacing w:line="240" w:lineRule="auto"/>
              <w:jc w:val="center"/>
              <w:rPr>
                <w:rFonts w:hint="default"/>
                <w:lang w:val="en-US" w:eastAsia="zh-CN"/>
              </w:rPr>
            </w:pPr>
            <w:r>
              <w:rPr>
                <w:rFonts w:hint="eastAsia"/>
                <w:lang w:val="en-US" w:eastAsia="zh-CN"/>
              </w:rPr>
              <w:t>0.12</w:t>
            </w:r>
          </w:p>
        </w:tc>
        <w:tc>
          <w:tcPr>
            <w:tcW w:w="806" w:type="dxa"/>
            <w:vAlign w:val="center"/>
          </w:tcPr>
          <w:p>
            <w:pPr>
              <w:spacing w:line="240" w:lineRule="auto"/>
              <w:jc w:val="center"/>
              <w:rPr>
                <w:rFonts w:hint="default"/>
                <w:lang w:val="en-US" w:eastAsia="zh-CN"/>
              </w:rPr>
            </w:pPr>
            <w:r>
              <w:rPr>
                <w:rFonts w:hint="eastAsia"/>
                <w:lang w:val="en-US" w:eastAsia="zh-CN"/>
              </w:rPr>
              <w:t>0.02</w:t>
            </w:r>
          </w:p>
        </w:tc>
        <w:tc>
          <w:tcPr>
            <w:tcW w:w="810" w:type="dxa"/>
            <w:vAlign w:val="center"/>
          </w:tcPr>
          <w:p>
            <w:pPr>
              <w:spacing w:line="240" w:lineRule="auto"/>
              <w:jc w:val="center"/>
              <w:rPr>
                <w:rFonts w:hint="default"/>
                <w:lang w:val="en-US" w:eastAsia="zh-CN"/>
              </w:rPr>
            </w:pPr>
            <w:r>
              <w:rPr>
                <w:rFonts w:hint="eastAsia"/>
                <w:lang w:val="en-US" w:eastAsia="zh-CN"/>
              </w:rPr>
              <w:t>0.06</w:t>
            </w:r>
          </w:p>
        </w:tc>
        <w:tc>
          <w:tcPr>
            <w:tcW w:w="899" w:type="dxa"/>
            <w:vAlign w:val="center"/>
          </w:tcPr>
          <w:p>
            <w:pPr>
              <w:spacing w:line="240" w:lineRule="auto"/>
              <w:jc w:val="center"/>
              <w:rPr>
                <w:rFonts w:hint="default"/>
                <w:lang w:val="en-US" w:eastAsia="zh-CN"/>
              </w:rPr>
            </w:pPr>
            <w:r>
              <w:rPr>
                <w:rFonts w:hint="eastAsia"/>
                <w:lang w:val="en-US" w:eastAsia="zh-CN"/>
              </w:rPr>
              <w:t>0.25倍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2668" w:type="dxa"/>
            <w:gridSpan w:val="2"/>
            <w:vAlign w:val="center"/>
          </w:tcPr>
          <w:p>
            <w:pPr>
              <w:spacing w:line="240" w:lineRule="auto"/>
              <w:jc w:val="center"/>
              <w:rPr>
                <w:rFonts w:hint="eastAsia"/>
                <w:lang w:eastAsia="zh-CN"/>
              </w:rPr>
            </w:pPr>
            <w:r>
              <w:rPr>
                <w:rFonts w:hint="eastAsia"/>
                <w:lang w:eastAsia="zh-CN"/>
              </w:rPr>
              <w:t>排放标准</w:t>
            </w:r>
          </w:p>
        </w:tc>
        <w:tc>
          <w:tcPr>
            <w:tcW w:w="915" w:type="dxa"/>
            <w:vAlign w:val="center"/>
          </w:tcPr>
          <w:p>
            <w:pPr>
              <w:spacing w:line="240" w:lineRule="auto"/>
              <w:jc w:val="center"/>
              <w:rPr>
                <w:rFonts w:hint="default"/>
                <w:lang w:val="en-US" w:eastAsia="zh-CN"/>
              </w:rPr>
            </w:pPr>
            <w:r>
              <w:rPr>
                <w:rFonts w:hint="eastAsia"/>
                <w:lang w:val="en-US" w:eastAsia="zh-CN"/>
              </w:rPr>
              <w:t>500</w:t>
            </w:r>
          </w:p>
        </w:tc>
        <w:tc>
          <w:tcPr>
            <w:tcW w:w="885" w:type="dxa"/>
            <w:vAlign w:val="center"/>
          </w:tcPr>
          <w:p>
            <w:pPr>
              <w:spacing w:line="240" w:lineRule="auto"/>
              <w:jc w:val="center"/>
              <w:rPr>
                <w:rFonts w:hint="default"/>
                <w:lang w:val="en-US" w:eastAsia="zh-CN"/>
              </w:rPr>
            </w:pPr>
            <w:r>
              <w:rPr>
                <w:rFonts w:hint="eastAsia"/>
                <w:lang w:val="en-US" w:eastAsia="zh-CN"/>
              </w:rPr>
              <w:t>300</w:t>
            </w:r>
          </w:p>
        </w:tc>
        <w:tc>
          <w:tcPr>
            <w:tcW w:w="870" w:type="dxa"/>
            <w:vAlign w:val="center"/>
          </w:tcPr>
          <w:p>
            <w:pPr>
              <w:spacing w:line="240" w:lineRule="auto"/>
              <w:jc w:val="center"/>
              <w:rPr>
                <w:rFonts w:hint="default"/>
                <w:lang w:val="en-US" w:eastAsia="zh-CN"/>
              </w:rPr>
            </w:pPr>
            <w:r>
              <w:rPr>
                <w:rFonts w:hint="eastAsia"/>
                <w:lang w:val="en-US" w:eastAsia="zh-CN"/>
              </w:rPr>
              <w:t>400</w:t>
            </w:r>
          </w:p>
        </w:tc>
        <w:tc>
          <w:tcPr>
            <w:tcW w:w="945" w:type="dxa"/>
            <w:vAlign w:val="center"/>
          </w:tcPr>
          <w:p>
            <w:pPr>
              <w:spacing w:line="240" w:lineRule="auto"/>
              <w:jc w:val="center"/>
              <w:rPr>
                <w:rFonts w:hint="default"/>
                <w:lang w:val="en-US" w:eastAsia="zh-CN"/>
              </w:rPr>
            </w:pPr>
            <w:r>
              <w:rPr>
                <w:rFonts w:hint="eastAsia"/>
                <w:lang w:val="en-US" w:eastAsia="zh-CN"/>
              </w:rPr>
              <w:t>45</w:t>
            </w:r>
          </w:p>
        </w:tc>
        <w:tc>
          <w:tcPr>
            <w:tcW w:w="979" w:type="dxa"/>
            <w:vAlign w:val="center"/>
          </w:tcPr>
          <w:p>
            <w:pPr>
              <w:spacing w:line="240" w:lineRule="auto"/>
              <w:jc w:val="center"/>
              <w:rPr>
                <w:rFonts w:hint="default"/>
                <w:lang w:val="en-US" w:eastAsia="zh-CN"/>
              </w:rPr>
            </w:pPr>
            <w:r>
              <w:rPr>
                <w:rFonts w:hint="eastAsia"/>
                <w:lang w:val="en-US" w:eastAsia="zh-CN"/>
              </w:rPr>
              <w:t>100</w:t>
            </w:r>
          </w:p>
        </w:tc>
        <w:tc>
          <w:tcPr>
            <w:tcW w:w="806" w:type="dxa"/>
            <w:vAlign w:val="center"/>
          </w:tcPr>
          <w:p>
            <w:pPr>
              <w:spacing w:line="240" w:lineRule="auto"/>
              <w:jc w:val="center"/>
              <w:rPr>
                <w:rFonts w:hint="default"/>
                <w:lang w:val="en-US" w:eastAsia="zh-CN"/>
              </w:rPr>
            </w:pPr>
            <w:r>
              <w:rPr>
                <w:rFonts w:hint="eastAsia"/>
                <w:lang w:val="en-US" w:eastAsia="zh-CN"/>
              </w:rPr>
              <w:t>8</w:t>
            </w:r>
          </w:p>
        </w:tc>
        <w:tc>
          <w:tcPr>
            <w:tcW w:w="810" w:type="dxa"/>
            <w:vAlign w:val="center"/>
          </w:tcPr>
          <w:p>
            <w:pPr>
              <w:spacing w:line="240" w:lineRule="auto"/>
              <w:jc w:val="center"/>
              <w:rPr>
                <w:rFonts w:hint="default"/>
                <w:lang w:val="en-US" w:eastAsia="zh-CN"/>
              </w:rPr>
            </w:pPr>
            <w:r>
              <w:rPr>
                <w:rFonts w:hint="eastAsia"/>
                <w:lang w:val="en-US" w:eastAsia="zh-CN"/>
              </w:rPr>
              <w:t>20</w:t>
            </w:r>
          </w:p>
        </w:tc>
        <w:tc>
          <w:tcPr>
            <w:tcW w:w="899" w:type="dxa"/>
            <w:vAlign w:val="center"/>
          </w:tcPr>
          <w:p>
            <w:pPr>
              <w:spacing w:line="240" w:lineRule="auto"/>
              <w:jc w:val="center"/>
              <w:rPr>
                <w:rFonts w:hint="default"/>
                <w:lang w:val="en-US" w:eastAsia="zh-CN"/>
              </w:rPr>
            </w:pPr>
            <w:r>
              <w:rPr>
                <w:rFonts w:hint="eastAsia"/>
                <w:lang w:val="en-US" w:eastAsia="zh-CN"/>
              </w:rPr>
              <w:t>70倍</w:t>
            </w:r>
          </w:p>
        </w:tc>
      </w:tr>
    </w:tbl>
    <w:p>
      <w:pPr>
        <w:autoSpaceDE w:val="0"/>
        <w:autoSpaceDN w:val="0"/>
        <w:snapToGrid/>
        <w:spacing w:line="480" w:lineRule="exact"/>
        <w:ind w:left="420" w:leftChars="200"/>
        <w:rPr>
          <w:kern w:val="0"/>
          <w:sz w:val="24"/>
          <w:szCs w:val="24"/>
        </w:rPr>
      </w:pPr>
      <w:r>
        <w:rPr>
          <w:kern w:val="0"/>
          <w:sz w:val="24"/>
          <w:szCs w:val="24"/>
        </w:rPr>
        <w:t>（4）污染源排放量核算</w:t>
      </w:r>
    </w:p>
    <w:p>
      <w:pPr>
        <w:pStyle w:val="2"/>
        <w:snapToGrid/>
        <w:ind w:firstLine="480"/>
        <w:rPr>
          <w:sz w:val="24"/>
          <w:szCs w:val="24"/>
        </w:rPr>
        <w:sectPr>
          <w:headerReference r:id="rId13" w:type="default"/>
          <w:pgSz w:w="11907" w:h="16840"/>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r>
        <w:rPr>
          <w:sz w:val="24"/>
          <w:szCs w:val="24"/>
        </w:rPr>
        <w:t>根据《环境影响评价技术导则 地表水环境》（HJ 2.3-2018），本项目地表水环境影响评价等级属于三级B，环评中需明确给出污染源排放量核算结果，填写建设项目污染物排放信息表，具体信息见下表：</w:t>
      </w:r>
    </w:p>
    <w:p/>
    <w:p>
      <w:pPr>
        <w:spacing w:line="240" w:lineRule="auto"/>
        <w:jc w:val="center"/>
        <w:rPr>
          <w:b/>
          <w:bCs/>
          <w:sz w:val="24"/>
          <w:szCs w:val="24"/>
        </w:rPr>
      </w:pPr>
      <w:r>
        <w:rPr>
          <w:b/>
          <w:bCs/>
          <w:sz w:val="24"/>
          <w:szCs w:val="24"/>
        </w:rPr>
        <w:t>表4</w:t>
      </w:r>
      <w:r>
        <w:rPr>
          <w:rFonts w:hint="eastAsia"/>
          <w:b/>
          <w:bCs/>
          <w:sz w:val="24"/>
          <w:szCs w:val="24"/>
        </w:rPr>
        <w:t>-</w:t>
      </w:r>
      <w:r>
        <w:rPr>
          <w:b/>
          <w:bCs/>
          <w:sz w:val="24"/>
          <w:szCs w:val="24"/>
        </w:rPr>
        <w:t>2-14  废水类别、污染物及污染治理设施信息表</w:t>
      </w:r>
    </w:p>
    <w:tbl>
      <w:tblPr>
        <w:tblStyle w:val="23"/>
        <w:tblW w:w="1417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1288"/>
        <w:gridCol w:w="1288"/>
        <w:gridCol w:w="1288"/>
        <w:gridCol w:w="1288"/>
        <w:gridCol w:w="1289"/>
        <w:gridCol w:w="1289"/>
        <w:gridCol w:w="1289"/>
        <w:gridCol w:w="1289"/>
        <w:gridCol w:w="1289"/>
        <w:gridCol w:w="12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1288" w:type="dxa"/>
            <w:vMerge w:val="restart"/>
            <w:tcBorders>
              <w:tl2br w:val="nil"/>
              <w:tr2bl w:val="nil"/>
            </w:tcBorders>
            <w:vAlign w:val="center"/>
          </w:tcPr>
          <w:p>
            <w:pPr>
              <w:spacing w:line="240" w:lineRule="auto"/>
              <w:jc w:val="center"/>
            </w:pPr>
            <w:r>
              <w:t>序号</w:t>
            </w:r>
          </w:p>
        </w:tc>
        <w:tc>
          <w:tcPr>
            <w:tcW w:w="1288" w:type="dxa"/>
            <w:vMerge w:val="restart"/>
            <w:tcBorders>
              <w:tl2br w:val="nil"/>
              <w:tr2bl w:val="nil"/>
            </w:tcBorders>
            <w:vAlign w:val="center"/>
          </w:tcPr>
          <w:p>
            <w:pPr>
              <w:spacing w:line="240" w:lineRule="auto"/>
              <w:jc w:val="center"/>
            </w:pPr>
            <w:r>
              <w:t>废水类别</w:t>
            </w:r>
          </w:p>
        </w:tc>
        <w:tc>
          <w:tcPr>
            <w:tcW w:w="1288" w:type="dxa"/>
            <w:vMerge w:val="restart"/>
            <w:tcBorders>
              <w:tl2br w:val="nil"/>
              <w:tr2bl w:val="nil"/>
            </w:tcBorders>
            <w:vAlign w:val="center"/>
          </w:tcPr>
          <w:p>
            <w:pPr>
              <w:spacing w:line="240" w:lineRule="auto"/>
              <w:jc w:val="center"/>
            </w:pPr>
            <w:r>
              <w:t>污染物种类</w:t>
            </w:r>
          </w:p>
        </w:tc>
        <w:tc>
          <w:tcPr>
            <w:tcW w:w="1288" w:type="dxa"/>
            <w:vMerge w:val="restart"/>
            <w:tcBorders>
              <w:tl2br w:val="nil"/>
              <w:tr2bl w:val="nil"/>
            </w:tcBorders>
            <w:vAlign w:val="center"/>
          </w:tcPr>
          <w:p>
            <w:pPr>
              <w:spacing w:line="240" w:lineRule="auto"/>
              <w:jc w:val="center"/>
            </w:pPr>
            <w:r>
              <w:t>排放去向</w:t>
            </w:r>
          </w:p>
        </w:tc>
        <w:tc>
          <w:tcPr>
            <w:tcW w:w="1288" w:type="dxa"/>
            <w:vMerge w:val="restart"/>
            <w:tcBorders>
              <w:tl2br w:val="nil"/>
              <w:tr2bl w:val="nil"/>
            </w:tcBorders>
            <w:vAlign w:val="center"/>
          </w:tcPr>
          <w:p>
            <w:pPr>
              <w:spacing w:line="240" w:lineRule="auto"/>
              <w:jc w:val="center"/>
            </w:pPr>
            <w:r>
              <w:t>排放规律</w:t>
            </w:r>
          </w:p>
        </w:tc>
        <w:tc>
          <w:tcPr>
            <w:tcW w:w="3867" w:type="dxa"/>
            <w:gridSpan w:val="3"/>
            <w:tcBorders>
              <w:tl2br w:val="nil"/>
              <w:tr2bl w:val="nil"/>
            </w:tcBorders>
            <w:vAlign w:val="center"/>
          </w:tcPr>
          <w:p>
            <w:pPr>
              <w:spacing w:line="240" w:lineRule="auto"/>
              <w:jc w:val="center"/>
            </w:pPr>
            <w:r>
              <w:t>污染物治理</w:t>
            </w:r>
          </w:p>
        </w:tc>
        <w:tc>
          <w:tcPr>
            <w:tcW w:w="1289" w:type="dxa"/>
            <w:vMerge w:val="restart"/>
            <w:tcBorders>
              <w:tl2br w:val="nil"/>
              <w:tr2bl w:val="nil"/>
            </w:tcBorders>
            <w:vAlign w:val="center"/>
          </w:tcPr>
          <w:p>
            <w:pPr>
              <w:spacing w:line="240" w:lineRule="auto"/>
              <w:jc w:val="center"/>
            </w:pPr>
            <w:r>
              <w:t>排放口编号</w:t>
            </w:r>
          </w:p>
        </w:tc>
        <w:tc>
          <w:tcPr>
            <w:tcW w:w="1289" w:type="dxa"/>
            <w:vMerge w:val="restart"/>
            <w:tcBorders>
              <w:tl2br w:val="nil"/>
              <w:tr2bl w:val="nil"/>
            </w:tcBorders>
            <w:vAlign w:val="center"/>
          </w:tcPr>
          <w:p>
            <w:pPr>
              <w:spacing w:line="240" w:lineRule="auto"/>
              <w:jc w:val="center"/>
            </w:pPr>
            <w:r>
              <w:t>排放口设置是否符合要求</w:t>
            </w:r>
          </w:p>
        </w:tc>
        <w:tc>
          <w:tcPr>
            <w:tcW w:w="1289" w:type="dxa"/>
            <w:vMerge w:val="restart"/>
            <w:tcBorders>
              <w:tl2br w:val="nil"/>
              <w:tr2bl w:val="nil"/>
            </w:tcBorders>
            <w:vAlign w:val="center"/>
          </w:tcPr>
          <w:p>
            <w:pPr>
              <w:spacing w:line="240" w:lineRule="auto"/>
              <w:jc w:val="center"/>
            </w:pPr>
            <w: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1288" w:type="dxa"/>
            <w:vMerge w:val="continue"/>
            <w:tcBorders>
              <w:tl2br w:val="nil"/>
              <w:tr2bl w:val="nil"/>
            </w:tcBorders>
          </w:tcPr>
          <w:p>
            <w:pPr>
              <w:spacing w:line="240" w:lineRule="auto"/>
            </w:pPr>
          </w:p>
        </w:tc>
        <w:tc>
          <w:tcPr>
            <w:tcW w:w="1288" w:type="dxa"/>
            <w:vMerge w:val="continue"/>
            <w:tcBorders>
              <w:tl2br w:val="nil"/>
              <w:tr2bl w:val="nil"/>
            </w:tcBorders>
          </w:tcPr>
          <w:p>
            <w:pPr>
              <w:spacing w:line="240" w:lineRule="auto"/>
            </w:pPr>
          </w:p>
        </w:tc>
        <w:tc>
          <w:tcPr>
            <w:tcW w:w="1288" w:type="dxa"/>
            <w:vMerge w:val="continue"/>
            <w:tcBorders>
              <w:tl2br w:val="nil"/>
              <w:tr2bl w:val="nil"/>
            </w:tcBorders>
          </w:tcPr>
          <w:p>
            <w:pPr>
              <w:spacing w:line="240" w:lineRule="auto"/>
            </w:pPr>
          </w:p>
        </w:tc>
        <w:tc>
          <w:tcPr>
            <w:tcW w:w="1288" w:type="dxa"/>
            <w:vMerge w:val="continue"/>
            <w:tcBorders>
              <w:tl2br w:val="nil"/>
              <w:tr2bl w:val="nil"/>
            </w:tcBorders>
          </w:tcPr>
          <w:p>
            <w:pPr>
              <w:spacing w:line="240" w:lineRule="auto"/>
            </w:pPr>
          </w:p>
        </w:tc>
        <w:tc>
          <w:tcPr>
            <w:tcW w:w="1288" w:type="dxa"/>
            <w:vMerge w:val="continue"/>
            <w:tcBorders>
              <w:tl2br w:val="nil"/>
              <w:tr2bl w:val="nil"/>
            </w:tcBorders>
          </w:tcPr>
          <w:p>
            <w:pPr>
              <w:spacing w:line="240" w:lineRule="auto"/>
            </w:pPr>
          </w:p>
        </w:tc>
        <w:tc>
          <w:tcPr>
            <w:tcW w:w="1289" w:type="dxa"/>
            <w:tcBorders>
              <w:tl2br w:val="nil"/>
              <w:tr2bl w:val="nil"/>
            </w:tcBorders>
            <w:vAlign w:val="center"/>
          </w:tcPr>
          <w:p>
            <w:pPr>
              <w:spacing w:line="240" w:lineRule="auto"/>
              <w:jc w:val="center"/>
            </w:pPr>
            <w:r>
              <w:t>污染治理设施编号</w:t>
            </w:r>
          </w:p>
        </w:tc>
        <w:tc>
          <w:tcPr>
            <w:tcW w:w="1289" w:type="dxa"/>
            <w:tcBorders>
              <w:tl2br w:val="nil"/>
              <w:tr2bl w:val="nil"/>
            </w:tcBorders>
            <w:vAlign w:val="center"/>
          </w:tcPr>
          <w:p>
            <w:pPr>
              <w:spacing w:line="240" w:lineRule="auto"/>
              <w:jc w:val="center"/>
            </w:pPr>
            <w:r>
              <w:t>污染治理设施名称</w:t>
            </w:r>
          </w:p>
        </w:tc>
        <w:tc>
          <w:tcPr>
            <w:tcW w:w="1289" w:type="dxa"/>
            <w:tcBorders>
              <w:tl2br w:val="nil"/>
              <w:tr2bl w:val="nil"/>
            </w:tcBorders>
            <w:vAlign w:val="center"/>
          </w:tcPr>
          <w:p>
            <w:pPr>
              <w:spacing w:line="240" w:lineRule="auto"/>
              <w:jc w:val="center"/>
            </w:pPr>
            <w:r>
              <w:t>污染治理设施工艺</w:t>
            </w:r>
          </w:p>
        </w:tc>
        <w:tc>
          <w:tcPr>
            <w:tcW w:w="1289" w:type="dxa"/>
            <w:vMerge w:val="continue"/>
            <w:tcBorders>
              <w:tl2br w:val="nil"/>
              <w:tr2bl w:val="nil"/>
            </w:tcBorders>
          </w:tcPr>
          <w:p>
            <w:pPr>
              <w:spacing w:line="240" w:lineRule="auto"/>
            </w:pPr>
          </w:p>
        </w:tc>
        <w:tc>
          <w:tcPr>
            <w:tcW w:w="1289" w:type="dxa"/>
            <w:vMerge w:val="continue"/>
            <w:tcBorders>
              <w:tl2br w:val="nil"/>
              <w:tr2bl w:val="nil"/>
            </w:tcBorders>
          </w:tcPr>
          <w:p>
            <w:pPr>
              <w:spacing w:line="240" w:lineRule="auto"/>
            </w:pPr>
          </w:p>
        </w:tc>
        <w:tc>
          <w:tcPr>
            <w:tcW w:w="1289" w:type="dxa"/>
            <w:vMerge w:val="continue"/>
            <w:tcBorders>
              <w:tl2br w:val="nil"/>
              <w:tr2bl w:val="nil"/>
            </w:tcBorders>
          </w:tcPr>
          <w:p>
            <w:pPr>
              <w:spacing w:line="240" w:lineRule="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88" w:type="dxa"/>
            <w:tcBorders>
              <w:tl2br w:val="nil"/>
              <w:tr2bl w:val="nil"/>
            </w:tcBorders>
            <w:vAlign w:val="center"/>
          </w:tcPr>
          <w:p>
            <w:pPr>
              <w:spacing w:line="240" w:lineRule="auto"/>
              <w:jc w:val="center"/>
            </w:pPr>
            <w:r>
              <w:t>1</w:t>
            </w:r>
          </w:p>
        </w:tc>
        <w:tc>
          <w:tcPr>
            <w:tcW w:w="1288" w:type="dxa"/>
            <w:tcBorders>
              <w:tl2br w:val="nil"/>
              <w:tr2bl w:val="nil"/>
            </w:tcBorders>
            <w:vAlign w:val="center"/>
          </w:tcPr>
          <w:p>
            <w:pPr>
              <w:spacing w:line="240" w:lineRule="auto"/>
              <w:jc w:val="center"/>
            </w:pPr>
            <w:r>
              <w:rPr>
                <w:rFonts w:hint="eastAsia"/>
              </w:rPr>
              <w:t>综合废水</w:t>
            </w:r>
          </w:p>
        </w:tc>
        <w:tc>
          <w:tcPr>
            <w:tcW w:w="1288" w:type="dxa"/>
            <w:tcBorders>
              <w:tl2br w:val="nil"/>
              <w:tr2bl w:val="nil"/>
            </w:tcBorders>
            <w:vAlign w:val="center"/>
          </w:tcPr>
          <w:p>
            <w:pPr>
              <w:spacing w:line="240" w:lineRule="auto"/>
              <w:jc w:val="center"/>
            </w:pPr>
            <w:r>
              <w:t>COD、NH</w:t>
            </w:r>
            <w:r>
              <w:rPr>
                <w:vertAlign w:val="subscript"/>
              </w:rPr>
              <w:t>3</w:t>
            </w:r>
            <w:r>
              <w:t>-N</w:t>
            </w:r>
            <w:r>
              <w:rPr>
                <w:rFonts w:hint="eastAsia"/>
              </w:rPr>
              <w:t>、动植物油等</w:t>
            </w:r>
          </w:p>
        </w:tc>
        <w:tc>
          <w:tcPr>
            <w:tcW w:w="1288" w:type="dxa"/>
            <w:tcBorders>
              <w:tl2br w:val="nil"/>
              <w:tr2bl w:val="nil"/>
            </w:tcBorders>
            <w:vAlign w:val="center"/>
          </w:tcPr>
          <w:p>
            <w:pPr>
              <w:spacing w:line="240" w:lineRule="auto"/>
              <w:jc w:val="center"/>
              <w:rPr>
                <w:rFonts w:hint="eastAsia" w:eastAsia="宋体"/>
                <w:lang w:eastAsia="zh-CN"/>
              </w:rPr>
            </w:pPr>
            <w:r>
              <w:t>进入</w:t>
            </w:r>
            <w:r>
              <w:rPr>
                <w:rFonts w:hint="eastAsia"/>
                <w:lang w:eastAsia="zh-CN"/>
              </w:rPr>
              <w:t>城北污水处理厂</w:t>
            </w:r>
          </w:p>
        </w:tc>
        <w:tc>
          <w:tcPr>
            <w:tcW w:w="1288" w:type="dxa"/>
            <w:tcBorders>
              <w:tl2br w:val="nil"/>
              <w:tr2bl w:val="nil"/>
            </w:tcBorders>
            <w:vAlign w:val="center"/>
          </w:tcPr>
          <w:p>
            <w:pPr>
              <w:spacing w:line="240" w:lineRule="auto"/>
              <w:jc w:val="center"/>
            </w:pPr>
            <w:r>
              <w:t>连续排放，流量不稳定，但有规律，且不属于周期性规律</w:t>
            </w:r>
          </w:p>
        </w:tc>
        <w:tc>
          <w:tcPr>
            <w:tcW w:w="1289" w:type="dxa"/>
            <w:tcBorders>
              <w:tl2br w:val="nil"/>
              <w:tr2bl w:val="nil"/>
            </w:tcBorders>
            <w:vAlign w:val="center"/>
          </w:tcPr>
          <w:p>
            <w:pPr>
              <w:spacing w:line="240" w:lineRule="auto"/>
              <w:jc w:val="center"/>
            </w:pPr>
            <w:r>
              <w:t>/</w:t>
            </w:r>
          </w:p>
        </w:tc>
        <w:tc>
          <w:tcPr>
            <w:tcW w:w="1289" w:type="dxa"/>
            <w:tcBorders>
              <w:tl2br w:val="nil"/>
              <w:tr2bl w:val="nil"/>
            </w:tcBorders>
            <w:vAlign w:val="center"/>
          </w:tcPr>
          <w:p>
            <w:pPr>
              <w:spacing w:line="240" w:lineRule="auto"/>
              <w:jc w:val="center"/>
            </w:pPr>
            <w:r>
              <w:rPr>
                <w:rFonts w:hint="eastAsia"/>
              </w:rPr>
              <w:t>自建污水处理站</w:t>
            </w:r>
          </w:p>
        </w:tc>
        <w:tc>
          <w:tcPr>
            <w:tcW w:w="1289" w:type="dxa"/>
            <w:tcBorders>
              <w:tl2br w:val="nil"/>
              <w:tr2bl w:val="nil"/>
            </w:tcBorders>
            <w:vAlign w:val="center"/>
          </w:tcPr>
          <w:p>
            <w:pPr>
              <w:spacing w:line="240" w:lineRule="auto"/>
              <w:rPr>
                <w:rFonts w:hint="default" w:eastAsia="宋体"/>
                <w:lang w:val="en-US" w:eastAsia="zh-CN"/>
              </w:rPr>
            </w:pPr>
            <w:r>
              <w:rPr>
                <w:rFonts w:hint="eastAsia"/>
                <w:lang w:eastAsia="zh-CN"/>
              </w:rPr>
              <w:t>生产废水：</w:t>
            </w:r>
            <w:r>
              <w:rPr>
                <w:rFonts w:hint="eastAsia"/>
              </w:rPr>
              <w:t>预处理+AO</w:t>
            </w:r>
            <w:r>
              <w:rPr>
                <w:rFonts w:hint="eastAsia"/>
                <w:lang w:eastAsia="zh-CN"/>
              </w:rPr>
              <w:t>；生活污水：隔油池</w:t>
            </w:r>
            <w:r>
              <w:rPr>
                <w:rFonts w:hint="eastAsia"/>
                <w:lang w:val="en-US" w:eastAsia="zh-CN"/>
              </w:rPr>
              <w:t>+化粪池</w:t>
            </w:r>
          </w:p>
        </w:tc>
        <w:tc>
          <w:tcPr>
            <w:tcW w:w="1289" w:type="dxa"/>
            <w:tcBorders>
              <w:tl2br w:val="nil"/>
              <w:tr2bl w:val="nil"/>
            </w:tcBorders>
            <w:vAlign w:val="center"/>
          </w:tcPr>
          <w:p>
            <w:pPr>
              <w:spacing w:line="240" w:lineRule="auto"/>
              <w:jc w:val="center"/>
            </w:pPr>
            <w:r>
              <w:t>/</w:t>
            </w:r>
          </w:p>
        </w:tc>
        <w:tc>
          <w:tcPr>
            <w:tcW w:w="1289" w:type="dxa"/>
            <w:tcBorders>
              <w:tl2br w:val="nil"/>
              <w:tr2bl w:val="nil"/>
            </w:tcBorders>
            <w:vAlign w:val="center"/>
          </w:tcPr>
          <w:p>
            <w:pPr>
              <w:spacing w:line="240" w:lineRule="auto"/>
              <w:jc w:val="center"/>
              <w:rPr>
                <w:rStyle w:val="61"/>
                <w:rFonts w:ascii="Times New Roman" w:hAnsi="Times New Roman" w:eastAsia="宋体" w:cs="Times New Roman"/>
                <w:color w:val="auto"/>
                <w:sz w:val="21"/>
                <w:szCs w:val="21"/>
              </w:rPr>
            </w:pPr>
            <w:r>
              <w:rPr>
                <w:rStyle w:val="61"/>
                <w:rFonts w:ascii="Times New Roman" w:hAnsi="Times New Roman" w:eastAsia="宋体" w:cs="Times New Roman"/>
                <w:color w:val="auto"/>
                <w:sz w:val="21"/>
                <w:szCs w:val="21"/>
              </w:rPr>
              <w:t>☑是</w:t>
            </w:r>
          </w:p>
          <w:p>
            <w:pPr>
              <w:spacing w:line="240" w:lineRule="auto"/>
              <w:jc w:val="center"/>
            </w:pPr>
            <w:r>
              <w:rPr>
                <w:rStyle w:val="61"/>
                <w:rFonts w:ascii="Times New Roman" w:hAnsi="Times New Roman" w:eastAsia="宋体" w:cs="Times New Roman"/>
                <w:color w:val="auto"/>
                <w:sz w:val="21"/>
                <w:szCs w:val="21"/>
              </w:rPr>
              <w:t>□否</w:t>
            </w:r>
          </w:p>
        </w:tc>
        <w:tc>
          <w:tcPr>
            <w:tcW w:w="1289" w:type="dxa"/>
            <w:tcBorders>
              <w:tl2br w:val="nil"/>
              <w:tr2bl w:val="nil"/>
            </w:tcBorders>
            <w:vAlign w:val="center"/>
          </w:tcPr>
          <w:p>
            <w:pPr>
              <w:spacing w:line="240" w:lineRule="auto"/>
              <w:jc w:val="center"/>
            </w:pPr>
            <w:r>
              <w:rPr>
                <w:rStyle w:val="61"/>
                <w:rFonts w:ascii="Times New Roman" w:hAnsi="Times New Roman" w:eastAsia="宋体" w:cs="Times New Roman"/>
                <w:color w:val="auto"/>
                <w:sz w:val="21"/>
                <w:szCs w:val="21"/>
              </w:rPr>
              <w:t>☑企业总排 □雨水排放 □清净下水排</w:t>
            </w:r>
            <w:r>
              <w:rPr>
                <w:rStyle w:val="34"/>
                <w:rFonts w:hint="eastAsia"/>
                <w:lang w:eastAsia="zh-CN"/>
              </w:rPr>
              <w:t>放</w:t>
            </w:r>
            <w:r>
              <w:rPr>
                <w:rStyle w:val="61"/>
                <w:rFonts w:ascii="Times New Roman" w:hAnsi="Times New Roman" w:eastAsia="宋体" w:cs="Times New Roman"/>
                <w:color w:val="auto"/>
                <w:sz w:val="21"/>
                <w:szCs w:val="21"/>
              </w:rPr>
              <w:t xml:space="preserve"> □温排水排放 □车间或车间 处理设施排放</w:t>
            </w:r>
          </w:p>
        </w:tc>
      </w:tr>
    </w:tbl>
    <w:p>
      <w:pPr>
        <w:pStyle w:val="2"/>
        <w:ind w:firstLine="0" w:firstLineChars="0"/>
        <w:rPr>
          <w:b/>
          <w:bCs/>
        </w:rPr>
      </w:pPr>
    </w:p>
    <w:p>
      <w:pPr>
        <w:spacing w:line="240" w:lineRule="auto"/>
        <w:rPr>
          <w:sz w:val="24"/>
          <w:szCs w:val="24"/>
        </w:rPr>
      </w:pPr>
      <w:r>
        <w:rPr>
          <w:b/>
          <w:bCs/>
          <w:sz w:val="24"/>
          <w:szCs w:val="24"/>
        </w:rPr>
        <w:t xml:space="preserve">                                               表4</w:t>
      </w:r>
      <w:r>
        <w:rPr>
          <w:rFonts w:hint="eastAsia"/>
          <w:b/>
          <w:bCs/>
          <w:sz w:val="24"/>
          <w:szCs w:val="24"/>
        </w:rPr>
        <w:t>-</w:t>
      </w:r>
      <w:r>
        <w:rPr>
          <w:b/>
          <w:bCs/>
          <w:sz w:val="24"/>
          <w:szCs w:val="24"/>
        </w:rPr>
        <w:t>2-15  废水污染物排放执行标准</w:t>
      </w:r>
    </w:p>
    <w:tbl>
      <w:tblPr>
        <w:tblStyle w:val="23"/>
        <w:tblW w:w="1417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34"/>
        <w:gridCol w:w="2834"/>
        <w:gridCol w:w="2834"/>
        <w:gridCol w:w="2836"/>
        <w:gridCol w:w="28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2834" w:type="dxa"/>
            <w:vMerge w:val="restart"/>
            <w:tcBorders>
              <w:tl2br w:val="nil"/>
              <w:tr2bl w:val="nil"/>
            </w:tcBorders>
            <w:vAlign w:val="center"/>
          </w:tcPr>
          <w:p>
            <w:pPr>
              <w:spacing w:line="240" w:lineRule="auto"/>
              <w:jc w:val="center"/>
            </w:pPr>
            <w:r>
              <w:t>序号</w:t>
            </w:r>
          </w:p>
        </w:tc>
        <w:tc>
          <w:tcPr>
            <w:tcW w:w="2834" w:type="dxa"/>
            <w:vMerge w:val="restart"/>
            <w:tcBorders>
              <w:tl2br w:val="nil"/>
              <w:tr2bl w:val="nil"/>
            </w:tcBorders>
            <w:vAlign w:val="center"/>
          </w:tcPr>
          <w:p>
            <w:pPr>
              <w:spacing w:line="240" w:lineRule="auto"/>
              <w:jc w:val="center"/>
            </w:pPr>
            <w:r>
              <w:t>排放口编号</w:t>
            </w:r>
          </w:p>
        </w:tc>
        <w:tc>
          <w:tcPr>
            <w:tcW w:w="2834" w:type="dxa"/>
            <w:vMerge w:val="restart"/>
            <w:tcBorders>
              <w:tl2br w:val="nil"/>
              <w:tr2bl w:val="nil"/>
            </w:tcBorders>
            <w:vAlign w:val="center"/>
          </w:tcPr>
          <w:p>
            <w:pPr>
              <w:spacing w:line="240" w:lineRule="auto"/>
              <w:jc w:val="center"/>
            </w:pPr>
            <w:r>
              <w:t>污染物种类</w:t>
            </w:r>
          </w:p>
        </w:tc>
        <w:tc>
          <w:tcPr>
            <w:tcW w:w="5672" w:type="dxa"/>
            <w:gridSpan w:val="2"/>
            <w:tcBorders>
              <w:tl2br w:val="nil"/>
              <w:tr2bl w:val="nil"/>
            </w:tcBorders>
            <w:vAlign w:val="center"/>
          </w:tcPr>
          <w:p>
            <w:pPr>
              <w:spacing w:line="240" w:lineRule="auto"/>
              <w:jc w:val="center"/>
            </w:pPr>
            <w:r>
              <w:t>国家或地方污染物排放标准及其他按规定商定的排放协议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2834" w:type="dxa"/>
            <w:vMerge w:val="continue"/>
            <w:tcBorders>
              <w:tl2br w:val="nil"/>
              <w:tr2bl w:val="nil"/>
            </w:tcBorders>
            <w:vAlign w:val="center"/>
          </w:tcPr>
          <w:p>
            <w:pPr>
              <w:spacing w:line="240" w:lineRule="auto"/>
              <w:jc w:val="center"/>
            </w:pPr>
          </w:p>
        </w:tc>
        <w:tc>
          <w:tcPr>
            <w:tcW w:w="2834" w:type="dxa"/>
            <w:vMerge w:val="continue"/>
            <w:tcBorders>
              <w:tl2br w:val="nil"/>
              <w:tr2bl w:val="nil"/>
            </w:tcBorders>
            <w:vAlign w:val="center"/>
          </w:tcPr>
          <w:p>
            <w:pPr>
              <w:spacing w:line="240" w:lineRule="auto"/>
              <w:jc w:val="center"/>
            </w:pPr>
          </w:p>
        </w:tc>
        <w:tc>
          <w:tcPr>
            <w:tcW w:w="2834" w:type="dxa"/>
            <w:vMerge w:val="continue"/>
            <w:tcBorders>
              <w:tl2br w:val="nil"/>
              <w:tr2bl w:val="nil"/>
            </w:tcBorders>
            <w:vAlign w:val="center"/>
          </w:tcPr>
          <w:p>
            <w:pPr>
              <w:spacing w:line="240" w:lineRule="auto"/>
              <w:jc w:val="center"/>
            </w:pPr>
          </w:p>
        </w:tc>
        <w:tc>
          <w:tcPr>
            <w:tcW w:w="2836" w:type="dxa"/>
            <w:tcBorders>
              <w:tl2br w:val="nil"/>
              <w:tr2bl w:val="nil"/>
            </w:tcBorders>
            <w:vAlign w:val="center"/>
          </w:tcPr>
          <w:p>
            <w:pPr>
              <w:spacing w:line="240" w:lineRule="auto"/>
              <w:jc w:val="center"/>
            </w:pPr>
            <w:r>
              <w:t>名称</w:t>
            </w:r>
          </w:p>
        </w:tc>
        <w:tc>
          <w:tcPr>
            <w:tcW w:w="2836" w:type="dxa"/>
            <w:tcBorders>
              <w:tl2br w:val="nil"/>
              <w:tr2bl w:val="nil"/>
            </w:tcBorders>
            <w:vAlign w:val="center"/>
          </w:tcPr>
          <w:p>
            <w:pPr>
              <w:spacing w:line="240" w:lineRule="auto"/>
              <w:jc w:val="center"/>
            </w:pPr>
            <w:r>
              <w:t>浓度限值（mg/L）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34" w:type="dxa"/>
            <w:tcBorders>
              <w:tl2br w:val="nil"/>
              <w:tr2bl w:val="nil"/>
            </w:tcBorders>
            <w:vAlign w:val="center"/>
          </w:tcPr>
          <w:p>
            <w:pPr>
              <w:spacing w:line="240" w:lineRule="auto"/>
              <w:jc w:val="center"/>
            </w:pPr>
            <w:r>
              <w:t>1</w:t>
            </w:r>
          </w:p>
        </w:tc>
        <w:tc>
          <w:tcPr>
            <w:tcW w:w="2834" w:type="dxa"/>
            <w:tcBorders>
              <w:tl2br w:val="nil"/>
              <w:tr2bl w:val="nil"/>
            </w:tcBorders>
            <w:vAlign w:val="center"/>
          </w:tcPr>
          <w:p>
            <w:pPr>
              <w:spacing w:line="240" w:lineRule="auto"/>
              <w:jc w:val="center"/>
            </w:pPr>
            <w:r>
              <w:t>/</w:t>
            </w:r>
          </w:p>
        </w:tc>
        <w:tc>
          <w:tcPr>
            <w:tcW w:w="2834" w:type="dxa"/>
            <w:tcBorders>
              <w:tl2br w:val="nil"/>
              <w:tr2bl w:val="nil"/>
            </w:tcBorders>
            <w:vAlign w:val="center"/>
          </w:tcPr>
          <w:p>
            <w:pPr>
              <w:spacing w:line="240" w:lineRule="auto"/>
              <w:jc w:val="center"/>
            </w:pPr>
            <w:r>
              <w:t>COD、NH</w:t>
            </w:r>
            <w:r>
              <w:rPr>
                <w:vertAlign w:val="subscript"/>
              </w:rPr>
              <w:t>3</w:t>
            </w:r>
            <w:r>
              <w:t>-N、BOD</w:t>
            </w:r>
            <w:r>
              <w:rPr>
                <w:vertAlign w:val="subscript"/>
              </w:rPr>
              <w:t>5</w:t>
            </w:r>
            <w:r>
              <w:t>、SS、动植物油</w:t>
            </w:r>
          </w:p>
        </w:tc>
        <w:tc>
          <w:tcPr>
            <w:tcW w:w="2836" w:type="dxa"/>
            <w:tcBorders>
              <w:tl2br w:val="nil"/>
              <w:tr2bl w:val="nil"/>
            </w:tcBorders>
            <w:vAlign w:val="center"/>
          </w:tcPr>
          <w:p>
            <w:pPr>
              <w:spacing w:line="240" w:lineRule="auto"/>
              <w:jc w:val="center"/>
            </w:pPr>
            <w:r>
              <w:t>COD、NH</w:t>
            </w:r>
            <w:r>
              <w:rPr>
                <w:vertAlign w:val="subscript"/>
              </w:rPr>
              <w:t>3</w:t>
            </w:r>
            <w:r>
              <w:t>-N、BOD</w:t>
            </w:r>
            <w:r>
              <w:rPr>
                <w:vertAlign w:val="subscript"/>
              </w:rPr>
              <w:t>5</w:t>
            </w:r>
            <w:r>
              <w:t>、SS、动植物油</w:t>
            </w:r>
          </w:p>
        </w:tc>
        <w:tc>
          <w:tcPr>
            <w:tcW w:w="2836" w:type="dxa"/>
            <w:tcBorders>
              <w:tl2br w:val="nil"/>
              <w:tr2bl w:val="nil"/>
            </w:tcBorders>
            <w:vAlign w:val="center"/>
          </w:tcPr>
          <w:p>
            <w:pPr>
              <w:spacing w:line="240" w:lineRule="auto"/>
              <w:jc w:val="center"/>
              <w:rPr>
                <w:rFonts w:hint="default" w:eastAsia="宋体"/>
                <w:lang w:val="en-US" w:eastAsia="zh-CN"/>
              </w:rPr>
            </w:pPr>
            <w:r>
              <w:t>COD:500；NH</w:t>
            </w:r>
            <w:r>
              <w:rPr>
                <w:vertAlign w:val="subscript"/>
              </w:rPr>
              <w:t>3</w:t>
            </w:r>
            <w:r>
              <w:t>-N:45；BOD</w:t>
            </w:r>
            <w:r>
              <w:rPr>
                <w:vertAlign w:val="subscript"/>
              </w:rPr>
              <w:t>5</w:t>
            </w:r>
            <w:r>
              <w:t>:</w:t>
            </w:r>
            <w:r>
              <w:rPr>
                <w:rFonts w:hint="eastAsia"/>
                <w:lang w:val="en-US" w:eastAsia="zh-CN"/>
              </w:rPr>
              <w:t>30</w:t>
            </w:r>
            <w:r>
              <w:t>0；SS:300；动植物油：</w:t>
            </w:r>
            <w:r>
              <w:rPr>
                <w:rFonts w:hint="eastAsia"/>
                <w:lang w:val="en-US" w:eastAsia="zh-CN"/>
              </w:rPr>
              <w:t>100</w:t>
            </w:r>
          </w:p>
        </w:tc>
      </w:tr>
    </w:tbl>
    <w:p>
      <w:pPr>
        <w:rPr>
          <w:sz w:val="22"/>
          <w:szCs w:val="22"/>
        </w:rPr>
      </w:pPr>
    </w:p>
    <w:p>
      <w:pPr>
        <w:ind w:firstLine="5080" w:firstLineChars="2300"/>
        <w:rPr>
          <w:b/>
          <w:bCs/>
          <w:sz w:val="22"/>
          <w:szCs w:val="22"/>
        </w:rPr>
      </w:pPr>
    </w:p>
    <w:p>
      <w:pPr>
        <w:spacing w:line="240" w:lineRule="auto"/>
        <w:ind w:firstLine="5080" w:firstLineChars="2300"/>
        <w:rPr>
          <w:b/>
          <w:bCs/>
          <w:sz w:val="22"/>
          <w:szCs w:val="22"/>
        </w:rPr>
      </w:pPr>
    </w:p>
    <w:p>
      <w:pPr>
        <w:spacing w:line="240" w:lineRule="auto"/>
        <w:ind w:firstLine="5080" w:firstLineChars="2300"/>
        <w:rPr>
          <w:b/>
          <w:bCs/>
          <w:sz w:val="22"/>
          <w:szCs w:val="22"/>
        </w:rPr>
      </w:pPr>
    </w:p>
    <w:p>
      <w:pPr>
        <w:spacing w:line="240" w:lineRule="auto"/>
        <w:ind w:firstLine="5542" w:firstLineChars="2300"/>
        <w:rPr>
          <w:b/>
          <w:bCs/>
          <w:sz w:val="24"/>
          <w:szCs w:val="24"/>
        </w:rPr>
      </w:pPr>
    </w:p>
    <w:p>
      <w:pPr>
        <w:spacing w:line="240" w:lineRule="auto"/>
        <w:ind w:firstLine="5542" w:firstLineChars="2300"/>
        <w:rPr>
          <w:b/>
          <w:bCs/>
          <w:sz w:val="24"/>
          <w:szCs w:val="24"/>
        </w:rPr>
      </w:pPr>
    </w:p>
    <w:p>
      <w:pPr>
        <w:spacing w:line="240" w:lineRule="auto"/>
        <w:ind w:firstLine="5542" w:firstLineChars="2300"/>
        <w:rPr>
          <w:b/>
          <w:bCs/>
          <w:sz w:val="24"/>
          <w:szCs w:val="24"/>
        </w:rPr>
      </w:pPr>
    </w:p>
    <w:p>
      <w:pPr>
        <w:spacing w:line="240" w:lineRule="auto"/>
        <w:ind w:firstLine="5542" w:firstLineChars="2300"/>
        <w:rPr>
          <w:b/>
          <w:bCs/>
          <w:sz w:val="24"/>
          <w:szCs w:val="24"/>
        </w:rPr>
      </w:pPr>
      <w:r>
        <w:rPr>
          <w:b/>
          <w:bCs/>
          <w:sz w:val="24"/>
          <w:szCs w:val="24"/>
        </w:rPr>
        <w:t>表4</w:t>
      </w:r>
      <w:r>
        <w:rPr>
          <w:rFonts w:hint="eastAsia"/>
          <w:b/>
          <w:bCs/>
          <w:sz w:val="24"/>
          <w:szCs w:val="24"/>
        </w:rPr>
        <w:t>-</w:t>
      </w:r>
      <w:r>
        <w:rPr>
          <w:b/>
          <w:bCs/>
          <w:sz w:val="24"/>
          <w:szCs w:val="24"/>
        </w:rPr>
        <w:t>2-16  废水污染物排放信息表</w:t>
      </w:r>
    </w:p>
    <w:tbl>
      <w:tblPr>
        <w:tblStyle w:val="23"/>
        <w:tblW w:w="142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96"/>
        <w:gridCol w:w="2174"/>
        <w:gridCol w:w="3317"/>
        <w:gridCol w:w="2917"/>
        <w:gridCol w:w="29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96" w:type="dxa"/>
            <w:tcBorders>
              <w:tl2br w:val="nil"/>
              <w:tr2bl w:val="nil"/>
            </w:tcBorders>
            <w:vAlign w:val="center"/>
          </w:tcPr>
          <w:p>
            <w:pPr>
              <w:spacing w:line="240" w:lineRule="auto"/>
              <w:jc w:val="center"/>
              <w:rPr>
                <w:bCs/>
              </w:rPr>
            </w:pPr>
            <w:r>
              <w:rPr>
                <w:bCs/>
              </w:rPr>
              <w:t>排放口编号</w:t>
            </w:r>
          </w:p>
        </w:tc>
        <w:tc>
          <w:tcPr>
            <w:tcW w:w="2174" w:type="dxa"/>
            <w:tcBorders>
              <w:tl2br w:val="nil"/>
              <w:tr2bl w:val="nil"/>
            </w:tcBorders>
            <w:vAlign w:val="center"/>
          </w:tcPr>
          <w:p>
            <w:pPr>
              <w:spacing w:line="240" w:lineRule="auto"/>
              <w:jc w:val="center"/>
              <w:rPr>
                <w:bCs/>
              </w:rPr>
            </w:pPr>
            <w:r>
              <w:rPr>
                <w:bCs/>
              </w:rPr>
              <w:t>污染物种类</w:t>
            </w:r>
          </w:p>
        </w:tc>
        <w:tc>
          <w:tcPr>
            <w:tcW w:w="3317" w:type="dxa"/>
            <w:tcBorders>
              <w:tl2br w:val="nil"/>
              <w:tr2bl w:val="nil"/>
            </w:tcBorders>
            <w:vAlign w:val="center"/>
          </w:tcPr>
          <w:p>
            <w:pPr>
              <w:spacing w:line="240" w:lineRule="auto"/>
              <w:jc w:val="center"/>
              <w:rPr>
                <w:bCs/>
              </w:rPr>
            </w:pPr>
            <w:r>
              <w:rPr>
                <w:bCs/>
              </w:rPr>
              <w:t>排放浓度（mg/L）</w:t>
            </w:r>
          </w:p>
        </w:tc>
        <w:tc>
          <w:tcPr>
            <w:tcW w:w="2917" w:type="dxa"/>
            <w:tcBorders>
              <w:tl2br w:val="nil"/>
              <w:tr2bl w:val="nil"/>
            </w:tcBorders>
            <w:vAlign w:val="center"/>
          </w:tcPr>
          <w:p>
            <w:pPr>
              <w:spacing w:line="240" w:lineRule="auto"/>
              <w:jc w:val="center"/>
              <w:rPr>
                <w:bCs/>
              </w:rPr>
            </w:pPr>
            <w:r>
              <w:rPr>
                <w:bCs/>
              </w:rPr>
              <w:t>日排放量（t/d）</w:t>
            </w:r>
          </w:p>
        </w:tc>
        <w:tc>
          <w:tcPr>
            <w:tcW w:w="2916" w:type="dxa"/>
            <w:tcBorders>
              <w:tl2br w:val="nil"/>
              <w:tr2bl w:val="nil"/>
            </w:tcBorders>
            <w:vAlign w:val="center"/>
          </w:tcPr>
          <w:p>
            <w:pPr>
              <w:spacing w:line="240" w:lineRule="auto"/>
              <w:ind w:firstLine="630" w:firstLineChars="300"/>
              <w:rPr>
                <w:bCs/>
              </w:rPr>
            </w:pPr>
            <w:r>
              <w:rPr>
                <w:bCs/>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896" w:type="dxa"/>
            <w:vMerge w:val="restart"/>
            <w:tcBorders>
              <w:tl2br w:val="nil"/>
              <w:tr2bl w:val="nil"/>
            </w:tcBorders>
            <w:vAlign w:val="center"/>
          </w:tcPr>
          <w:p>
            <w:pPr>
              <w:spacing w:line="240" w:lineRule="auto"/>
              <w:jc w:val="center"/>
              <w:rPr>
                <w:bCs/>
              </w:rPr>
            </w:pPr>
            <w:r>
              <w:rPr>
                <w:bCs/>
              </w:rPr>
              <w:t>/</w:t>
            </w:r>
          </w:p>
        </w:tc>
        <w:tc>
          <w:tcPr>
            <w:tcW w:w="2174" w:type="dxa"/>
            <w:tcBorders>
              <w:tl2br w:val="nil"/>
              <w:tr2bl w:val="nil"/>
            </w:tcBorders>
            <w:vAlign w:val="center"/>
          </w:tcPr>
          <w:p>
            <w:pPr>
              <w:autoSpaceDE w:val="0"/>
              <w:autoSpaceDN w:val="0"/>
              <w:spacing w:line="240" w:lineRule="auto"/>
              <w:jc w:val="center"/>
              <w:rPr>
                <w:bCs/>
              </w:rPr>
            </w:pPr>
            <w:r>
              <w:t>COD</w:t>
            </w:r>
          </w:p>
        </w:tc>
        <w:tc>
          <w:tcPr>
            <w:tcW w:w="3317" w:type="dxa"/>
            <w:tcBorders>
              <w:tl2br w:val="nil"/>
              <w:tr2bl w:val="nil"/>
            </w:tcBorders>
          </w:tcPr>
          <w:p>
            <w:pPr>
              <w:spacing w:line="240" w:lineRule="auto"/>
              <w:jc w:val="center"/>
              <w:rPr>
                <w:rFonts w:hint="default" w:eastAsia="宋体"/>
                <w:bCs/>
                <w:lang w:val="en-US" w:eastAsia="zh-CN"/>
              </w:rPr>
            </w:pPr>
            <w:r>
              <w:rPr>
                <w:rFonts w:hint="eastAsia"/>
                <w:bCs/>
                <w:lang w:val="en-US" w:eastAsia="zh-CN"/>
              </w:rPr>
              <w:t>268</w:t>
            </w:r>
          </w:p>
        </w:tc>
        <w:tc>
          <w:tcPr>
            <w:tcW w:w="2917" w:type="dxa"/>
            <w:tcBorders>
              <w:tl2br w:val="nil"/>
              <w:tr2bl w:val="nil"/>
            </w:tcBorders>
            <w:vAlign w:val="center"/>
          </w:tcPr>
          <w:p>
            <w:pPr>
              <w:spacing w:line="240" w:lineRule="auto"/>
              <w:jc w:val="center"/>
              <w:rPr>
                <w:rFonts w:hint="default" w:eastAsia="宋体"/>
                <w:bCs/>
                <w:lang w:val="en-US" w:eastAsia="zh-CN"/>
              </w:rPr>
            </w:pPr>
            <w:r>
              <w:rPr>
                <w:rFonts w:hint="eastAsia"/>
                <w:bCs/>
                <w:lang w:val="en-US" w:eastAsia="zh-CN"/>
              </w:rPr>
              <w:t>0.009</w:t>
            </w:r>
          </w:p>
        </w:tc>
        <w:tc>
          <w:tcPr>
            <w:tcW w:w="2916" w:type="dxa"/>
            <w:tcBorders>
              <w:tl2br w:val="nil"/>
              <w:tr2bl w:val="nil"/>
            </w:tcBorders>
            <w:vAlign w:val="center"/>
          </w:tcPr>
          <w:p>
            <w:pPr>
              <w:spacing w:line="240" w:lineRule="auto"/>
              <w:jc w:val="center"/>
              <w:rPr>
                <w:rFonts w:hint="default" w:eastAsia="宋体"/>
                <w:bCs/>
                <w:lang w:val="en-US" w:eastAsia="zh-CN"/>
              </w:rPr>
            </w:pPr>
            <w:r>
              <w:rPr>
                <w:rFonts w:hint="eastAsia"/>
                <w:bCs/>
                <w:lang w:val="en-US" w:eastAsia="zh-CN"/>
              </w:rPr>
              <w:t>2.63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96" w:type="dxa"/>
            <w:vMerge w:val="continue"/>
            <w:tcBorders>
              <w:tl2br w:val="nil"/>
              <w:tr2bl w:val="nil"/>
            </w:tcBorders>
          </w:tcPr>
          <w:p>
            <w:pPr>
              <w:spacing w:line="240" w:lineRule="auto"/>
              <w:rPr>
                <w:bCs/>
              </w:rPr>
            </w:pPr>
          </w:p>
        </w:tc>
        <w:tc>
          <w:tcPr>
            <w:tcW w:w="2174" w:type="dxa"/>
            <w:tcBorders>
              <w:tl2br w:val="nil"/>
              <w:tr2bl w:val="nil"/>
            </w:tcBorders>
            <w:vAlign w:val="center"/>
          </w:tcPr>
          <w:p>
            <w:pPr>
              <w:autoSpaceDE w:val="0"/>
              <w:autoSpaceDN w:val="0"/>
              <w:spacing w:line="240" w:lineRule="auto"/>
              <w:jc w:val="center"/>
              <w:rPr>
                <w:bCs/>
              </w:rPr>
            </w:pPr>
            <w:r>
              <w:t>BOD</w:t>
            </w:r>
            <w:r>
              <w:rPr>
                <w:vertAlign w:val="subscript"/>
              </w:rPr>
              <w:t>5</w:t>
            </w:r>
          </w:p>
        </w:tc>
        <w:tc>
          <w:tcPr>
            <w:tcW w:w="3317" w:type="dxa"/>
            <w:tcBorders>
              <w:tl2br w:val="nil"/>
              <w:tr2bl w:val="nil"/>
            </w:tcBorders>
            <w:vAlign w:val="center"/>
          </w:tcPr>
          <w:p>
            <w:pPr>
              <w:spacing w:line="240" w:lineRule="auto"/>
              <w:jc w:val="center"/>
              <w:rPr>
                <w:rFonts w:hint="default" w:eastAsia="宋体"/>
                <w:bCs/>
                <w:lang w:val="en-US" w:eastAsia="zh-CN"/>
              </w:rPr>
            </w:pPr>
            <w:r>
              <w:rPr>
                <w:rFonts w:hint="eastAsia"/>
                <w:bCs/>
                <w:lang w:val="en-US" w:eastAsia="zh-CN"/>
              </w:rPr>
              <w:t>197</w:t>
            </w:r>
          </w:p>
        </w:tc>
        <w:tc>
          <w:tcPr>
            <w:tcW w:w="2917" w:type="dxa"/>
            <w:tcBorders>
              <w:tl2br w:val="nil"/>
              <w:tr2bl w:val="nil"/>
            </w:tcBorders>
            <w:vAlign w:val="center"/>
          </w:tcPr>
          <w:p>
            <w:pPr>
              <w:spacing w:line="240" w:lineRule="auto"/>
              <w:jc w:val="center"/>
              <w:rPr>
                <w:rFonts w:hint="default" w:eastAsia="宋体"/>
                <w:bCs/>
                <w:lang w:val="en-US" w:eastAsia="zh-CN"/>
              </w:rPr>
            </w:pPr>
            <w:r>
              <w:rPr>
                <w:rFonts w:hint="eastAsia"/>
                <w:bCs/>
                <w:lang w:val="en-US" w:eastAsia="zh-CN"/>
              </w:rPr>
              <w:t>0.006</w:t>
            </w:r>
          </w:p>
        </w:tc>
        <w:tc>
          <w:tcPr>
            <w:tcW w:w="2916" w:type="dxa"/>
            <w:tcBorders>
              <w:tl2br w:val="nil"/>
              <w:tr2bl w:val="nil"/>
            </w:tcBorders>
            <w:vAlign w:val="center"/>
          </w:tcPr>
          <w:p>
            <w:pPr>
              <w:spacing w:line="240" w:lineRule="auto"/>
              <w:jc w:val="center"/>
              <w:rPr>
                <w:rFonts w:hint="default" w:eastAsia="宋体"/>
                <w:bCs/>
                <w:lang w:val="en-US" w:eastAsia="zh-CN"/>
              </w:rPr>
            </w:pPr>
            <w:r>
              <w:rPr>
                <w:rFonts w:hint="eastAsia"/>
                <w:bCs/>
                <w:lang w:val="en-US" w:eastAsia="zh-CN"/>
              </w:rPr>
              <w:t>1.93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96" w:type="dxa"/>
            <w:vMerge w:val="continue"/>
            <w:tcBorders>
              <w:tl2br w:val="nil"/>
              <w:tr2bl w:val="nil"/>
            </w:tcBorders>
          </w:tcPr>
          <w:p>
            <w:pPr>
              <w:spacing w:line="240" w:lineRule="auto"/>
              <w:rPr>
                <w:bCs/>
              </w:rPr>
            </w:pPr>
          </w:p>
        </w:tc>
        <w:tc>
          <w:tcPr>
            <w:tcW w:w="2174" w:type="dxa"/>
            <w:tcBorders>
              <w:tl2br w:val="nil"/>
              <w:tr2bl w:val="nil"/>
            </w:tcBorders>
            <w:vAlign w:val="center"/>
          </w:tcPr>
          <w:p>
            <w:pPr>
              <w:autoSpaceDE w:val="0"/>
              <w:autoSpaceDN w:val="0"/>
              <w:spacing w:line="240" w:lineRule="auto"/>
              <w:jc w:val="center"/>
              <w:rPr>
                <w:bCs/>
              </w:rPr>
            </w:pPr>
            <w:r>
              <w:t>SS</w:t>
            </w:r>
          </w:p>
        </w:tc>
        <w:tc>
          <w:tcPr>
            <w:tcW w:w="3317" w:type="dxa"/>
            <w:tcBorders>
              <w:tl2br w:val="nil"/>
              <w:tr2bl w:val="nil"/>
            </w:tcBorders>
            <w:vAlign w:val="center"/>
          </w:tcPr>
          <w:p>
            <w:pPr>
              <w:spacing w:line="240" w:lineRule="auto"/>
              <w:jc w:val="center"/>
              <w:rPr>
                <w:rFonts w:hint="default" w:eastAsia="宋体"/>
                <w:bCs/>
                <w:lang w:val="en-US" w:eastAsia="zh-CN"/>
              </w:rPr>
            </w:pPr>
            <w:r>
              <w:rPr>
                <w:rFonts w:hint="eastAsia"/>
                <w:bCs/>
                <w:lang w:val="en-US" w:eastAsia="zh-CN"/>
              </w:rPr>
              <w:t>189</w:t>
            </w:r>
          </w:p>
        </w:tc>
        <w:tc>
          <w:tcPr>
            <w:tcW w:w="2917" w:type="dxa"/>
            <w:tcBorders>
              <w:tl2br w:val="nil"/>
              <w:tr2bl w:val="nil"/>
            </w:tcBorders>
            <w:vAlign w:val="center"/>
          </w:tcPr>
          <w:p>
            <w:pPr>
              <w:spacing w:line="240" w:lineRule="auto"/>
              <w:jc w:val="center"/>
              <w:rPr>
                <w:rFonts w:hint="default" w:eastAsia="宋体"/>
                <w:bCs/>
                <w:lang w:val="en-US" w:eastAsia="zh-CN"/>
              </w:rPr>
            </w:pPr>
            <w:r>
              <w:rPr>
                <w:rFonts w:hint="eastAsia"/>
                <w:bCs/>
                <w:lang w:val="en-US" w:eastAsia="zh-CN"/>
              </w:rPr>
              <w:t>0.006</w:t>
            </w:r>
          </w:p>
        </w:tc>
        <w:tc>
          <w:tcPr>
            <w:tcW w:w="2916" w:type="dxa"/>
            <w:tcBorders>
              <w:tl2br w:val="nil"/>
              <w:tr2bl w:val="nil"/>
            </w:tcBorders>
            <w:vAlign w:val="center"/>
          </w:tcPr>
          <w:p>
            <w:pPr>
              <w:spacing w:line="240" w:lineRule="auto"/>
              <w:jc w:val="center"/>
              <w:rPr>
                <w:rFonts w:hint="default" w:eastAsia="宋体"/>
                <w:bCs/>
                <w:lang w:val="en-US" w:eastAsia="zh-CN"/>
              </w:rPr>
            </w:pPr>
            <w:r>
              <w:rPr>
                <w:rFonts w:hint="eastAsia"/>
                <w:bCs/>
                <w:lang w:val="en-US" w:eastAsia="zh-CN"/>
              </w:rPr>
              <w:t>1.85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96" w:type="dxa"/>
            <w:vMerge w:val="continue"/>
            <w:tcBorders>
              <w:tl2br w:val="nil"/>
              <w:tr2bl w:val="nil"/>
            </w:tcBorders>
          </w:tcPr>
          <w:p>
            <w:pPr>
              <w:spacing w:line="240" w:lineRule="auto"/>
              <w:rPr>
                <w:bCs/>
              </w:rPr>
            </w:pPr>
          </w:p>
        </w:tc>
        <w:tc>
          <w:tcPr>
            <w:tcW w:w="2174" w:type="dxa"/>
            <w:tcBorders>
              <w:tl2br w:val="nil"/>
              <w:tr2bl w:val="nil"/>
            </w:tcBorders>
            <w:vAlign w:val="center"/>
          </w:tcPr>
          <w:p>
            <w:pPr>
              <w:autoSpaceDE w:val="0"/>
              <w:autoSpaceDN w:val="0"/>
              <w:spacing w:line="240" w:lineRule="auto"/>
              <w:jc w:val="center"/>
              <w:rPr>
                <w:bCs/>
              </w:rPr>
            </w:pPr>
            <w:r>
              <w:rPr>
                <w:bCs/>
              </w:rPr>
              <w:t>NH</w:t>
            </w:r>
            <w:r>
              <w:rPr>
                <w:bCs/>
                <w:vertAlign w:val="subscript"/>
              </w:rPr>
              <w:t>3</w:t>
            </w:r>
            <w:r>
              <w:rPr>
                <w:bCs/>
              </w:rPr>
              <w:t>-N</w:t>
            </w:r>
          </w:p>
        </w:tc>
        <w:tc>
          <w:tcPr>
            <w:tcW w:w="3317" w:type="dxa"/>
            <w:tcBorders>
              <w:tl2br w:val="nil"/>
              <w:tr2bl w:val="nil"/>
            </w:tcBorders>
            <w:vAlign w:val="center"/>
          </w:tcPr>
          <w:p>
            <w:pPr>
              <w:spacing w:line="240" w:lineRule="auto"/>
              <w:jc w:val="center"/>
              <w:rPr>
                <w:rFonts w:hint="default" w:eastAsia="宋体"/>
                <w:bCs/>
                <w:lang w:val="en-US" w:eastAsia="zh-CN"/>
              </w:rPr>
            </w:pPr>
            <w:r>
              <w:rPr>
                <w:rFonts w:hint="eastAsia"/>
                <w:bCs/>
                <w:lang w:val="en-US" w:eastAsia="zh-CN"/>
              </w:rPr>
              <w:t>25</w:t>
            </w:r>
          </w:p>
        </w:tc>
        <w:tc>
          <w:tcPr>
            <w:tcW w:w="2917" w:type="dxa"/>
            <w:tcBorders>
              <w:tl2br w:val="nil"/>
              <w:tr2bl w:val="nil"/>
            </w:tcBorders>
            <w:vAlign w:val="center"/>
          </w:tcPr>
          <w:p>
            <w:pPr>
              <w:spacing w:line="240" w:lineRule="auto"/>
              <w:jc w:val="center"/>
              <w:rPr>
                <w:rFonts w:hint="default" w:eastAsia="宋体"/>
                <w:bCs/>
                <w:lang w:val="en-US" w:eastAsia="zh-CN"/>
              </w:rPr>
            </w:pPr>
            <w:r>
              <w:rPr>
                <w:rFonts w:hint="eastAsia"/>
                <w:bCs/>
                <w:lang w:val="en-US" w:eastAsia="zh-CN"/>
              </w:rPr>
              <w:t>0.0008</w:t>
            </w:r>
          </w:p>
        </w:tc>
        <w:tc>
          <w:tcPr>
            <w:tcW w:w="2916" w:type="dxa"/>
            <w:tcBorders>
              <w:tl2br w:val="nil"/>
              <w:tr2bl w:val="nil"/>
            </w:tcBorders>
            <w:vAlign w:val="center"/>
          </w:tcPr>
          <w:p>
            <w:pPr>
              <w:spacing w:line="240" w:lineRule="auto"/>
              <w:jc w:val="center"/>
              <w:rPr>
                <w:rFonts w:hint="default" w:eastAsia="宋体"/>
                <w:bCs/>
                <w:lang w:val="en-US" w:eastAsia="zh-CN"/>
              </w:rPr>
            </w:pPr>
            <w:r>
              <w:rPr>
                <w:rFonts w:hint="eastAsia"/>
                <w:bCs/>
                <w:lang w:val="en-US" w:eastAsia="zh-CN"/>
              </w:rPr>
              <w:t>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96" w:type="dxa"/>
            <w:vMerge w:val="continue"/>
            <w:tcBorders>
              <w:tl2br w:val="nil"/>
              <w:tr2bl w:val="nil"/>
            </w:tcBorders>
          </w:tcPr>
          <w:p>
            <w:pPr>
              <w:spacing w:line="240" w:lineRule="auto"/>
              <w:rPr>
                <w:bCs/>
              </w:rPr>
            </w:pPr>
          </w:p>
        </w:tc>
        <w:tc>
          <w:tcPr>
            <w:tcW w:w="2174" w:type="dxa"/>
            <w:tcBorders>
              <w:tl2br w:val="nil"/>
              <w:tr2bl w:val="nil"/>
            </w:tcBorders>
            <w:vAlign w:val="center"/>
          </w:tcPr>
          <w:p>
            <w:pPr>
              <w:spacing w:line="240" w:lineRule="auto"/>
              <w:jc w:val="center"/>
              <w:rPr>
                <w:bCs/>
              </w:rPr>
            </w:pPr>
            <w:r>
              <w:t>动植物油</w:t>
            </w:r>
          </w:p>
        </w:tc>
        <w:tc>
          <w:tcPr>
            <w:tcW w:w="3317" w:type="dxa"/>
            <w:tcBorders>
              <w:tl2br w:val="nil"/>
              <w:tr2bl w:val="nil"/>
            </w:tcBorders>
            <w:vAlign w:val="center"/>
          </w:tcPr>
          <w:p>
            <w:pPr>
              <w:spacing w:line="240" w:lineRule="auto"/>
              <w:jc w:val="center"/>
              <w:rPr>
                <w:rFonts w:hint="default" w:eastAsia="宋体"/>
                <w:bCs/>
                <w:lang w:val="en-US" w:eastAsia="zh-CN"/>
              </w:rPr>
            </w:pPr>
            <w:r>
              <w:rPr>
                <w:rFonts w:hint="eastAsia"/>
                <w:bCs/>
                <w:lang w:val="en-US" w:eastAsia="zh-CN"/>
              </w:rPr>
              <w:t>12</w:t>
            </w:r>
          </w:p>
        </w:tc>
        <w:tc>
          <w:tcPr>
            <w:tcW w:w="2917" w:type="dxa"/>
            <w:tcBorders>
              <w:tl2br w:val="nil"/>
              <w:tr2bl w:val="nil"/>
            </w:tcBorders>
            <w:vAlign w:val="center"/>
          </w:tcPr>
          <w:p>
            <w:pPr>
              <w:spacing w:line="240" w:lineRule="auto"/>
              <w:jc w:val="center"/>
              <w:rPr>
                <w:rFonts w:hint="default" w:eastAsia="宋体"/>
                <w:bCs/>
                <w:lang w:val="en-US" w:eastAsia="zh-CN"/>
              </w:rPr>
            </w:pPr>
            <w:r>
              <w:rPr>
                <w:rFonts w:hint="eastAsia"/>
                <w:bCs/>
                <w:lang w:val="en-US" w:eastAsia="zh-CN"/>
              </w:rPr>
              <w:t>0.0004</w:t>
            </w:r>
          </w:p>
        </w:tc>
        <w:tc>
          <w:tcPr>
            <w:tcW w:w="2916" w:type="dxa"/>
            <w:tcBorders>
              <w:tl2br w:val="nil"/>
              <w:tr2bl w:val="nil"/>
            </w:tcBorders>
            <w:vAlign w:val="center"/>
          </w:tcPr>
          <w:p>
            <w:pPr>
              <w:spacing w:line="240" w:lineRule="auto"/>
              <w:jc w:val="center"/>
              <w:rPr>
                <w:rFonts w:hint="default" w:eastAsia="宋体"/>
                <w:bCs/>
                <w:lang w:val="en-US" w:eastAsia="zh-CN"/>
              </w:rPr>
            </w:pPr>
            <w:r>
              <w:rPr>
                <w:rFonts w:hint="eastAsia"/>
                <w:bCs/>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96" w:type="dxa"/>
            <w:vMerge w:val="continue"/>
            <w:tcBorders>
              <w:tl2br w:val="nil"/>
              <w:tr2bl w:val="nil"/>
            </w:tcBorders>
          </w:tcPr>
          <w:p>
            <w:pPr>
              <w:spacing w:line="240" w:lineRule="auto"/>
              <w:rPr>
                <w:bCs/>
              </w:rPr>
            </w:pPr>
          </w:p>
        </w:tc>
        <w:tc>
          <w:tcPr>
            <w:tcW w:w="2174" w:type="dxa"/>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TP</w:t>
            </w:r>
          </w:p>
        </w:tc>
        <w:tc>
          <w:tcPr>
            <w:tcW w:w="3317" w:type="dxa"/>
            <w:tcBorders>
              <w:tl2br w:val="nil"/>
              <w:tr2bl w:val="nil"/>
            </w:tcBorders>
            <w:vAlign w:val="center"/>
          </w:tcPr>
          <w:p>
            <w:pPr>
              <w:spacing w:line="240" w:lineRule="auto"/>
              <w:jc w:val="center"/>
              <w:rPr>
                <w:rFonts w:hint="eastAsia" w:eastAsia="宋体"/>
                <w:bCs/>
                <w:lang w:val="en-US" w:eastAsia="zh-CN"/>
              </w:rPr>
            </w:pPr>
            <w:r>
              <w:rPr>
                <w:rFonts w:hint="eastAsia"/>
                <w:bCs/>
                <w:lang w:val="en-US" w:eastAsia="zh-CN"/>
              </w:rPr>
              <w:t>2</w:t>
            </w:r>
          </w:p>
        </w:tc>
        <w:tc>
          <w:tcPr>
            <w:tcW w:w="2917" w:type="dxa"/>
            <w:tcBorders>
              <w:tl2br w:val="nil"/>
              <w:tr2bl w:val="nil"/>
            </w:tcBorders>
            <w:vAlign w:val="center"/>
          </w:tcPr>
          <w:p>
            <w:pPr>
              <w:spacing w:line="240" w:lineRule="auto"/>
              <w:jc w:val="center"/>
              <w:rPr>
                <w:rFonts w:hint="default" w:eastAsia="宋体"/>
                <w:bCs/>
                <w:lang w:val="en-US" w:eastAsia="zh-CN"/>
              </w:rPr>
            </w:pPr>
            <w:r>
              <w:rPr>
                <w:rFonts w:hint="eastAsia"/>
                <w:bCs/>
                <w:lang w:val="en-US" w:eastAsia="zh-CN"/>
              </w:rPr>
              <w:t>0.00007</w:t>
            </w:r>
          </w:p>
        </w:tc>
        <w:tc>
          <w:tcPr>
            <w:tcW w:w="2916" w:type="dxa"/>
            <w:tcBorders>
              <w:tl2br w:val="nil"/>
              <w:tr2bl w:val="nil"/>
            </w:tcBorders>
            <w:vAlign w:val="center"/>
          </w:tcPr>
          <w:p>
            <w:pPr>
              <w:spacing w:line="240" w:lineRule="auto"/>
              <w:jc w:val="center"/>
              <w:rPr>
                <w:rFonts w:hint="default" w:eastAsia="宋体"/>
                <w:bCs/>
                <w:lang w:val="en-US" w:eastAsia="zh-CN"/>
              </w:rPr>
            </w:pPr>
            <w:r>
              <w:rPr>
                <w:rFonts w:hint="eastAsia"/>
                <w:bCs/>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96" w:type="dxa"/>
            <w:vMerge w:val="continue"/>
            <w:tcBorders>
              <w:tl2br w:val="nil"/>
              <w:tr2bl w:val="nil"/>
            </w:tcBorders>
          </w:tcPr>
          <w:p>
            <w:pPr>
              <w:spacing w:line="240" w:lineRule="auto"/>
              <w:rPr>
                <w:bCs/>
              </w:rPr>
            </w:pPr>
          </w:p>
        </w:tc>
        <w:tc>
          <w:tcPr>
            <w:tcW w:w="2174" w:type="dxa"/>
            <w:tcBorders>
              <w:tl2br w:val="nil"/>
              <w:tr2bl w:val="nil"/>
            </w:tcBorders>
            <w:vAlign w:val="center"/>
          </w:tcPr>
          <w:p>
            <w:pPr>
              <w:spacing w:line="240" w:lineRule="auto"/>
              <w:jc w:val="center"/>
              <w:rPr>
                <w:rFonts w:hint="default"/>
                <w:lang w:val="en-US" w:eastAsia="zh-CN"/>
              </w:rPr>
            </w:pPr>
            <w:r>
              <w:rPr>
                <w:rFonts w:hint="eastAsia"/>
                <w:lang w:val="en-US" w:eastAsia="zh-CN"/>
              </w:rPr>
              <w:t>LAS</w:t>
            </w:r>
          </w:p>
        </w:tc>
        <w:tc>
          <w:tcPr>
            <w:tcW w:w="3317" w:type="dxa"/>
            <w:tcBorders>
              <w:tl2br w:val="nil"/>
              <w:tr2bl w:val="nil"/>
            </w:tcBorders>
            <w:vAlign w:val="center"/>
          </w:tcPr>
          <w:p>
            <w:pPr>
              <w:spacing w:line="240" w:lineRule="auto"/>
              <w:jc w:val="center"/>
              <w:rPr>
                <w:rFonts w:hint="eastAsia" w:eastAsia="宋体"/>
                <w:bCs/>
                <w:lang w:val="en-US" w:eastAsia="zh-CN"/>
              </w:rPr>
            </w:pPr>
            <w:r>
              <w:rPr>
                <w:rFonts w:hint="eastAsia"/>
                <w:bCs/>
                <w:lang w:val="en-US" w:eastAsia="zh-CN"/>
              </w:rPr>
              <w:t>6</w:t>
            </w:r>
          </w:p>
        </w:tc>
        <w:tc>
          <w:tcPr>
            <w:tcW w:w="2917" w:type="dxa"/>
            <w:tcBorders>
              <w:tl2br w:val="nil"/>
              <w:tr2bl w:val="nil"/>
            </w:tcBorders>
            <w:vAlign w:val="center"/>
          </w:tcPr>
          <w:p>
            <w:pPr>
              <w:spacing w:line="240" w:lineRule="auto"/>
              <w:jc w:val="center"/>
              <w:rPr>
                <w:rFonts w:hint="default" w:eastAsia="宋体"/>
                <w:bCs/>
                <w:lang w:val="en-US" w:eastAsia="zh-CN"/>
              </w:rPr>
            </w:pPr>
            <w:r>
              <w:rPr>
                <w:rFonts w:hint="eastAsia"/>
                <w:bCs/>
                <w:lang w:val="en-US" w:eastAsia="zh-CN"/>
              </w:rPr>
              <w:t>0.00021</w:t>
            </w:r>
          </w:p>
        </w:tc>
        <w:tc>
          <w:tcPr>
            <w:tcW w:w="2916" w:type="dxa"/>
            <w:tcBorders>
              <w:tl2br w:val="nil"/>
              <w:tr2bl w:val="nil"/>
            </w:tcBorders>
            <w:vAlign w:val="center"/>
          </w:tcPr>
          <w:p>
            <w:pPr>
              <w:spacing w:line="240" w:lineRule="auto"/>
              <w:jc w:val="center"/>
              <w:rPr>
                <w:rFonts w:hint="default" w:eastAsia="宋体"/>
                <w:bCs/>
                <w:lang w:val="en-US" w:eastAsia="zh-CN"/>
              </w:rPr>
            </w:pPr>
            <w:r>
              <w:rPr>
                <w:rFonts w:hint="eastAsia"/>
                <w:bCs/>
                <w:lang w:val="en-US" w:eastAsia="zh-CN"/>
              </w:rPr>
              <w:t>0.06</w:t>
            </w:r>
          </w:p>
        </w:tc>
      </w:tr>
    </w:tbl>
    <w:p>
      <w:pPr>
        <w:rPr>
          <w:color w:val="FF0000"/>
        </w:rPr>
      </w:pPr>
    </w:p>
    <w:p>
      <w:pPr>
        <w:spacing w:line="240" w:lineRule="auto"/>
        <w:jc w:val="center"/>
        <w:rPr>
          <w:b/>
          <w:bCs/>
          <w:sz w:val="24"/>
        </w:rPr>
      </w:pPr>
      <w:r>
        <w:rPr>
          <w:b/>
          <w:bCs/>
          <w:sz w:val="24"/>
        </w:rPr>
        <w:t>表4-2-</w:t>
      </w:r>
      <w:r>
        <w:rPr>
          <w:rFonts w:hint="eastAsia"/>
          <w:b/>
          <w:bCs/>
          <w:sz w:val="24"/>
        </w:rPr>
        <w:t>1</w:t>
      </w:r>
      <w:r>
        <w:rPr>
          <w:rFonts w:hint="eastAsia"/>
          <w:b/>
          <w:bCs/>
          <w:sz w:val="24"/>
          <w:lang w:val="en-US" w:eastAsia="zh-CN"/>
        </w:rPr>
        <w:t>7</w:t>
      </w:r>
      <w:r>
        <w:rPr>
          <w:b/>
          <w:bCs/>
          <w:sz w:val="24"/>
        </w:rPr>
        <w:t xml:space="preserve">  项目水环境影响评价自查表</w:t>
      </w:r>
    </w:p>
    <w:tbl>
      <w:tblPr>
        <w:tblStyle w:val="22"/>
        <w:tblW w:w="14218"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377"/>
        <w:gridCol w:w="2536"/>
        <w:gridCol w:w="2237"/>
        <w:gridCol w:w="617"/>
        <w:gridCol w:w="979"/>
        <w:gridCol w:w="795"/>
        <w:gridCol w:w="1160"/>
        <w:gridCol w:w="953"/>
        <w:gridCol w:w="298"/>
        <w:gridCol w:w="445"/>
        <w:gridCol w:w="1245"/>
        <w:gridCol w:w="216"/>
        <w:gridCol w:w="467"/>
        <w:gridCol w:w="189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1" w:hRule="atLeast"/>
          <w:tblHeader/>
          <w:jc w:val="center"/>
        </w:trPr>
        <w:tc>
          <w:tcPr>
            <w:tcW w:w="2913" w:type="dxa"/>
            <w:gridSpan w:val="2"/>
            <w:tcBorders>
              <w:tl2br w:val="nil"/>
              <w:tr2bl w:val="nil"/>
            </w:tcBorders>
            <w:noWrap/>
            <w:vAlign w:val="center"/>
          </w:tcPr>
          <w:p>
            <w:pPr>
              <w:spacing w:line="240" w:lineRule="auto"/>
              <w:jc w:val="center"/>
              <w:rPr>
                <w:kern w:val="0"/>
                <w:sz w:val="18"/>
                <w:szCs w:val="18"/>
              </w:rPr>
            </w:pPr>
            <w:r>
              <w:rPr>
                <w:kern w:val="0"/>
                <w:sz w:val="18"/>
                <w:szCs w:val="18"/>
              </w:rPr>
              <w:t>工作内容</w:t>
            </w:r>
          </w:p>
        </w:tc>
        <w:tc>
          <w:tcPr>
            <w:tcW w:w="11305" w:type="dxa"/>
            <w:gridSpan w:val="12"/>
            <w:tcBorders>
              <w:tl2br w:val="nil"/>
              <w:tr2bl w:val="nil"/>
            </w:tcBorders>
            <w:noWrap/>
            <w:vAlign w:val="center"/>
          </w:tcPr>
          <w:p>
            <w:pPr>
              <w:spacing w:line="240" w:lineRule="auto"/>
              <w:jc w:val="center"/>
              <w:rPr>
                <w:kern w:val="0"/>
                <w:sz w:val="18"/>
                <w:szCs w:val="18"/>
              </w:rPr>
            </w:pPr>
            <w:r>
              <w:rPr>
                <w:kern w:val="0"/>
                <w:sz w:val="18"/>
                <w:szCs w:val="18"/>
              </w:rPr>
              <w:t>自查项目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restart"/>
            <w:tcBorders>
              <w:tl2br w:val="nil"/>
              <w:tr2bl w:val="nil"/>
            </w:tcBorders>
            <w:noWrap/>
            <w:textDirection w:val="tbRlV"/>
            <w:vAlign w:val="center"/>
          </w:tcPr>
          <w:p>
            <w:pPr>
              <w:spacing w:line="240" w:lineRule="auto"/>
              <w:jc w:val="center"/>
              <w:rPr>
                <w:kern w:val="0"/>
                <w:sz w:val="18"/>
                <w:szCs w:val="18"/>
              </w:rPr>
            </w:pPr>
            <w:r>
              <w:rPr>
                <w:kern w:val="0"/>
                <w:sz w:val="18"/>
                <w:szCs w:val="18"/>
              </w:rPr>
              <w:t>影响识别</w:t>
            </w:r>
          </w:p>
        </w:tc>
        <w:tc>
          <w:tcPr>
            <w:tcW w:w="2536" w:type="dxa"/>
            <w:tcBorders>
              <w:tl2br w:val="nil"/>
              <w:tr2bl w:val="nil"/>
            </w:tcBorders>
            <w:noWrap/>
            <w:vAlign w:val="center"/>
          </w:tcPr>
          <w:p>
            <w:pPr>
              <w:spacing w:line="240" w:lineRule="auto"/>
              <w:jc w:val="center"/>
              <w:rPr>
                <w:kern w:val="0"/>
                <w:sz w:val="18"/>
                <w:szCs w:val="18"/>
              </w:rPr>
            </w:pPr>
            <w:r>
              <w:rPr>
                <w:kern w:val="0"/>
                <w:sz w:val="18"/>
                <w:szCs w:val="18"/>
              </w:rPr>
              <w:t>影响类型</w:t>
            </w:r>
          </w:p>
        </w:tc>
        <w:tc>
          <w:tcPr>
            <w:tcW w:w="11305" w:type="dxa"/>
            <w:gridSpan w:val="12"/>
            <w:tcBorders>
              <w:tl2br w:val="nil"/>
              <w:tr2bl w:val="nil"/>
            </w:tcBorders>
            <w:noWrap/>
            <w:vAlign w:val="center"/>
          </w:tcPr>
          <w:p>
            <w:pPr>
              <w:spacing w:line="240" w:lineRule="auto"/>
              <w:jc w:val="left"/>
              <w:rPr>
                <w:kern w:val="0"/>
                <w:sz w:val="18"/>
                <w:szCs w:val="18"/>
              </w:rPr>
            </w:pPr>
            <w:r>
              <w:rPr>
                <w:kern w:val="0"/>
                <w:sz w:val="18"/>
                <w:szCs w:val="18"/>
              </w:rPr>
              <w:t xml:space="preserve">水污染影响型 </w:t>
            </w:r>
            <w:r>
              <w:rPr>
                <w:rFonts w:eastAsia="MS Mincho"/>
                <w:kern w:val="0"/>
                <w:sz w:val="18"/>
                <w:szCs w:val="18"/>
              </w:rPr>
              <w:t>☑</w:t>
            </w:r>
            <w:r>
              <w:rPr>
                <w:kern w:val="0"/>
                <w:sz w:val="18"/>
                <w:szCs w:val="18"/>
              </w:rPr>
              <w:t>；水文要素影响型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841"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tcBorders>
              <w:tl2br w:val="nil"/>
              <w:tr2bl w:val="nil"/>
            </w:tcBorders>
            <w:noWrap/>
            <w:vAlign w:val="center"/>
          </w:tcPr>
          <w:p>
            <w:pPr>
              <w:spacing w:line="240" w:lineRule="auto"/>
              <w:jc w:val="center"/>
              <w:rPr>
                <w:kern w:val="0"/>
                <w:sz w:val="18"/>
                <w:szCs w:val="18"/>
              </w:rPr>
            </w:pPr>
            <w:r>
              <w:rPr>
                <w:kern w:val="0"/>
                <w:sz w:val="18"/>
                <w:szCs w:val="18"/>
              </w:rPr>
              <w:t>水环境保护目标</w:t>
            </w:r>
          </w:p>
        </w:tc>
        <w:tc>
          <w:tcPr>
            <w:tcW w:w="11305" w:type="dxa"/>
            <w:gridSpan w:val="12"/>
            <w:tcBorders>
              <w:tl2br w:val="nil"/>
              <w:tr2bl w:val="nil"/>
            </w:tcBorders>
            <w:noWrap/>
            <w:vAlign w:val="center"/>
          </w:tcPr>
          <w:p>
            <w:pPr>
              <w:spacing w:line="240" w:lineRule="auto"/>
              <w:jc w:val="left"/>
              <w:rPr>
                <w:kern w:val="0"/>
                <w:sz w:val="18"/>
                <w:szCs w:val="18"/>
              </w:rPr>
            </w:pPr>
            <w:r>
              <w:rPr>
                <w:kern w:val="0"/>
                <w:sz w:val="18"/>
                <w:szCs w:val="18"/>
              </w:rPr>
              <w:t>饮用水水源保护区 □；饮用水取水口 □；涉水的自然保护区 □；重要湿地 □；</w:t>
            </w:r>
            <w:r>
              <w:rPr>
                <w:kern w:val="0"/>
                <w:sz w:val="18"/>
                <w:szCs w:val="18"/>
              </w:rPr>
              <w:br w:type="textWrapping"/>
            </w:r>
            <w:r>
              <w:rPr>
                <w:kern w:val="0"/>
                <w:sz w:val="18"/>
                <w:szCs w:val="18"/>
              </w:rPr>
              <w:t xml:space="preserve">重点保护与珍稀水生生物的栖息地 □；重要水生生物的自然产卵场及索饵场、越冬场和洄游通道、天然渔场等渔业水体 □；涉水的风景名胜区 □；其他 </w:t>
            </w:r>
            <w:r>
              <w:rPr>
                <w:rFonts w:eastAsia="MS Mincho"/>
                <w:kern w:val="0"/>
                <w:sz w:val="18"/>
                <w:szCs w:val="18"/>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restart"/>
            <w:tcBorders>
              <w:tl2br w:val="nil"/>
              <w:tr2bl w:val="nil"/>
            </w:tcBorders>
            <w:noWrap/>
            <w:vAlign w:val="center"/>
          </w:tcPr>
          <w:p>
            <w:pPr>
              <w:spacing w:line="240" w:lineRule="auto"/>
              <w:jc w:val="center"/>
              <w:rPr>
                <w:kern w:val="0"/>
                <w:sz w:val="18"/>
                <w:szCs w:val="18"/>
              </w:rPr>
            </w:pPr>
            <w:r>
              <w:rPr>
                <w:kern w:val="0"/>
                <w:sz w:val="18"/>
                <w:szCs w:val="18"/>
              </w:rPr>
              <w:t>影响途径</w:t>
            </w:r>
          </w:p>
        </w:tc>
        <w:tc>
          <w:tcPr>
            <w:tcW w:w="5788" w:type="dxa"/>
            <w:gridSpan w:val="5"/>
            <w:tcBorders>
              <w:tl2br w:val="nil"/>
              <w:tr2bl w:val="nil"/>
            </w:tcBorders>
            <w:noWrap/>
            <w:vAlign w:val="center"/>
          </w:tcPr>
          <w:p>
            <w:pPr>
              <w:spacing w:line="240" w:lineRule="auto"/>
              <w:jc w:val="center"/>
              <w:rPr>
                <w:kern w:val="0"/>
                <w:sz w:val="18"/>
                <w:szCs w:val="18"/>
              </w:rPr>
            </w:pPr>
            <w:r>
              <w:rPr>
                <w:kern w:val="0"/>
                <w:sz w:val="18"/>
                <w:szCs w:val="18"/>
              </w:rPr>
              <w:t>水污染影响型</w:t>
            </w:r>
          </w:p>
        </w:tc>
        <w:tc>
          <w:tcPr>
            <w:tcW w:w="5517" w:type="dxa"/>
            <w:gridSpan w:val="7"/>
            <w:tcBorders>
              <w:tl2br w:val="nil"/>
              <w:tr2bl w:val="nil"/>
            </w:tcBorders>
            <w:noWrap/>
            <w:vAlign w:val="center"/>
          </w:tcPr>
          <w:p>
            <w:pPr>
              <w:spacing w:line="240" w:lineRule="auto"/>
              <w:jc w:val="center"/>
              <w:rPr>
                <w:kern w:val="0"/>
                <w:sz w:val="18"/>
                <w:szCs w:val="18"/>
              </w:rPr>
            </w:pPr>
            <w:r>
              <w:rPr>
                <w:kern w:val="0"/>
                <w:sz w:val="18"/>
                <w:szCs w:val="18"/>
              </w:rPr>
              <w:t>水文要素影响型</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continue"/>
            <w:tcBorders>
              <w:tl2br w:val="nil"/>
              <w:tr2bl w:val="nil"/>
            </w:tcBorders>
            <w:noWrap/>
            <w:vAlign w:val="center"/>
          </w:tcPr>
          <w:p>
            <w:pPr>
              <w:spacing w:line="240" w:lineRule="auto"/>
              <w:jc w:val="center"/>
              <w:rPr>
                <w:kern w:val="0"/>
                <w:sz w:val="18"/>
                <w:szCs w:val="18"/>
              </w:rPr>
            </w:pPr>
          </w:p>
        </w:tc>
        <w:tc>
          <w:tcPr>
            <w:tcW w:w="5788" w:type="dxa"/>
            <w:gridSpan w:val="5"/>
            <w:tcBorders>
              <w:tl2br w:val="nil"/>
              <w:tr2bl w:val="nil"/>
            </w:tcBorders>
            <w:noWrap/>
            <w:vAlign w:val="center"/>
          </w:tcPr>
          <w:p>
            <w:pPr>
              <w:spacing w:line="240" w:lineRule="auto"/>
              <w:jc w:val="left"/>
              <w:rPr>
                <w:kern w:val="0"/>
                <w:sz w:val="18"/>
                <w:szCs w:val="18"/>
              </w:rPr>
            </w:pPr>
            <w:r>
              <w:rPr>
                <w:kern w:val="0"/>
                <w:sz w:val="18"/>
                <w:szCs w:val="18"/>
              </w:rPr>
              <w:t xml:space="preserve">直接排放 </w:t>
            </w:r>
            <w:r>
              <w:rPr>
                <w:rFonts w:hint="eastAsia"/>
                <w:kern w:val="0"/>
                <w:sz w:val="18"/>
                <w:szCs w:val="18"/>
              </w:rPr>
              <w:t>□</w:t>
            </w:r>
            <w:r>
              <w:rPr>
                <w:kern w:val="0"/>
                <w:sz w:val="18"/>
                <w:szCs w:val="18"/>
              </w:rPr>
              <w:t xml:space="preserve">；间接排放 </w:t>
            </w:r>
            <w:r>
              <w:rPr>
                <w:rFonts w:hint="eastAsia"/>
                <w:kern w:val="0"/>
                <w:sz w:val="18"/>
                <w:szCs w:val="18"/>
              </w:rPr>
              <w:t>☑</w:t>
            </w:r>
            <w:r>
              <w:rPr>
                <w:kern w:val="0"/>
                <w:sz w:val="18"/>
                <w:szCs w:val="18"/>
              </w:rPr>
              <w:t>；其他 □</w:t>
            </w:r>
          </w:p>
        </w:tc>
        <w:tc>
          <w:tcPr>
            <w:tcW w:w="5517" w:type="dxa"/>
            <w:gridSpan w:val="7"/>
            <w:tcBorders>
              <w:tl2br w:val="nil"/>
              <w:tr2bl w:val="nil"/>
            </w:tcBorders>
            <w:noWrap/>
            <w:vAlign w:val="center"/>
          </w:tcPr>
          <w:p>
            <w:pPr>
              <w:spacing w:line="240" w:lineRule="auto"/>
              <w:jc w:val="left"/>
              <w:rPr>
                <w:kern w:val="0"/>
                <w:sz w:val="18"/>
                <w:szCs w:val="18"/>
              </w:rPr>
            </w:pPr>
            <w:r>
              <w:rPr>
                <w:kern w:val="0"/>
                <w:sz w:val="18"/>
                <w:szCs w:val="18"/>
              </w:rPr>
              <w:t>水温 □；径流 □；水域面积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tcBorders>
              <w:tl2br w:val="nil"/>
              <w:tr2bl w:val="nil"/>
            </w:tcBorders>
            <w:noWrap/>
            <w:vAlign w:val="center"/>
          </w:tcPr>
          <w:p>
            <w:pPr>
              <w:spacing w:line="240" w:lineRule="auto"/>
              <w:jc w:val="center"/>
              <w:rPr>
                <w:kern w:val="0"/>
                <w:sz w:val="18"/>
                <w:szCs w:val="18"/>
              </w:rPr>
            </w:pPr>
            <w:r>
              <w:rPr>
                <w:kern w:val="0"/>
                <w:sz w:val="18"/>
                <w:szCs w:val="18"/>
              </w:rPr>
              <w:t>影响因子</w:t>
            </w:r>
          </w:p>
        </w:tc>
        <w:tc>
          <w:tcPr>
            <w:tcW w:w="5788" w:type="dxa"/>
            <w:gridSpan w:val="5"/>
            <w:tcBorders>
              <w:tl2br w:val="nil"/>
              <w:tr2bl w:val="nil"/>
            </w:tcBorders>
            <w:noWrap/>
            <w:vAlign w:val="center"/>
          </w:tcPr>
          <w:p>
            <w:pPr>
              <w:spacing w:line="240" w:lineRule="auto"/>
              <w:jc w:val="left"/>
              <w:rPr>
                <w:kern w:val="0"/>
                <w:sz w:val="18"/>
                <w:szCs w:val="18"/>
              </w:rPr>
            </w:pPr>
            <w:r>
              <w:rPr>
                <w:kern w:val="0"/>
                <w:sz w:val="18"/>
                <w:szCs w:val="18"/>
              </w:rPr>
              <w:t xml:space="preserve">持久性污染物 □；有毒有害污染物 </w:t>
            </w:r>
            <w:r>
              <w:rPr>
                <w:rFonts w:hint="eastAsia"/>
                <w:kern w:val="0"/>
                <w:sz w:val="18"/>
                <w:szCs w:val="18"/>
              </w:rPr>
              <w:t>□</w:t>
            </w:r>
            <w:r>
              <w:rPr>
                <w:kern w:val="0"/>
                <w:sz w:val="18"/>
                <w:szCs w:val="18"/>
              </w:rPr>
              <w:t xml:space="preserve">；非持久性污染物 </w:t>
            </w:r>
            <w:r>
              <w:rPr>
                <w:rFonts w:hint="eastAsia"/>
                <w:kern w:val="0"/>
                <w:sz w:val="18"/>
                <w:szCs w:val="18"/>
              </w:rPr>
              <w:t>☑</w:t>
            </w:r>
            <w:r>
              <w:rPr>
                <w:kern w:val="0"/>
                <w:sz w:val="18"/>
                <w:szCs w:val="18"/>
              </w:rPr>
              <w:t xml:space="preserve">；pH值 □；热污染 □；富营养化 □；其他 </w:t>
            </w:r>
            <w:r>
              <w:rPr>
                <w:rFonts w:hint="eastAsia"/>
                <w:kern w:val="0"/>
                <w:sz w:val="18"/>
                <w:szCs w:val="18"/>
              </w:rPr>
              <w:t>□</w:t>
            </w:r>
          </w:p>
        </w:tc>
        <w:tc>
          <w:tcPr>
            <w:tcW w:w="5517" w:type="dxa"/>
            <w:gridSpan w:val="7"/>
            <w:tcBorders>
              <w:tl2br w:val="nil"/>
              <w:tr2bl w:val="nil"/>
            </w:tcBorders>
            <w:noWrap/>
            <w:vAlign w:val="center"/>
          </w:tcPr>
          <w:p>
            <w:pPr>
              <w:spacing w:line="240" w:lineRule="auto"/>
              <w:jc w:val="left"/>
              <w:rPr>
                <w:kern w:val="0"/>
                <w:sz w:val="18"/>
                <w:szCs w:val="18"/>
              </w:rPr>
            </w:pPr>
            <w:r>
              <w:rPr>
                <w:kern w:val="0"/>
                <w:sz w:val="18"/>
                <w:szCs w:val="18"/>
              </w:rPr>
              <w:t>水温 □；水位（水深） □；流速 □；流量 □；其他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2913" w:type="dxa"/>
            <w:gridSpan w:val="2"/>
            <w:vMerge w:val="restart"/>
            <w:tcBorders>
              <w:tl2br w:val="nil"/>
              <w:tr2bl w:val="nil"/>
            </w:tcBorders>
            <w:noWrap/>
            <w:vAlign w:val="center"/>
          </w:tcPr>
          <w:p>
            <w:pPr>
              <w:spacing w:line="240" w:lineRule="auto"/>
              <w:jc w:val="center"/>
              <w:rPr>
                <w:kern w:val="0"/>
                <w:sz w:val="18"/>
                <w:szCs w:val="18"/>
              </w:rPr>
            </w:pPr>
            <w:r>
              <w:rPr>
                <w:kern w:val="0"/>
                <w:sz w:val="18"/>
                <w:szCs w:val="18"/>
              </w:rPr>
              <w:t>评价等级</w:t>
            </w:r>
          </w:p>
        </w:tc>
        <w:tc>
          <w:tcPr>
            <w:tcW w:w="5788" w:type="dxa"/>
            <w:gridSpan w:val="5"/>
            <w:tcBorders>
              <w:tl2br w:val="nil"/>
              <w:tr2bl w:val="nil"/>
            </w:tcBorders>
            <w:noWrap/>
            <w:vAlign w:val="center"/>
          </w:tcPr>
          <w:p>
            <w:pPr>
              <w:spacing w:line="240" w:lineRule="auto"/>
              <w:jc w:val="center"/>
              <w:rPr>
                <w:kern w:val="0"/>
                <w:sz w:val="18"/>
                <w:szCs w:val="18"/>
              </w:rPr>
            </w:pPr>
            <w:r>
              <w:rPr>
                <w:kern w:val="0"/>
                <w:sz w:val="18"/>
                <w:szCs w:val="18"/>
              </w:rPr>
              <w:t>水污染影响型</w:t>
            </w:r>
          </w:p>
        </w:tc>
        <w:tc>
          <w:tcPr>
            <w:tcW w:w="5517" w:type="dxa"/>
            <w:gridSpan w:val="7"/>
            <w:tcBorders>
              <w:tl2br w:val="nil"/>
              <w:tr2bl w:val="nil"/>
            </w:tcBorders>
            <w:noWrap/>
            <w:vAlign w:val="center"/>
          </w:tcPr>
          <w:p>
            <w:pPr>
              <w:spacing w:line="240" w:lineRule="auto"/>
              <w:jc w:val="center"/>
              <w:rPr>
                <w:kern w:val="0"/>
                <w:sz w:val="18"/>
                <w:szCs w:val="18"/>
              </w:rPr>
            </w:pPr>
            <w:r>
              <w:rPr>
                <w:kern w:val="0"/>
                <w:sz w:val="18"/>
                <w:szCs w:val="18"/>
              </w:rPr>
              <w:t>水文要素影响型</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2913" w:type="dxa"/>
            <w:gridSpan w:val="2"/>
            <w:vMerge w:val="continue"/>
            <w:tcBorders>
              <w:tl2br w:val="nil"/>
              <w:tr2bl w:val="nil"/>
            </w:tcBorders>
            <w:noWrap/>
            <w:vAlign w:val="center"/>
          </w:tcPr>
          <w:p>
            <w:pPr>
              <w:spacing w:line="240" w:lineRule="auto"/>
              <w:jc w:val="center"/>
              <w:rPr>
                <w:kern w:val="0"/>
                <w:sz w:val="18"/>
                <w:szCs w:val="18"/>
              </w:rPr>
            </w:pPr>
          </w:p>
        </w:tc>
        <w:tc>
          <w:tcPr>
            <w:tcW w:w="5788" w:type="dxa"/>
            <w:gridSpan w:val="5"/>
            <w:tcBorders>
              <w:tl2br w:val="nil"/>
              <w:tr2bl w:val="nil"/>
            </w:tcBorders>
            <w:noWrap/>
            <w:vAlign w:val="center"/>
          </w:tcPr>
          <w:p>
            <w:pPr>
              <w:spacing w:line="240" w:lineRule="auto"/>
              <w:jc w:val="left"/>
              <w:rPr>
                <w:kern w:val="0"/>
                <w:sz w:val="18"/>
                <w:szCs w:val="18"/>
              </w:rPr>
            </w:pPr>
            <w:r>
              <w:rPr>
                <w:kern w:val="0"/>
                <w:sz w:val="18"/>
                <w:szCs w:val="18"/>
              </w:rPr>
              <w:t xml:space="preserve">一级 □；二级 □；三级A </w:t>
            </w:r>
            <w:r>
              <w:rPr>
                <w:rFonts w:hint="eastAsia"/>
                <w:kern w:val="0"/>
                <w:sz w:val="18"/>
                <w:szCs w:val="18"/>
              </w:rPr>
              <w:t>□</w:t>
            </w:r>
            <w:r>
              <w:rPr>
                <w:kern w:val="0"/>
                <w:sz w:val="18"/>
                <w:szCs w:val="18"/>
              </w:rPr>
              <w:t xml:space="preserve">；三级B </w:t>
            </w:r>
            <w:r>
              <w:rPr>
                <w:rFonts w:hint="eastAsia"/>
                <w:kern w:val="0"/>
                <w:sz w:val="18"/>
                <w:szCs w:val="18"/>
              </w:rPr>
              <w:t>☑</w:t>
            </w:r>
          </w:p>
        </w:tc>
        <w:tc>
          <w:tcPr>
            <w:tcW w:w="5517" w:type="dxa"/>
            <w:gridSpan w:val="7"/>
            <w:tcBorders>
              <w:tl2br w:val="nil"/>
              <w:tr2bl w:val="nil"/>
            </w:tcBorders>
            <w:noWrap/>
            <w:vAlign w:val="center"/>
          </w:tcPr>
          <w:p>
            <w:pPr>
              <w:spacing w:line="240" w:lineRule="auto"/>
              <w:jc w:val="left"/>
              <w:rPr>
                <w:kern w:val="0"/>
                <w:sz w:val="18"/>
                <w:szCs w:val="18"/>
              </w:rPr>
            </w:pPr>
            <w:r>
              <w:rPr>
                <w:kern w:val="0"/>
                <w:sz w:val="18"/>
                <w:szCs w:val="18"/>
              </w:rPr>
              <w:t>一级 □；二级 □；三级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restart"/>
            <w:tcBorders>
              <w:tl2br w:val="nil"/>
              <w:tr2bl w:val="nil"/>
            </w:tcBorders>
            <w:noWrap/>
            <w:textDirection w:val="tbRlV"/>
            <w:vAlign w:val="center"/>
          </w:tcPr>
          <w:p>
            <w:pPr>
              <w:spacing w:line="240" w:lineRule="auto"/>
              <w:jc w:val="center"/>
              <w:rPr>
                <w:kern w:val="0"/>
                <w:sz w:val="18"/>
                <w:szCs w:val="18"/>
              </w:rPr>
            </w:pPr>
            <w:r>
              <w:rPr>
                <w:kern w:val="0"/>
                <w:sz w:val="18"/>
                <w:szCs w:val="18"/>
              </w:rPr>
              <w:t>现状调查</w:t>
            </w:r>
          </w:p>
        </w:tc>
        <w:tc>
          <w:tcPr>
            <w:tcW w:w="2536" w:type="dxa"/>
            <w:vMerge w:val="restart"/>
            <w:tcBorders>
              <w:tl2br w:val="nil"/>
              <w:tr2bl w:val="nil"/>
            </w:tcBorders>
            <w:noWrap/>
            <w:vAlign w:val="center"/>
          </w:tcPr>
          <w:p>
            <w:pPr>
              <w:spacing w:line="240" w:lineRule="auto"/>
              <w:jc w:val="center"/>
              <w:rPr>
                <w:kern w:val="0"/>
                <w:sz w:val="18"/>
                <w:szCs w:val="18"/>
              </w:rPr>
            </w:pPr>
            <w:r>
              <w:rPr>
                <w:kern w:val="0"/>
                <w:sz w:val="18"/>
                <w:szCs w:val="18"/>
              </w:rPr>
              <w:t>区域污染源</w:t>
            </w:r>
          </w:p>
        </w:tc>
        <w:tc>
          <w:tcPr>
            <w:tcW w:w="5788" w:type="dxa"/>
            <w:gridSpan w:val="5"/>
            <w:tcBorders>
              <w:tl2br w:val="nil"/>
              <w:tr2bl w:val="nil"/>
            </w:tcBorders>
            <w:noWrap/>
            <w:vAlign w:val="center"/>
          </w:tcPr>
          <w:p>
            <w:pPr>
              <w:spacing w:line="240" w:lineRule="auto"/>
              <w:jc w:val="center"/>
              <w:rPr>
                <w:kern w:val="0"/>
                <w:sz w:val="18"/>
                <w:szCs w:val="18"/>
              </w:rPr>
            </w:pPr>
            <w:r>
              <w:rPr>
                <w:kern w:val="0"/>
                <w:sz w:val="18"/>
                <w:szCs w:val="18"/>
              </w:rPr>
              <w:t>调查项目</w:t>
            </w:r>
          </w:p>
        </w:tc>
        <w:tc>
          <w:tcPr>
            <w:tcW w:w="5517" w:type="dxa"/>
            <w:gridSpan w:val="7"/>
            <w:tcBorders>
              <w:tl2br w:val="nil"/>
              <w:tr2bl w:val="nil"/>
            </w:tcBorders>
            <w:noWrap/>
            <w:vAlign w:val="center"/>
          </w:tcPr>
          <w:p>
            <w:pPr>
              <w:spacing w:line="240" w:lineRule="auto"/>
              <w:jc w:val="center"/>
              <w:rPr>
                <w:kern w:val="0"/>
                <w:sz w:val="18"/>
                <w:szCs w:val="18"/>
              </w:rPr>
            </w:pPr>
            <w:r>
              <w:rPr>
                <w:kern w:val="0"/>
                <w:sz w:val="18"/>
                <w:szCs w:val="18"/>
              </w:rPr>
              <w:t>数据来源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4"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continue"/>
            <w:tcBorders>
              <w:tl2br w:val="nil"/>
              <w:tr2bl w:val="nil"/>
            </w:tcBorders>
            <w:noWrap/>
            <w:vAlign w:val="center"/>
          </w:tcPr>
          <w:p>
            <w:pPr>
              <w:spacing w:line="240" w:lineRule="auto"/>
              <w:jc w:val="left"/>
              <w:rPr>
                <w:kern w:val="0"/>
                <w:sz w:val="18"/>
                <w:szCs w:val="18"/>
              </w:rPr>
            </w:pPr>
          </w:p>
        </w:tc>
        <w:tc>
          <w:tcPr>
            <w:tcW w:w="2854" w:type="dxa"/>
            <w:gridSpan w:val="2"/>
            <w:tcBorders>
              <w:tl2br w:val="nil"/>
              <w:tr2bl w:val="nil"/>
            </w:tcBorders>
            <w:noWrap/>
            <w:vAlign w:val="center"/>
          </w:tcPr>
          <w:p>
            <w:pPr>
              <w:spacing w:line="240" w:lineRule="auto"/>
              <w:jc w:val="left"/>
              <w:rPr>
                <w:kern w:val="0"/>
                <w:sz w:val="18"/>
                <w:szCs w:val="18"/>
              </w:rPr>
            </w:pPr>
            <w:r>
              <w:rPr>
                <w:kern w:val="0"/>
                <w:sz w:val="18"/>
                <w:szCs w:val="18"/>
              </w:rPr>
              <w:t>已建 □；在建 □；拟建 □；其他 □</w:t>
            </w:r>
          </w:p>
        </w:tc>
        <w:tc>
          <w:tcPr>
            <w:tcW w:w="2934" w:type="dxa"/>
            <w:gridSpan w:val="3"/>
            <w:tcBorders>
              <w:tl2br w:val="nil"/>
              <w:tr2bl w:val="nil"/>
            </w:tcBorders>
            <w:noWrap/>
            <w:vAlign w:val="center"/>
          </w:tcPr>
          <w:p>
            <w:pPr>
              <w:spacing w:line="240" w:lineRule="auto"/>
              <w:jc w:val="left"/>
              <w:rPr>
                <w:kern w:val="0"/>
                <w:sz w:val="18"/>
                <w:szCs w:val="18"/>
              </w:rPr>
            </w:pPr>
            <w:r>
              <w:rPr>
                <w:kern w:val="0"/>
                <w:sz w:val="18"/>
                <w:szCs w:val="18"/>
              </w:rPr>
              <w:t>拟替代的污染源 □</w:t>
            </w:r>
          </w:p>
        </w:tc>
        <w:tc>
          <w:tcPr>
            <w:tcW w:w="5517" w:type="dxa"/>
            <w:gridSpan w:val="7"/>
            <w:tcBorders>
              <w:tl2br w:val="nil"/>
              <w:tr2bl w:val="nil"/>
            </w:tcBorders>
            <w:noWrap/>
            <w:vAlign w:val="center"/>
          </w:tcPr>
          <w:p>
            <w:pPr>
              <w:spacing w:line="240" w:lineRule="auto"/>
              <w:jc w:val="left"/>
              <w:rPr>
                <w:kern w:val="0"/>
                <w:sz w:val="18"/>
                <w:szCs w:val="18"/>
              </w:rPr>
            </w:pPr>
            <w:r>
              <w:rPr>
                <w:kern w:val="0"/>
                <w:sz w:val="18"/>
                <w:szCs w:val="18"/>
              </w:rPr>
              <w:t>排污许可证 □；环评 □；环保验收 □；既有实测 □；现场监测 □；入河排放口数据 □；其他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restart"/>
            <w:tcBorders>
              <w:tl2br w:val="nil"/>
              <w:tr2bl w:val="nil"/>
            </w:tcBorders>
            <w:noWrap/>
            <w:vAlign w:val="center"/>
          </w:tcPr>
          <w:p>
            <w:pPr>
              <w:spacing w:line="240" w:lineRule="auto"/>
              <w:jc w:val="center"/>
              <w:rPr>
                <w:kern w:val="0"/>
                <w:sz w:val="18"/>
                <w:szCs w:val="18"/>
              </w:rPr>
            </w:pPr>
            <w:r>
              <w:rPr>
                <w:kern w:val="0"/>
                <w:sz w:val="18"/>
                <w:szCs w:val="18"/>
              </w:rPr>
              <w:t>受影响水体水环境质量　</w:t>
            </w:r>
          </w:p>
        </w:tc>
        <w:tc>
          <w:tcPr>
            <w:tcW w:w="5788" w:type="dxa"/>
            <w:gridSpan w:val="5"/>
            <w:tcBorders>
              <w:tl2br w:val="nil"/>
              <w:tr2bl w:val="nil"/>
            </w:tcBorders>
            <w:noWrap/>
            <w:vAlign w:val="center"/>
          </w:tcPr>
          <w:p>
            <w:pPr>
              <w:spacing w:line="240" w:lineRule="auto"/>
              <w:jc w:val="center"/>
              <w:rPr>
                <w:kern w:val="0"/>
                <w:sz w:val="18"/>
                <w:szCs w:val="18"/>
              </w:rPr>
            </w:pPr>
            <w:r>
              <w:rPr>
                <w:kern w:val="0"/>
                <w:sz w:val="18"/>
                <w:szCs w:val="18"/>
              </w:rPr>
              <w:t>调查时期</w:t>
            </w:r>
          </w:p>
        </w:tc>
        <w:tc>
          <w:tcPr>
            <w:tcW w:w="5517" w:type="dxa"/>
            <w:gridSpan w:val="7"/>
            <w:tcBorders>
              <w:tl2br w:val="nil"/>
              <w:tr2bl w:val="nil"/>
            </w:tcBorders>
            <w:noWrap/>
            <w:vAlign w:val="center"/>
          </w:tcPr>
          <w:p>
            <w:pPr>
              <w:spacing w:line="240" w:lineRule="auto"/>
              <w:jc w:val="center"/>
              <w:rPr>
                <w:kern w:val="0"/>
                <w:sz w:val="18"/>
                <w:szCs w:val="18"/>
              </w:rPr>
            </w:pPr>
            <w:r>
              <w:rPr>
                <w:kern w:val="0"/>
                <w:sz w:val="18"/>
                <w:szCs w:val="18"/>
              </w:rPr>
              <w:t>数据来源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27"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continue"/>
            <w:tcBorders>
              <w:tl2br w:val="nil"/>
              <w:tr2bl w:val="nil"/>
            </w:tcBorders>
            <w:noWrap/>
            <w:vAlign w:val="center"/>
          </w:tcPr>
          <w:p>
            <w:pPr>
              <w:spacing w:line="240" w:lineRule="auto"/>
              <w:jc w:val="center"/>
              <w:rPr>
                <w:kern w:val="0"/>
                <w:sz w:val="18"/>
                <w:szCs w:val="18"/>
              </w:rPr>
            </w:pPr>
          </w:p>
        </w:tc>
        <w:tc>
          <w:tcPr>
            <w:tcW w:w="5788" w:type="dxa"/>
            <w:gridSpan w:val="5"/>
            <w:tcBorders>
              <w:tl2br w:val="nil"/>
              <w:tr2bl w:val="nil"/>
            </w:tcBorders>
            <w:noWrap/>
            <w:vAlign w:val="center"/>
          </w:tcPr>
          <w:p>
            <w:pPr>
              <w:spacing w:line="240" w:lineRule="auto"/>
              <w:jc w:val="left"/>
              <w:rPr>
                <w:kern w:val="0"/>
                <w:sz w:val="18"/>
                <w:szCs w:val="18"/>
              </w:rPr>
            </w:pPr>
            <w:r>
              <w:rPr>
                <w:kern w:val="0"/>
                <w:sz w:val="18"/>
                <w:szCs w:val="18"/>
              </w:rPr>
              <w:t>丰水期 □；平水期 □；枯水期 □；冰封期 □</w:t>
            </w:r>
            <w:r>
              <w:rPr>
                <w:kern w:val="0"/>
                <w:sz w:val="18"/>
                <w:szCs w:val="18"/>
              </w:rPr>
              <w:br w:type="textWrapping"/>
            </w:r>
            <w:r>
              <w:rPr>
                <w:kern w:val="0"/>
                <w:sz w:val="18"/>
                <w:szCs w:val="18"/>
              </w:rPr>
              <w:t>春季 □；夏季 □；秋季 □；冬季 □</w:t>
            </w:r>
          </w:p>
        </w:tc>
        <w:tc>
          <w:tcPr>
            <w:tcW w:w="5517" w:type="dxa"/>
            <w:gridSpan w:val="7"/>
            <w:tcBorders>
              <w:tl2br w:val="nil"/>
              <w:tr2bl w:val="nil"/>
            </w:tcBorders>
            <w:noWrap/>
            <w:vAlign w:val="center"/>
          </w:tcPr>
          <w:p>
            <w:pPr>
              <w:spacing w:line="240" w:lineRule="auto"/>
              <w:jc w:val="center"/>
              <w:rPr>
                <w:kern w:val="0"/>
                <w:sz w:val="18"/>
                <w:szCs w:val="18"/>
              </w:rPr>
            </w:pPr>
            <w:r>
              <w:rPr>
                <w:kern w:val="0"/>
                <w:sz w:val="18"/>
                <w:szCs w:val="18"/>
              </w:rPr>
              <w:t>生态环境保护主管部门 □；补充监测 □；其他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tcBorders>
              <w:tl2br w:val="nil"/>
              <w:tr2bl w:val="nil"/>
            </w:tcBorders>
            <w:noWrap/>
            <w:vAlign w:val="center"/>
          </w:tcPr>
          <w:p>
            <w:pPr>
              <w:spacing w:line="240" w:lineRule="auto"/>
              <w:jc w:val="center"/>
              <w:rPr>
                <w:kern w:val="0"/>
                <w:sz w:val="18"/>
                <w:szCs w:val="18"/>
              </w:rPr>
            </w:pPr>
            <w:r>
              <w:rPr>
                <w:kern w:val="0"/>
                <w:sz w:val="18"/>
                <w:szCs w:val="18"/>
              </w:rPr>
              <w:t>区域水资源开发利用状况</w:t>
            </w:r>
          </w:p>
        </w:tc>
        <w:tc>
          <w:tcPr>
            <w:tcW w:w="11305" w:type="dxa"/>
            <w:gridSpan w:val="12"/>
            <w:tcBorders>
              <w:tl2br w:val="nil"/>
              <w:tr2bl w:val="nil"/>
            </w:tcBorders>
            <w:noWrap/>
            <w:vAlign w:val="center"/>
          </w:tcPr>
          <w:p>
            <w:pPr>
              <w:spacing w:line="240" w:lineRule="auto"/>
              <w:jc w:val="left"/>
              <w:rPr>
                <w:kern w:val="0"/>
                <w:sz w:val="18"/>
                <w:szCs w:val="18"/>
              </w:rPr>
            </w:pPr>
            <w:r>
              <w:rPr>
                <w:kern w:val="0"/>
                <w:sz w:val="18"/>
                <w:szCs w:val="18"/>
              </w:rPr>
              <w:t>未开发 □；开发量40%以下 □；开发量40%以上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restart"/>
            <w:tcBorders>
              <w:tl2br w:val="nil"/>
              <w:tr2bl w:val="nil"/>
            </w:tcBorders>
            <w:noWrap/>
            <w:vAlign w:val="center"/>
          </w:tcPr>
          <w:p>
            <w:pPr>
              <w:spacing w:line="240" w:lineRule="auto"/>
              <w:jc w:val="center"/>
              <w:rPr>
                <w:kern w:val="0"/>
                <w:sz w:val="18"/>
                <w:szCs w:val="18"/>
              </w:rPr>
            </w:pPr>
            <w:r>
              <w:rPr>
                <w:kern w:val="0"/>
                <w:sz w:val="18"/>
                <w:szCs w:val="18"/>
              </w:rPr>
              <w:t>水文情势调查　</w:t>
            </w:r>
          </w:p>
        </w:tc>
        <w:tc>
          <w:tcPr>
            <w:tcW w:w="5788" w:type="dxa"/>
            <w:gridSpan w:val="5"/>
            <w:tcBorders>
              <w:tl2br w:val="nil"/>
              <w:tr2bl w:val="nil"/>
            </w:tcBorders>
            <w:noWrap/>
            <w:vAlign w:val="center"/>
          </w:tcPr>
          <w:p>
            <w:pPr>
              <w:spacing w:line="240" w:lineRule="auto"/>
              <w:jc w:val="center"/>
              <w:rPr>
                <w:kern w:val="0"/>
                <w:sz w:val="18"/>
                <w:szCs w:val="18"/>
              </w:rPr>
            </w:pPr>
            <w:r>
              <w:rPr>
                <w:kern w:val="0"/>
                <w:sz w:val="18"/>
                <w:szCs w:val="18"/>
              </w:rPr>
              <w:t>调查时期</w:t>
            </w:r>
          </w:p>
        </w:tc>
        <w:tc>
          <w:tcPr>
            <w:tcW w:w="5517" w:type="dxa"/>
            <w:gridSpan w:val="7"/>
            <w:tcBorders>
              <w:tl2br w:val="nil"/>
              <w:tr2bl w:val="nil"/>
            </w:tcBorders>
            <w:noWrap/>
            <w:vAlign w:val="center"/>
          </w:tcPr>
          <w:p>
            <w:pPr>
              <w:spacing w:line="240" w:lineRule="auto"/>
              <w:jc w:val="center"/>
              <w:rPr>
                <w:kern w:val="0"/>
                <w:sz w:val="18"/>
                <w:szCs w:val="18"/>
              </w:rPr>
            </w:pPr>
            <w:r>
              <w:rPr>
                <w:kern w:val="0"/>
                <w:sz w:val="18"/>
                <w:szCs w:val="18"/>
              </w:rPr>
              <w:t>数据来源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97"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continue"/>
            <w:tcBorders>
              <w:tl2br w:val="nil"/>
              <w:tr2bl w:val="nil"/>
            </w:tcBorders>
            <w:noWrap/>
            <w:vAlign w:val="center"/>
          </w:tcPr>
          <w:p>
            <w:pPr>
              <w:spacing w:line="240" w:lineRule="auto"/>
              <w:jc w:val="center"/>
              <w:rPr>
                <w:kern w:val="0"/>
                <w:sz w:val="18"/>
                <w:szCs w:val="18"/>
              </w:rPr>
            </w:pPr>
          </w:p>
        </w:tc>
        <w:tc>
          <w:tcPr>
            <w:tcW w:w="5788" w:type="dxa"/>
            <w:gridSpan w:val="5"/>
            <w:tcBorders>
              <w:tl2br w:val="nil"/>
              <w:tr2bl w:val="nil"/>
            </w:tcBorders>
            <w:noWrap/>
            <w:vAlign w:val="center"/>
          </w:tcPr>
          <w:p>
            <w:pPr>
              <w:spacing w:line="240" w:lineRule="auto"/>
              <w:jc w:val="left"/>
              <w:rPr>
                <w:kern w:val="0"/>
                <w:sz w:val="18"/>
                <w:szCs w:val="18"/>
              </w:rPr>
            </w:pPr>
            <w:r>
              <w:rPr>
                <w:kern w:val="0"/>
                <w:sz w:val="18"/>
                <w:szCs w:val="18"/>
              </w:rPr>
              <w:t>丰水期 □；平水期 □；枯水期 □；冰封期 □</w:t>
            </w:r>
            <w:r>
              <w:rPr>
                <w:kern w:val="0"/>
                <w:sz w:val="18"/>
                <w:szCs w:val="18"/>
              </w:rPr>
              <w:br w:type="textWrapping"/>
            </w:r>
            <w:r>
              <w:rPr>
                <w:kern w:val="0"/>
                <w:sz w:val="18"/>
                <w:szCs w:val="18"/>
              </w:rPr>
              <w:t>春季 □；夏季 □；秋季 □；冬季 □</w:t>
            </w:r>
          </w:p>
        </w:tc>
        <w:tc>
          <w:tcPr>
            <w:tcW w:w="5517" w:type="dxa"/>
            <w:gridSpan w:val="7"/>
            <w:tcBorders>
              <w:tl2br w:val="nil"/>
              <w:tr2bl w:val="nil"/>
            </w:tcBorders>
            <w:noWrap/>
            <w:vAlign w:val="center"/>
          </w:tcPr>
          <w:p>
            <w:pPr>
              <w:spacing w:line="240" w:lineRule="auto"/>
              <w:jc w:val="left"/>
              <w:rPr>
                <w:kern w:val="0"/>
                <w:sz w:val="18"/>
                <w:szCs w:val="18"/>
              </w:rPr>
            </w:pPr>
            <w:r>
              <w:rPr>
                <w:kern w:val="0"/>
                <w:sz w:val="18"/>
                <w:szCs w:val="18"/>
              </w:rPr>
              <w:t>水行政主管部门 □；补充监测 □；其他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restart"/>
            <w:tcBorders>
              <w:tl2br w:val="nil"/>
              <w:tr2bl w:val="nil"/>
            </w:tcBorders>
            <w:noWrap/>
            <w:vAlign w:val="center"/>
          </w:tcPr>
          <w:p>
            <w:pPr>
              <w:spacing w:line="240" w:lineRule="auto"/>
              <w:jc w:val="center"/>
              <w:rPr>
                <w:kern w:val="0"/>
                <w:sz w:val="18"/>
                <w:szCs w:val="18"/>
              </w:rPr>
            </w:pPr>
            <w:r>
              <w:rPr>
                <w:kern w:val="0"/>
                <w:sz w:val="18"/>
                <w:szCs w:val="18"/>
              </w:rPr>
              <w:t>补充监测　</w:t>
            </w:r>
          </w:p>
        </w:tc>
        <w:tc>
          <w:tcPr>
            <w:tcW w:w="5788" w:type="dxa"/>
            <w:gridSpan w:val="5"/>
            <w:tcBorders>
              <w:tl2br w:val="nil"/>
              <w:tr2bl w:val="nil"/>
            </w:tcBorders>
            <w:noWrap/>
            <w:vAlign w:val="center"/>
          </w:tcPr>
          <w:p>
            <w:pPr>
              <w:spacing w:line="240" w:lineRule="auto"/>
              <w:jc w:val="center"/>
              <w:rPr>
                <w:kern w:val="0"/>
                <w:sz w:val="18"/>
                <w:szCs w:val="18"/>
              </w:rPr>
            </w:pPr>
            <w:r>
              <w:rPr>
                <w:kern w:val="0"/>
                <w:sz w:val="18"/>
                <w:szCs w:val="18"/>
              </w:rPr>
              <w:t>监测时期</w:t>
            </w:r>
          </w:p>
        </w:tc>
        <w:tc>
          <w:tcPr>
            <w:tcW w:w="3157" w:type="dxa"/>
            <w:gridSpan w:val="5"/>
            <w:tcBorders>
              <w:tl2br w:val="nil"/>
              <w:tr2bl w:val="nil"/>
            </w:tcBorders>
            <w:noWrap/>
            <w:vAlign w:val="center"/>
          </w:tcPr>
          <w:p>
            <w:pPr>
              <w:spacing w:line="240" w:lineRule="auto"/>
              <w:jc w:val="center"/>
              <w:rPr>
                <w:kern w:val="0"/>
                <w:sz w:val="18"/>
                <w:szCs w:val="18"/>
              </w:rPr>
            </w:pPr>
            <w:r>
              <w:rPr>
                <w:kern w:val="0"/>
                <w:sz w:val="18"/>
                <w:szCs w:val="18"/>
              </w:rPr>
              <w:t>监测因子</w:t>
            </w:r>
          </w:p>
        </w:tc>
        <w:tc>
          <w:tcPr>
            <w:tcW w:w="2360" w:type="dxa"/>
            <w:gridSpan w:val="2"/>
            <w:tcBorders>
              <w:tl2br w:val="nil"/>
              <w:tr2bl w:val="nil"/>
            </w:tcBorders>
            <w:noWrap/>
            <w:vAlign w:val="center"/>
          </w:tcPr>
          <w:p>
            <w:pPr>
              <w:spacing w:line="240" w:lineRule="auto"/>
              <w:jc w:val="center"/>
              <w:rPr>
                <w:kern w:val="0"/>
                <w:sz w:val="18"/>
                <w:szCs w:val="18"/>
              </w:rPr>
            </w:pPr>
            <w:r>
              <w:rPr>
                <w:kern w:val="0"/>
                <w:sz w:val="18"/>
                <w:szCs w:val="18"/>
              </w:rPr>
              <w:t>监测断面或点位</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continue"/>
            <w:tcBorders>
              <w:tl2br w:val="nil"/>
              <w:tr2bl w:val="nil"/>
            </w:tcBorders>
            <w:noWrap/>
            <w:vAlign w:val="center"/>
          </w:tcPr>
          <w:p>
            <w:pPr>
              <w:spacing w:line="240" w:lineRule="auto"/>
              <w:jc w:val="center"/>
              <w:rPr>
                <w:kern w:val="0"/>
                <w:sz w:val="18"/>
                <w:szCs w:val="18"/>
              </w:rPr>
            </w:pPr>
          </w:p>
        </w:tc>
        <w:tc>
          <w:tcPr>
            <w:tcW w:w="5788" w:type="dxa"/>
            <w:gridSpan w:val="5"/>
            <w:tcBorders>
              <w:tl2br w:val="nil"/>
              <w:tr2bl w:val="nil"/>
            </w:tcBorders>
            <w:noWrap/>
            <w:vAlign w:val="center"/>
          </w:tcPr>
          <w:p>
            <w:pPr>
              <w:spacing w:line="240" w:lineRule="auto"/>
              <w:jc w:val="left"/>
              <w:rPr>
                <w:kern w:val="0"/>
                <w:sz w:val="18"/>
                <w:szCs w:val="18"/>
              </w:rPr>
            </w:pPr>
            <w:r>
              <w:rPr>
                <w:kern w:val="0"/>
                <w:sz w:val="18"/>
                <w:szCs w:val="18"/>
              </w:rPr>
              <w:t>丰水期 □；平水期 □；枯水期 □；冰封期 □</w:t>
            </w:r>
            <w:r>
              <w:rPr>
                <w:kern w:val="0"/>
                <w:sz w:val="18"/>
                <w:szCs w:val="18"/>
              </w:rPr>
              <w:br w:type="textWrapping"/>
            </w:r>
            <w:r>
              <w:rPr>
                <w:kern w:val="0"/>
                <w:sz w:val="18"/>
                <w:szCs w:val="18"/>
              </w:rPr>
              <w:t>春季 □；夏季 □；秋季 □；冬季 □</w:t>
            </w:r>
          </w:p>
        </w:tc>
        <w:tc>
          <w:tcPr>
            <w:tcW w:w="3157" w:type="dxa"/>
            <w:gridSpan w:val="5"/>
            <w:tcBorders>
              <w:tl2br w:val="nil"/>
              <w:tr2bl w:val="nil"/>
            </w:tcBorders>
            <w:noWrap/>
            <w:vAlign w:val="center"/>
          </w:tcPr>
          <w:p>
            <w:pPr>
              <w:spacing w:line="240" w:lineRule="auto"/>
              <w:jc w:val="left"/>
              <w:rPr>
                <w:kern w:val="0"/>
                <w:sz w:val="18"/>
                <w:szCs w:val="18"/>
              </w:rPr>
            </w:pPr>
            <w:r>
              <w:rPr>
                <w:kern w:val="0"/>
                <w:sz w:val="18"/>
                <w:szCs w:val="18"/>
              </w:rPr>
              <w:t>（   ）</w:t>
            </w:r>
          </w:p>
        </w:tc>
        <w:tc>
          <w:tcPr>
            <w:tcW w:w="2360" w:type="dxa"/>
            <w:gridSpan w:val="2"/>
            <w:tcBorders>
              <w:tl2br w:val="nil"/>
              <w:tr2bl w:val="nil"/>
            </w:tcBorders>
            <w:noWrap/>
            <w:vAlign w:val="center"/>
          </w:tcPr>
          <w:p>
            <w:pPr>
              <w:spacing w:line="240" w:lineRule="auto"/>
              <w:jc w:val="left"/>
              <w:rPr>
                <w:kern w:val="0"/>
                <w:sz w:val="18"/>
                <w:szCs w:val="18"/>
              </w:rPr>
            </w:pPr>
            <w:r>
              <w:rPr>
                <w:kern w:val="0"/>
                <w:sz w:val="18"/>
                <w:szCs w:val="18"/>
              </w:rPr>
              <w:t>监测断面或点位个数（   ）个</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restart"/>
            <w:tcBorders>
              <w:tl2br w:val="nil"/>
              <w:tr2bl w:val="nil"/>
            </w:tcBorders>
            <w:noWrap/>
            <w:textDirection w:val="tbRlV"/>
            <w:vAlign w:val="center"/>
          </w:tcPr>
          <w:p>
            <w:pPr>
              <w:spacing w:line="240" w:lineRule="auto"/>
              <w:jc w:val="center"/>
              <w:rPr>
                <w:kern w:val="0"/>
                <w:sz w:val="18"/>
                <w:szCs w:val="18"/>
              </w:rPr>
            </w:pPr>
            <w:r>
              <w:rPr>
                <w:kern w:val="0"/>
                <w:sz w:val="18"/>
                <w:szCs w:val="18"/>
              </w:rPr>
              <w:t>现状评价</w:t>
            </w:r>
          </w:p>
        </w:tc>
        <w:tc>
          <w:tcPr>
            <w:tcW w:w="2536" w:type="dxa"/>
            <w:tcBorders>
              <w:tl2br w:val="nil"/>
              <w:tr2bl w:val="nil"/>
            </w:tcBorders>
            <w:noWrap/>
            <w:vAlign w:val="center"/>
          </w:tcPr>
          <w:p>
            <w:pPr>
              <w:spacing w:line="240" w:lineRule="auto"/>
              <w:jc w:val="center"/>
              <w:rPr>
                <w:kern w:val="0"/>
                <w:sz w:val="18"/>
                <w:szCs w:val="18"/>
              </w:rPr>
            </w:pPr>
            <w:r>
              <w:rPr>
                <w:kern w:val="0"/>
                <w:sz w:val="18"/>
                <w:szCs w:val="18"/>
              </w:rPr>
              <w:t>评价范围</w:t>
            </w:r>
          </w:p>
        </w:tc>
        <w:tc>
          <w:tcPr>
            <w:tcW w:w="11305" w:type="dxa"/>
            <w:gridSpan w:val="12"/>
            <w:tcBorders>
              <w:tl2br w:val="nil"/>
              <w:tr2bl w:val="nil"/>
            </w:tcBorders>
            <w:noWrap/>
            <w:vAlign w:val="center"/>
          </w:tcPr>
          <w:p>
            <w:pPr>
              <w:spacing w:line="240" w:lineRule="auto"/>
              <w:jc w:val="left"/>
              <w:rPr>
                <w:kern w:val="0"/>
                <w:sz w:val="18"/>
                <w:szCs w:val="18"/>
              </w:rPr>
            </w:pPr>
            <w:r>
              <w:rPr>
                <w:kern w:val="0"/>
                <w:sz w:val="18"/>
                <w:szCs w:val="18"/>
              </w:rPr>
              <w:t>河流：长度（  ）km；湖库、河口及近岸海域：面积（   ）km</w:t>
            </w:r>
            <w:r>
              <w:rPr>
                <w:kern w:val="0"/>
                <w:sz w:val="18"/>
                <w:szCs w:val="18"/>
                <w:vertAlign w:val="superscript"/>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tcBorders>
              <w:tl2br w:val="nil"/>
              <w:tr2bl w:val="nil"/>
            </w:tcBorders>
            <w:noWrap/>
            <w:vAlign w:val="center"/>
          </w:tcPr>
          <w:p>
            <w:pPr>
              <w:spacing w:line="240" w:lineRule="auto"/>
              <w:jc w:val="center"/>
              <w:rPr>
                <w:kern w:val="0"/>
                <w:sz w:val="18"/>
                <w:szCs w:val="18"/>
              </w:rPr>
            </w:pPr>
            <w:r>
              <w:rPr>
                <w:kern w:val="0"/>
                <w:sz w:val="18"/>
                <w:szCs w:val="18"/>
              </w:rPr>
              <w:t>评价因子</w:t>
            </w:r>
          </w:p>
        </w:tc>
        <w:tc>
          <w:tcPr>
            <w:tcW w:w="11305" w:type="dxa"/>
            <w:gridSpan w:val="12"/>
            <w:tcBorders>
              <w:tl2br w:val="nil"/>
              <w:tr2bl w:val="nil"/>
            </w:tcBorders>
            <w:noWrap/>
            <w:vAlign w:val="center"/>
          </w:tcPr>
          <w:p>
            <w:pPr>
              <w:spacing w:line="240" w:lineRule="auto"/>
              <w:jc w:val="left"/>
              <w:rPr>
                <w:kern w:val="0"/>
                <w:sz w:val="18"/>
                <w:szCs w:val="18"/>
              </w:rPr>
            </w:pPr>
            <w:r>
              <w:rPr>
                <w:kern w:val="0"/>
                <w:sz w:val="18"/>
                <w:szCs w:val="18"/>
              </w:rPr>
              <w:t>（ pH、COD、BOD</w:t>
            </w:r>
            <w:r>
              <w:rPr>
                <w:kern w:val="0"/>
                <w:sz w:val="18"/>
                <w:szCs w:val="18"/>
                <w:vertAlign w:val="subscript"/>
              </w:rPr>
              <w:t>5</w:t>
            </w:r>
            <w:r>
              <w:rPr>
                <w:kern w:val="0"/>
                <w:sz w:val="18"/>
                <w:szCs w:val="18"/>
              </w:rPr>
              <w:t>、SS、NH</w:t>
            </w:r>
            <w:r>
              <w:rPr>
                <w:kern w:val="0"/>
                <w:sz w:val="18"/>
                <w:szCs w:val="18"/>
                <w:vertAlign w:val="subscript"/>
              </w:rPr>
              <w:t>3</w:t>
            </w:r>
            <w:r>
              <w:rPr>
                <w:kern w:val="0"/>
                <w:sz w:val="18"/>
                <w:szCs w:val="18"/>
              </w:rPr>
              <w:t>-N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tcBorders>
              <w:tl2br w:val="nil"/>
              <w:tr2bl w:val="nil"/>
            </w:tcBorders>
            <w:noWrap/>
            <w:vAlign w:val="center"/>
          </w:tcPr>
          <w:p>
            <w:pPr>
              <w:spacing w:line="240" w:lineRule="auto"/>
              <w:jc w:val="center"/>
              <w:rPr>
                <w:kern w:val="0"/>
                <w:sz w:val="18"/>
                <w:szCs w:val="18"/>
              </w:rPr>
            </w:pPr>
            <w:r>
              <w:rPr>
                <w:kern w:val="0"/>
                <w:sz w:val="18"/>
                <w:szCs w:val="18"/>
              </w:rPr>
              <w:t>评价标准</w:t>
            </w:r>
          </w:p>
        </w:tc>
        <w:tc>
          <w:tcPr>
            <w:tcW w:w="11305" w:type="dxa"/>
            <w:gridSpan w:val="12"/>
            <w:tcBorders>
              <w:tl2br w:val="nil"/>
              <w:tr2bl w:val="nil"/>
            </w:tcBorders>
            <w:noWrap/>
            <w:vAlign w:val="center"/>
          </w:tcPr>
          <w:p>
            <w:pPr>
              <w:spacing w:line="240" w:lineRule="auto"/>
              <w:jc w:val="left"/>
              <w:rPr>
                <w:kern w:val="0"/>
                <w:sz w:val="18"/>
                <w:szCs w:val="18"/>
              </w:rPr>
            </w:pPr>
            <w:r>
              <w:rPr>
                <w:kern w:val="0"/>
                <w:sz w:val="18"/>
                <w:szCs w:val="18"/>
              </w:rPr>
              <w:t xml:space="preserve">河流、湖库、河口：Ⅰ类 □；Ⅱ类 □；Ⅲ类 </w:t>
            </w:r>
            <w:r>
              <w:rPr>
                <w:rFonts w:eastAsia="MS Mincho"/>
                <w:kern w:val="0"/>
                <w:sz w:val="18"/>
                <w:szCs w:val="18"/>
              </w:rPr>
              <w:t>☑</w:t>
            </w:r>
            <w:r>
              <w:rPr>
                <w:kern w:val="0"/>
                <w:sz w:val="18"/>
                <w:szCs w:val="18"/>
              </w:rPr>
              <w:t>；Ⅳ类 □；Ⅴ类 □</w:t>
            </w:r>
          </w:p>
          <w:p>
            <w:pPr>
              <w:spacing w:line="240" w:lineRule="auto"/>
              <w:jc w:val="left"/>
              <w:rPr>
                <w:kern w:val="0"/>
                <w:sz w:val="18"/>
                <w:szCs w:val="18"/>
              </w:rPr>
            </w:pPr>
            <w:r>
              <w:rPr>
                <w:kern w:val="0"/>
                <w:sz w:val="18"/>
                <w:szCs w:val="18"/>
              </w:rPr>
              <w:t>近岸海域：第一类 □；第二类 □；第三类 □；第四类 □</w:t>
            </w:r>
          </w:p>
          <w:p>
            <w:pPr>
              <w:spacing w:line="240" w:lineRule="auto"/>
              <w:jc w:val="left"/>
              <w:rPr>
                <w:kern w:val="0"/>
                <w:sz w:val="18"/>
                <w:szCs w:val="18"/>
              </w:rPr>
            </w:pPr>
            <w:r>
              <w:rPr>
                <w:kern w:val="0"/>
                <w:sz w:val="18"/>
                <w:szCs w:val="18"/>
              </w:rPr>
              <w:t>规划年评价标准（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tcBorders>
              <w:tl2br w:val="nil"/>
              <w:tr2bl w:val="nil"/>
            </w:tcBorders>
            <w:noWrap/>
            <w:vAlign w:val="center"/>
          </w:tcPr>
          <w:p>
            <w:pPr>
              <w:spacing w:line="240" w:lineRule="auto"/>
              <w:jc w:val="center"/>
              <w:rPr>
                <w:kern w:val="0"/>
                <w:sz w:val="18"/>
                <w:szCs w:val="18"/>
              </w:rPr>
            </w:pPr>
            <w:r>
              <w:rPr>
                <w:kern w:val="0"/>
                <w:sz w:val="18"/>
                <w:szCs w:val="18"/>
              </w:rPr>
              <w:t>评价时期</w:t>
            </w:r>
          </w:p>
        </w:tc>
        <w:tc>
          <w:tcPr>
            <w:tcW w:w="11305" w:type="dxa"/>
            <w:gridSpan w:val="12"/>
            <w:tcBorders>
              <w:tl2br w:val="nil"/>
              <w:tr2bl w:val="nil"/>
            </w:tcBorders>
            <w:noWrap/>
            <w:vAlign w:val="center"/>
          </w:tcPr>
          <w:p>
            <w:pPr>
              <w:spacing w:line="240" w:lineRule="auto"/>
              <w:jc w:val="left"/>
              <w:rPr>
                <w:kern w:val="0"/>
                <w:sz w:val="18"/>
                <w:szCs w:val="18"/>
              </w:rPr>
            </w:pPr>
            <w:r>
              <w:rPr>
                <w:kern w:val="0"/>
                <w:sz w:val="18"/>
                <w:szCs w:val="18"/>
              </w:rPr>
              <w:t xml:space="preserve">丰水期 □；平水期 □；枯水期 </w:t>
            </w:r>
            <w:r>
              <w:rPr>
                <w:rFonts w:eastAsia="MS Mincho"/>
                <w:kern w:val="0"/>
                <w:sz w:val="18"/>
                <w:szCs w:val="18"/>
              </w:rPr>
              <w:t>☑</w:t>
            </w:r>
            <w:r>
              <w:rPr>
                <w:kern w:val="0"/>
                <w:sz w:val="18"/>
                <w:szCs w:val="18"/>
              </w:rPr>
              <w:t>；冰封期 □</w:t>
            </w:r>
            <w:r>
              <w:rPr>
                <w:kern w:val="0"/>
                <w:sz w:val="18"/>
                <w:szCs w:val="18"/>
              </w:rPr>
              <w:br w:type="textWrapping"/>
            </w:r>
            <w:r>
              <w:rPr>
                <w:kern w:val="0"/>
                <w:sz w:val="18"/>
                <w:szCs w:val="18"/>
              </w:rPr>
              <w:t>春季 □；夏季 □；秋季 □；冬季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713"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tcBorders>
              <w:tl2br w:val="nil"/>
              <w:tr2bl w:val="nil"/>
            </w:tcBorders>
            <w:noWrap/>
            <w:vAlign w:val="center"/>
          </w:tcPr>
          <w:p>
            <w:pPr>
              <w:spacing w:line="240" w:lineRule="auto"/>
              <w:jc w:val="center"/>
              <w:rPr>
                <w:kern w:val="0"/>
                <w:sz w:val="18"/>
                <w:szCs w:val="18"/>
              </w:rPr>
            </w:pPr>
            <w:r>
              <w:rPr>
                <w:kern w:val="0"/>
                <w:sz w:val="18"/>
                <w:szCs w:val="18"/>
              </w:rPr>
              <w:t>评价结论</w:t>
            </w:r>
          </w:p>
        </w:tc>
        <w:tc>
          <w:tcPr>
            <w:tcW w:w="9412" w:type="dxa"/>
            <w:gridSpan w:val="11"/>
            <w:tcBorders>
              <w:tl2br w:val="nil"/>
              <w:tr2bl w:val="nil"/>
            </w:tcBorders>
            <w:noWrap/>
            <w:vAlign w:val="center"/>
          </w:tcPr>
          <w:p>
            <w:pPr>
              <w:spacing w:line="240" w:lineRule="auto"/>
              <w:jc w:val="left"/>
              <w:rPr>
                <w:kern w:val="0"/>
                <w:sz w:val="18"/>
                <w:szCs w:val="18"/>
              </w:rPr>
            </w:pPr>
            <w:r>
              <w:rPr>
                <w:kern w:val="0"/>
                <w:sz w:val="18"/>
                <w:szCs w:val="18"/>
              </w:rPr>
              <w:t>水环境功能区或水功能区、近岸海域环境功能区水质达标状况 □：达标 □；不达标 □</w:t>
            </w:r>
            <w:r>
              <w:rPr>
                <w:kern w:val="0"/>
                <w:sz w:val="18"/>
                <w:szCs w:val="18"/>
              </w:rPr>
              <w:br w:type="textWrapping"/>
            </w:r>
            <w:r>
              <w:rPr>
                <w:kern w:val="0"/>
                <w:sz w:val="18"/>
                <w:szCs w:val="18"/>
              </w:rPr>
              <w:t xml:space="preserve">水环境控制单元或断面水质达标状况 □：达标 </w:t>
            </w:r>
            <w:r>
              <w:rPr>
                <w:rFonts w:hint="eastAsia"/>
                <w:kern w:val="0"/>
                <w:sz w:val="18"/>
                <w:szCs w:val="18"/>
              </w:rPr>
              <w:t>□</w:t>
            </w:r>
            <w:r>
              <w:rPr>
                <w:kern w:val="0"/>
                <w:sz w:val="18"/>
                <w:szCs w:val="18"/>
              </w:rPr>
              <w:t>；不达标 □</w:t>
            </w:r>
            <w:r>
              <w:rPr>
                <w:kern w:val="0"/>
                <w:sz w:val="18"/>
                <w:szCs w:val="18"/>
              </w:rPr>
              <w:br w:type="textWrapping"/>
            </w:r>
            <w:r>
              <w:rPr>
                <w:kern w:val="0"/>
                <w:sz w:val="18"/>
                <w:szCs w:val="18"/>
              </w:rPr>
              <w:t xml:space="preserve">水环境保护目标质量状况 ：达标 </w:t>
            </w:r>
            <w:r>
              <w:rPr>
                <w:rFonts w:hint="eastAsia"/>
                <w:kern w:val="0"/>
                <w:sz w:val="18"/>
                <w:szCs w:val="18"/>
                <w:lang w:eastAsia="zh-CN"/>
              </w:rPr>
              <w:t>☑</w:t>
            </w:r>
            <w:r>
              <w:rPr>
                <w:kern w:val="0"/>
                <w:sz w:val="18"/>
                <w:szCs w:val="18"/>
              </w:rPr>
              <w:t>；不达标 □</w:t>
            </w:r>
            <w:r>
              <w:rPr>
                <w:kern w:val="0"/>
                <w:sz w:val="18"/>
                <w:szCs w:val="18"/>
              </w:rPr>
              <w:br w:type="textWrapping"/>
            </w:r>
            <w:r>
              <w:rPr>
                <w:kern w:val="0"/>
                <w:sz w:val="18"/>
                <w:szCs w:val="18"/>
              </w:rPr>
              <w:t xml:space="preserve">对照断面、控制断面等代表性断面的水质状况 </w:t>
            </w:r>
            <w:r>
              <w:rPr>
                <w:rFonts w:hint="eastAsia"/>
                <w:kern w:val="0"/>
                <w:sz w:val="18"/>
                <w:szCs w:val="18"/>
                <w:lang w:eastAsia="zh-CN"/>
              </w:rPr>
              <w:t>☑</w:t>
            </w:r>
            <w:r>
              <w:rPr>
                <w:kern w:val="0"/>
                <w:sz w:val="18"/>
                <w:szCs w:val="18"/>
              </w:rPr>
              <w:t xml:space="preserve">：达标 </w:t>
            </w:r>
            <w:r>
              <w:rPr>
                <w:rFonts w:hint="eastAsia"/>
                <w:kern w:val="0"/>
                <w:sz w:val="18"/>
                <w:szCs w:val="18"/>
                <w:lang w:eastAsia="zh-CN"/>
              </w:rPr>
              <w:t>☑</w:t>
            </w:r>
            <w:r>
              <w:rPr>
                <w:kern w:val="0"/>
                <w:sz w:val="18"/>
                <w:szCs w:val="18"/>
              </w:rPr>
              <w:t>；不达标 □</w:t>
            </w:r>
          </w:p>
          <w:p>
            <w:pPr>
              <w:spacing w:line="240" w:lineRule="auto"/>
              <w:jc w:val="left"/>
              <w:rPr>
                <w:kern w:val="0"/>
                <w:sz w:val="18"/>
                <w:szCs w:val="18"/>
              </w:rPr>
            </w:pPr>
            <w:r>
              <w:rPr>
                <w:kern w:val="0"/>
                <w:sz w:val="18"/>
                <w:szCs w:val="18"/>
              </w:rPr>
              <w:t>底泥污染评价 □</w:t>
            </w:r>
            <w:r>
              <w:rPr>
                <w:kern w:val="0"/>
                <w:sz w:val="18"/>
                <w:szCs w:val="18"/>
              </w:rPr>
              <w:br w:type="textWrapping"/>
            </w:r>
            <w:r>
              <w:rPr>
                <w:kern w:val="0"/>
                <w:sz w:val="18"/>
                <w:szCs w:val="18"/>
              </w:rPr>
              <w:t>水资源与开发利用程度及其水文情势评价 □</w:t>
            </w:r>
            <w:r>
              <w:rPr>
                <w:kern w:val="0"/>
                <w:sz w:val="18"/>
                <w:szCs w:val="18"/>
              </w:rPr>
              <w:br w:type="textWrapping"/>
            </w:r>
            <w:r>
              <w:rPr>
                <w:kern w:val="0"/>
                <w:sz w:val="18"/>
                <w:szCs w:val="18"/>
              </w:rPr>
              <w:t>水环境质量回顾评价 □</w:t>
            </w:r>
            <w:r>
              <w:rPr>
                <w:kern w:val="0"/>
                <w:sz w:val="18"/>
                <w:szCs w:val="18"/>
              </w:rPr>
              <w:br w:type="textWrapping"/>
            </w:r>
            <w:r>
              <w:rPr>
                <w:kern w:val="0"/>
                <w:sz w:val="18"/>
                <w:szCs w:val="18"/>
              </w:rPr>
              <w:t>流域（区域）水资源（包括水能资源）与开发利用总体状况、生态流量管理要求与现状满足程度、建设项目占用水域空间的水流状况与河湖演变状况 □</w:t>
            </w:r>
          </w:p>
        </w:tc>
        <w:tc>
          <w:tcPr>
            <w:tcW w:w="1893" w:type="dxa"/>
            <w:tcBorders>
              <w:tl2br w:val="nil"/>
              <w:tr2bl w:val="nil"/>
            </w:tcBorders>
            <w:noWrap/>
            <w:vAlign w:val="center"/>
          </w:tcPr>
          <w:p>
            <w:pPr>
              <w:spacing w:line="240" w:lineRule="auto"/>
              <w:jc w:val="left"/>
              <w:rPr>
                <w:kern w:val="0"/>
                <w:sz w:val="18"/>
                <w:szCs w:val="18"/>
              </w:rPr>
            </w:pPr>
            <w:r>
              <w:rPr>
                <w:kern w:val="0"/>
                <w:sz w:val="18"/>
                <w:szCs w:val="18"/>
              </w:rPr>
              <w:t xml:space="preserve">达标区 </w:t>
            </w:r>
            <w:r>
              <w:rPr>
                <w:rFonts w:eastAsia="MS Mincho"/>
                <w:kern w:val="0"/>
                <w:sz w:val="18"/>
                <w:szCs w:val="18"/>
              </w:rPr>
              <w:t>☑</w:t>
            </w:r>
          </w:p>
          <w:p>
            <w:pPr>
              <w:spacing w:line="240" w:lineRule="auto"/>
              <w:jc w:val="left"/>
              <w:rPr>
                <w:kern w:val="0"/>
                <w:sz w:val="18"/>
                <w:szCs w:val="18"/>
              </w:rPr>
            </w:pPr>
            <w:r>
              <w:rPr>
                <w:kern w:val="0"/>
                <w:sz w:val="18"/>
                <w:szCs w:val="18"/>
              </w:rPr>
              <w:t>不达标区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restart"/>
            <w:tcBorders>
              <w:tl2br w:val="nil"/>
              <w:tr2bl w:val="nil"/>
            </w:tcBorders>
            <w:noWrap/>
            <w:textDirection w:val="tbRlV"/>
            <w:vAlign w:val="center"/>
          </w:tcPr>
          <w:p>
            <w:pPr>
              <w:spacing w:line="240" w:lineRule="auto"/>
              <w:jc w:val="center"/>
              <w:rPr>
                <w:kern w:val="0"/>
                <w:sz w:val="18"/>
                <w:szCs w:val="18"/>
              </w:rPr>
            </w:pPr>
            <w:r>
              <w:rPr>
                <w:kern w:val="0"/>
                <w:sz w:val="18"/>
                <w:szCs w:val="18"/>
              </w:rPr>
              <w:t>影响预测</w:t>
            </w:r>
          </w:p>
        </w:tc>
        <w:tc>
          <w:tcPr>
            <w:tcW w:w="2536" w:type="dxa"/>
            <w:tcBorders>
              <w:tl2br w:val="nil"/>
              <w:tr2bl w:val="nil"/>
            </w:tcBorders>
            <w:noWrap/>
            <w:vAlign w:val="center"/>
          </w:tcPr>
          <w:p>
            <w:pPr>
              <w:spacing w:line="240" w:lineRule="auto"/>
              <w:jc w:val="center"/>
              <w:rPr>
                <w:kern w:val="0"/>
                <w:sz w:val="18"/>
                <w:szCs w:val="18"/>
              </w:rPr>
            </w:pPr>
            <w:r>
              <w:rPr>
                <w:kern w:val="0"/>
                <w:sz w:val="18"/>
                <w:szCs w:val="18"/>
              </w:rPr>
              <w:t>预测范围</w:t>
            </w:r>
          </w:p>
        </w:tc>
        <w:tc>
          <w:tcPr>
            <w:tcW w:w="11305" w:type="dxa"/>
            <w:gridSpan w:val="12"/>
            <w:tcBorders>
              <w:tl2br w:val="nil"/>
              <w:tr2bl w:val="nil"/>
            </w:tcBorders>
            <w:noWrap/>
            <w:vAlign w:val="center"/>
          </w:tcPr>
          <w:p>
            <w:pPr>
              <w:spacing w:line="240" w:lineRule="auto"/>
              <w:jc w:val="left"/>
              <w:rPr>
                <w:kern w:val="0"/>
                <w:sz w:val="18"/>
                <w:szCs w:val="18"/>
              </w:rPr>
            </w:pPr>
            <w:r>
              <w:rPr>
                <w:kern w:val="0"/>
                <w:sz w:val="18"/>
                <w:szCs w:val="18"/>
              </w:rPr>
              <w:t>河流：长度（   ）km；湖库、河口及近岸海域：面积（   ）km</w:t>
            </w:r>
            <w:r>
              <w:rPr>
                <w:kern w:val="0"/>
                <w:sz w:val="18"/>
                <w:szCs w:val="18"/>
                <w:vertAlign w:val="superscript"/>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tcBorders>
              <w:tl2br w:val="nil"/>
              <w:tr2bl w:val="nil"/>
            </w:tcBorders>
            <w:noWrap/>
            <w:vAlign w:val="center"/>
          </w:tcPr>
          <w:p>
            <w:pPr>
              <w:spacing w:line="240" w:lineRule="auto"/>
              <w:jc w:val="center"/>
              <w:rPr>
                <w:kern w:val="0"/>
                <w:sz w:val="18"/>
                <w:szCs w:val="18"/>
              </w:rPr>
            </w:pPr>
            <w:r>
              <w:rPr>
                <w:kern w:val="0"/>
                <w:sz w:val="18"/>
                <w:szCs w:val="18"/>
              </w:rPr>
              <w:t>预测因子</w:t>
            </w:r>
          </w:p>
        </w:tc>
        <w:tc>
          <w:tcPr>
            <w:tcW w:w="11305" w:type="dxa"/>
            <w:gridSpan w:val="12"/>
            <w:tcBorders>
              <w:tl2br w:val="nil"/>
              <w:tr2bl w:val="nil"/>
            </w:tcBorders>
            <w:noWrap/>
            <w:vAlign w:val="center"/>
          </w:tcPr>
          <w:p>
            <w:pPr>
              <w:spacing w:line="240" w:lineRule="auto"/>
              <w:jc w:val="left"/>
              <w:rPr>
                <w:kern w:val="0"/>
                <w:sz w:val="18"/>
                <w:szCs w:val="18"/>
              </w:rPr>
            </w:pPr>
            <w:r>
              <w:rPr>
                <w:kern w:val="0"/>
                <w:sz w:val="18"/>
                <w:szCs w:val="18"/>
              </w:rPr>
              <w:t>（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tcBorders>
              <w:tl2br w:val="nil"/>
              <w:tr2bl w:val="nil"/>
            </w:tcBorders>
            <w:noWrap/>
            <w:vAlign w:val="center"/>
          </w:tcPr>
          <w:p>
            <w:pPr>
              <w:spacing w:line="240" w:lineRule="auto"/>
              <w:jc w:val="center"/>
              <w:rPr>
                <w:kern w:val="0"/>
                <w:sz w:val="18"/>
                <w:szCs w:val="18"/>
              </w:rPr>
            </w:pPr>
            <w:r>
              <w:rPr>
                <w:kern w:val="0"/>
                <w:sz w:val="18"/>
                <w:szCs w:val="18"/>
              </w:rPr>
              <w:t>预测时期</w:t>
            </w:r>
          </w:p>
        </w:tc>
        <w:tc>
          <w:tcPr>
            <w:tcW w:w="11305" w:type="dxa"/>
            <w:gridSpan w:val="12"/>
            <w:tcBorders>
              <w:tl2br w:val="nil"/>
              <w:tr2bl w:val="nil"/>
            </w:tcBorders>
            <w:noWrap/>
            <w:vAlign w:val="center"/>
          </w:tcPr>
          <w:p>
            <w:pPr>
              <w:spacing w:line="240" w:lineRule="auto"/>
              <w:jc w:val="left"/>
              <w:rPr>
                <w:kern w:val="0"/>
                <w:sz w:val="18"/>
                <w:szCs w:val="18"/>
              </w:rPr>
            </w:pPr>
            <w:r>
              <w:rPr>
                <w:kern w:val="0"/>
                <w:sz w:val="18"/>
                <w:szCs w:val="18"/>
              </w:rPr>
              <w:t xml:space="preserve">丰水期 □；平水期 □；枯水期 </w:t>
            </w:r>
            <w:r>
              <w:rPr>
                <w:rFonts w:hint="eastAsia"/>
                <w:kern w:val="0"/>
                <w:sz w:val="18"/>
                <w:szCs w:val="18"/>
              </w:rPr>
              <w:t>□</w:t>
            </w:r>
            <w:r>
              <w:rPr>
                <w:kern w:val="0"/>
                <w:sz w:val="18"/>
                <w:szCs w:val="18"/>
              </w:rPr>
              <w:t>；冰封期 □</w:t>
            </w:r>
            <w:r>
              <w:rPr>
                <w:kern w:val="0"/>
                <w:sz w:val="18"/>
                <w:szCs w:val="18"/>
              </w:rPr>
              <w:br w:type="textWrapping"/>
            </w:r>
            <w:r>
              <w:rPr>
                <w:kern w:val="0"/>
                <w:sz w:val="18"/>
                <w:szCs w:val="18"/>
              </w:rPr>
              <w:t>春季 □；夏季 □；秋季 □；冬季 □</w:t>
            </w:r>
            <w:r>
              <w:rPr>
                <w:kern w:val="0"/>
                <w:sz w:val="18"/>
                <w:szCs w:val="18"/>
              </w:rPr>
              <w:br w:type="textWrapping"/>
            </w:r>
            <w:r>
              <w:rPr>
                <w:kern w:val="0"/>
                <w:sz w:val="18"/>
                <w:szCs w:val="18"/>
              </w:rPr>
              <w:t>设计水文条件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tcBorders>
              <w:tl2br w:val="nil"/>
              <w:tr2bl w:val="nil"/>
            </w:tcBorders>
            <w:noWrap/>
            <w:vAlign w:val="center"/>
          </w:tcPr>
          <w:p>
            <w:pPr>
              <w:spacing w:line="240" w:lineRule="auto"/>
              <w:jc w:val="center"/>
              <w:rPr>
                <w:kern w:val="0"/>
                <w:sz w:val="18"/>
                <w:szCs w:val="18"/>
              </w:rPr>
            </w:pPr>
            <w:r>
              <w:rPr>
                <w:kern w:val="0"/>
                <w:sz w:val="18"/>
                <w:szCs w:val="18"/>
              </w:rPr>
              <w:t>预测情景</w:t>
            </w:r>
          </w:p>
        </w:tc>
        <w:tc>
          <w:tcPr>
            <w:tcW w:w="11305" w:type="dxa"/>
            <w:gridSpan w:val="12"/>
            <w:tcBorders>
              <w:tl2br w:val="nil"/>
              <w:tr2bl w:val="nil"/>
            </w:tcBorders>
            <w:noWrap/>
            <w:vAlign w:val="center"/>
          </w:tcPr>
          <w:p>
            <w:pPr>
              <w:spacing w:line="240" w:lineRule="auto"/>
              <w:jc w:val="left"/>
              <w:rPr>
                <w:kern w:val="0"/>
                <w:sz w:val="18"/>
                <w:szCs w:val="18"/>
              </w:rPr>
            </w:pPr>
            <w:r>
              <w:rPr>
                <w:kern w:val="0"/>
                <w:sz w:val="18"/>
                <w:szCs w:val="18"/>
              </w:rPr>
              <w:t xml:space="preserve">建设期 □；生产运行期 </w:t>
            </w:r>
            <w:r>
              <w:rPr>
                <w:rFonts w:hint="eastAsia"/>
                <w:kern w:val="0"/>
                <w:sz w:val="18"/>
                <w:szCs w:val="18"/>
              </w:rPr>
              <w:t>□</w:t>
            </w:r>
            <w:r>
              <w:rPr>
                <w:kern w:val="0"/>
                <w:sz w:val="18"/>
                <w:szCs w:val="18"/>
              </w:rPr>
              <w:t>；服务期满后 □</w:t>
            </w:r>
            <w:r>
              <w:rPr>
                <w:kern w:val="0"/>
                <w:sz w:val="18"/>
                <w:szCs w:val="18"/>
              </w:rPr>
              <w:br w:type="textWrapping"/>
            </w:r>
            <w:r>
              <w:rPr>
                <w:kern w:val="0"/>
                <w:sz w:val="18"/>
                <w:szCs w:val="18"/>
              </w:rPr>
              <w:t xml:space="preserve">正常工况 </w:t>
            </w:r>
            <w:r>
              <w:rPr>
                <w:rFonts w:hint="eastAsia"/>
                <w:kern w:val="0"/>
                <w:sz w:val="18"/>
                <w:szCs w:val="18"/>
              </w:rPr>
              <w:t>□</w:t>
            </w:r>
            <w:r>
              <w:rPr>
                <w:kern w:val="0"/>
                <w:sz w:val="18"/>
                <w:szCs w:val="18"/>
              </w:rPr>
              <w:t xml:space="preserve">；非正常工况 </w:t>
            </w:r>
            <w:r>
              <w:rPr>
                <w:rFonts w:hint="eastAsia"/>
                <w:kern w:val="0"/>
                <w:sz w:val="18"/>
                <w:szCs w:val="18"/>
              </w:rPr>
              <w:t>□</w:t>
            </w:r>
            <w:r>
              <w:rPr>
                <w:kern w:val="0"/>
                <w:sz w:val="18"/>
                <w:szCs w:val="18"/>
              </w:rPr>
              <w:br w:type="textWrapping"/>
            </w:r>
            <w:r>
              <w:rPr>
                <w:kern w:val="0"/>
                <w:sz w:val="18"/>
                <w:szCs w:val="18"/>
              </w:rPr>
              <w:t>污染控制和减缓措施方案 □</w:t>
            </w:r>
            <w:r>
              <w:rPr>
                <w:kern w:val="0"/>
                <w:sz w:val="18"/>
                <w:szCs w:val="18"/>
              </w:rPr>
              <w:br w:type="textWrapping"/>
            </w:r>
            <w:r>
              <w:rPr>
                <w:kern w:val="0"/>
                <w:sz w:val="18"/>
                <w:szCs w:val="18"/>
              </w:rPr>
              <w:t>区（流）域环境质量改善目标要求情景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tcBorders>
              <w:tl2br w:val="nil"/>
              <w:tr2bl w:val="nil"/>
            </w:tcBorders>
            <w:noWrap/>
            <w:vAlign w:val="center"/>
          </w:tcPr>
          <w:p>
            <w:pPr>
              <w:spacing w:line="240" w:lineRule="auto"/>
              <w:jc w:val="center"/>
              <w:rPr>
                <w:kern w:val="0"/>
                <w:sz w:val="18"/>
                <w:szCs w:val="18"/>
              </w:rPr>
            </w:pPr>
            <w:r>
              <w:rPr>
                <w:kern w:val="0"/>
                <w:sz w:val="18"/>
                <w:szCs w:val="18"/>
              </w:rPr>
              <w:t>预测方法</w:t>
            </w:r>
          </w:p>
        </w:tc>
        <w:tc>
          <w:tcPr>
            <w:tcW w:w="11305" w:type="dxa"/>
            <w:gridSpan w:val="12"/>
            <w:tcBorders>
              <w:tl2br w:val="nil"/>
              <w:tr2bl w:val="nil"/>
            </w:tcBorders>
            <w:noWrap/>
            <w:vAlign w:val="center"/>
          </w:tcPr>
          <w:p>
            <w:pPr>
              <w:spacing w:line="240" w:lineRule="auto"/>
              <w:rPr>
                <w:kern w:val="0"/>
                <w:sz w:val="18"/>
                <w:szCs w:val="18"/>
              </w:rPr>
            </w:pPr>
            <w:r>
              <w:rPr>
                <w:kern w:val="0"/>
                <w:sz w:val="18"/>
                <w:szCs w:val="18"/>
              </w:rPr>
              <w:t>数值解 □：解析解 □；其他 □</w:t>
            </w:r>
          </w:p>
          <w:p>
            <w:pPr>
              <w:spacing w:line="240" w:lineRule="auto"/>
              <w:rPr>
                <w:kern w:val="0"/>
                <w:sz w:val="18"/>
                <w:szCs w:val="18"/>
              </w:rPr>
            </w:pPr>
            <w:r>
              <w:rPr>
                <w:kern w:val="0"/>
                <w:sz w:val="18"/>
                <w:szCs w:val="18"/>
              </w:rPr>
              <w:t xml:space="preserve">导则推荐模式 </w:t>
            </w:r>
            <w:r>
              <w:rPr>
                <w:rFonts w:hint="eastAsia"/>
                <w:kern w:val="0"/>
                <w:sz w:val="18"/>
                <w:szCs w:val="18"/>
              </w:rPr>
              <w:t>□</w:t>
            </w:r>
            <w:r>
              <w:rPr>
                <w:kern w:val="0"/>
                <w:sz w:val="18"/>
                <w:szCs w:val="18"/>
              </w:rPr>
              <w:t>：其他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34" w:hRule="atLeast"/>
          <w:jc w:val="center"/>
        </w:trPr>
        <w:tc>
          <w:tcPr>
            <w:tcW w:w="377" w:type="dxa"/>
            <w:vMerge w:val="restart"/>
            <w:tcBorders>
              <w:tl2br w:val="nil"/>
              <w:tr2bl w:val="nil"/>
            </w:tcBorders>
            <w:noWrap/>
            <w:textDirection w:val="tbRlV"/>
            <w:vAlign w:val="center"/>
          </w:tcPr>
          <w:p>
            <w:pPr>
              <w:spacing w:line="240" w:lineRule="auto"/>
              <w:jc w:val="center"/>
              <w:rPr>
                <w:kern w:val="0"/>
                <w:sz w:val="18"/>
                <w:szCs w:val="18"/>
              </w:rPr>
            </w:pPr>
            <w:r>
              <w:rPr>
                <w:kern w:val="0"/>
                <w:sz w:val="18"/>
                <w:szCs w:val="18"/>
              </w:rPr>
              <w:t>影响评价</w:t>
            </w:r>
          </w:p>
        </w:tc>
        <w:tc>
          <w:tcPr>
            <w:tcW w:w="2536" w:type="dxa"/>
            <w:tcBorders>
              <w:tl2br w:val="nil"/>
              <w:tr2bl w:val="nil"/>
            </w:tcBorders>
            <w:noWrap/>
            <w:vAlign w:val="center"/>
          </w:tcPr>
          <w:p>
            <w:pPr>
              <w:spacing w:line="240" w:lineRule="auto"/>
              <w:jc w:val="center"/>
              <w:rPr>
                <w:kern w:val="0"/>
                <w:sz w:val="18"/>
                <w:szCs w:val="18"/>
              </w:rPr>
            </w:pPr>
            <w:r>
              <w:rPr>
                <w:kern w:val="0"/>
                <w:sz w:val="18"/>
                <w:szCs w:val="18"/>
              </w:rPr>
              <w:t>水污染控制和水环境影响减缓措施有效性评价</w:t>
            </w:r>
          </w:p>
        </w:tc>
        <w:tc>
          <w:tcPr>
            <w:tcW w:w="11305" w:type="dxa"/>
            <w:gridSpan w:val="12"/>
            <w:tcBorders>
              <w:tl2br w:val="nil"/>
              <w:tr2bl w:val="nil"/>
            </w:tcBorders>
            <w:noWrap/>
            <w:vAlign w:val="center"/>
          </w:tcPr>
          <w:p>
            <w:pPr>
              <w:spacing w:line="240" w:lineRule="auto"/>
              <w:jc w:val="left"/>
              <w:rPr>
                <w:kern w:val="0"/>
                <w:sz w:val="18"/>
                <w:szCs w:val="18"/>
              </w:rPr>
            </w:pPr>
            <w:r>
              <w:rPr>
                <w:kern w:val="0"/>
                <w:sz w:val="18"/>
                <w:szCs w:val="18"/>
              </w:rPr>
              <w:t>区（流）域水环境质量改善目标 □；替代削减源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871"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tcBorders>
              <w:tl2br w:val="nil"/>
              <w:tr2bl w:val="nil"/>
            </w:tcBorders>
            <w:noWrap/>
            <w:vAlign w:val="center"/>
          </w:tcPr>
          <w:p>
            <w:pPr>
              <w:spacing w:line="240" w:lineRule="auto"/>
              <w:jc w:val="center"/>
              <w:rPr>
                <w:kern w:val="0"/>
                <w:sz w:val="18"/>
                <w:szCs w:val="18"/>
              </w:rPr>
            </w:pPr>
            <w:r>
              <w:rPr>
                <w:kern w:val="0"/>
                <w:sz w:val="18"/>
                <w:szCs w:val="18"/>
              </w:rPr>
              <w:t>水环境影响评价</w:t>
            </w:r>
          </w:p>
        </w:tc>
        <w:tc>
          <w:tcPr>
            <w:tcW w:w="11305" w:type="dxa"/>
            <w:gridSpan w:val="12"/>
            <w:tcBorders>
              <w:tl2br w:val="nil"/>
              <w:tr2bl w:val="nil"/>
            </w:tcBorders>
            <w:noWrap/>
            <w:vAlign w:val="center"/>
          </w:tcPr>
          <w:p>
            <w:pPr>
              <w:spacing w:line="240" w:lineRule="auto"/>
              <w:jc w:val="left"/>
              <w:rPr>
                <w:kern w:val="0"/>
                <w:sz w:val="18"/>
                <w:szCs w:val="18"/>
              </w:rPr>
            </w:pPr>
            <w:r>
              <w:rPr>
                <w:kern w:val="0"/>
                <w:sz w:val="18"/>
                <w:szCs w:val="18"/>
              </w:rPr>
              <w:t>排放口混合区外满足水环境管理要求 □</w:t>
            </w:r>
            <w:r>
              <w:rPr>
                <w:kern w:val="0"/>
                <w:sz w:val="18"/>
                <w:szCs w:val="18"/>
              </w:rPr>
              <w:br w:type="textWrapping"/>
            </w:r>
            <w:r>
              <w:rPr>
                <w:kern w:val="0"/>
                <w:sz w:val="18"/>
                <w:szCs w:val="18"/>
              </w:rPr>
              <w:t>水环境功能区或水功能区、近岸海域环境功能区水质达标 □</w:t>
            </w:r>
            <w:r>
              <w:rPr>
                <w:kern w:val="0"/>
                <w:sz w:val="18"/>
                <w:szCs w:val="18"/>
              </w:rPr>
              <w:br w:type="textWrapping"/>
            </w:r>
            <w:r>
              <w:rPr>
                <w:kern w:val="0"/>
                <w:sz w:val="18"/>
                <w:szCs w:val="18"/>
              </w:rPr>
              <w:t xml:space="preserve">满足水环境保护目标水域水环境质量要求 </w:t>
            </w:r>
            <w:r>
              <w:rPr>
                <w:rFonts w:eastAsia="MS Mincho"/>
                <w:kern w:val="0"/>
                <w:sz w:val="18"/>
                <w:szCs w:val="18"/>
              </w:rPr>
              <w:t>☑</w:t>
            </w:r>
            <w:r>
              <w:rPr>
                <w:kern w:val="0"/>
                <w:sz w:val="18"/>
                <w:szCs w:val="18"/>
              </w:rPr>
              <w:br w:type="textWrapping"/>
            </w:r>
            <w:r>
              <w:rPr>
                <w:kern w:val="0"/>
                <w:sz w:val="18"/>
                <w:szCs w:val="18"/>
              </w:rPr>
              <w:t>水环境控制单元或断面水质达标 □</w:t>
            </w:r>
            <w:r>
              <w:rPr>
                <w:kern w:val="0"/>
                <w:sz w:val="18"/>
                <w:szCs w:val="18"/>
              </w:rPr>
              <w:br w:type="textWrapping"/>
            </w:r>
            <w:r>
              <w:rPr>
                <w:kern w:val="0"/>
                <w:sz w:val="18"/>
                <w:szCs w:val="18"/>
              </w:rPr>
              <w:t>满足重点水污染物排放总量控制指标要求，重点行业建设项目， 主要污染物排放满足等量或减量替代要求 □</w:t>
            </w:r>
          </w:p>
          <w:p>
            <w:pPr>
              <w:spacing w:line="240" w:lineRule="auto"/>
              <w:jc w:val="left"/>
              <w:rPr>
                <w:kern w:val="0"/>
                <w:sz w:val="18"/>
                <w:szCs w:val="18"/>
              </w:rPr>
            </w:pPr>
            <w:r>
              <w:rPr>
                <w:kern w:val="0"/>
                <w:sz w:val="18"/>
                <w:szCs w:val="18"/>
              </w:rPr>
              <w:t>满足区（流）域水环境质量改善目标要求 □</w:t>
            </w:r>
            <w:r>
              <w:rPr>
                <w:kern w:val="0"/>
                <w:sz w:val="18"/>
                <w:szCs w:val="18"/>
              </w:rPr>
              <w:br w:type="textWrapping"/>
            </w:r>
            <w:r>
              <w:rPr>
                <w:kern w:val="0"/>
                <w:sz w:val="18"/>
                <w:szCs w:val="18"/>
              </w:rPr>
              <w:t>水文要素影响型建设项目同时应包括水文情势变化评价、主要水文特征值影响评价、生态流量符合性评价 □</w:t>
            </w:r>
            <w:r>
              <w:rPr>
                <w:kern w:val="0"/>
                <w:sz w:val="18"/>
                <w:szCs w:val="18"/>
              </w:rPr>
              <w:br w:type="textWrapping"/>
            </w:r>
            <w:r>
              <w:rPr>
                <w:kern w:val="0"/>
                <w:sz w:val="18"/>
                <w:szCs w:val="18"/>
              </w:rPr>
              <w:t>对于新设或调整入河（湖库、近岸海域）排放口的建设项目，应包括排放口设置的环境合理性评价 □</w:t>
            </w:r>
            <w:r>
              <w:rPr>
                <w:kern w:val="0"/>
                <w:sz w:val="18"/>
                <w:szCs w:val="18"/>
              </w:rPr>
              <w:br w:type="textWrapping"/>
            </w:r>
            <w:r>
              <w:rPr>
                <w:kern w:val="0"/>
                <w:sz w:val="18"/>
                <w:szCs w:val="18"/>
              </w:rPr>
              <w:t>满足生态保护红线、水环境质量底线、资源利用上线和环境准入清单管理要求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restart"/>
            <w:tcBorders>
              <w:tl2br w:val="nil"/>
              <w:tr2bl w:val="nil"/>
            </w:tcBorders>
            <w:noWrap/>
            <w:vAlign w:val="center"/>
          </w:tcPr>
          <w:p>
            <w:pPr>
              <w:spacing w:line="240" w:lineRule="auto"/>
              <w:jc w:val="center"/>
              <w:rPr>
                <w:kern w:val="0"/>
                <w:sz w:val="18"/>
                <w:szCs w:val="18"/>
              </w:rPr>
            </w:pPr>
            <w:r>
              <w:rPr>
                <w:kern w:val="0"/>
                <w:sz w:val="18"/>
                <w:szCs w:val="18"/>
              </w:rPr>
              <w:t>污染源排放量核算</w:t>
            </w:r>
          </w:p>
        </w:tc>
        <w:tc>
          <w:tcPr>
            <w:tcW w:w="3833" w:type="dxa"/>
            <w:gridSpan w:val="3"/>
            <w:tcBorders>
              <w:tl2br w:val="nil"/>
              <w:tr2bl w:val="nil"/>
            </w:tcBorders>
            <w:noWrap/>
            <w:vAlign w:val="center"/>
          </w:tcPr>
          <w:p>
            <w:pPr>
              <w:spacing w:line="240" w:lineRule="auto"/>
              <w:jc w:val="center"/>
              <w:rPr>
                <w:kern w:val="0"/>
                <w:sz w:val="18"/>
                <w:szCs w:val="18"/>
              </w:rPr>
            </w:pPr>
            <w:r>
              <w:rPr>
                <w:kern w:val="0"/>
                <w:sz w:val="18"/>
                <w:szCs w:val="18"/>
              </w:rPr>
              <w:t>污染物名称</w:t>
            </w:r>
          </w:p>
        </w:tc>
        <w:tc>
          <w:tcPr>
            <w:tcW w:w="3651" w:type="dxa"/>
            <w:gridSpan w:val="5"/>
            <w:tcBorders>
              <w:tl2br w:val="nil"/>
              <w:tr2bl w:val="nil"/>
            </w:tcBorders>
            <w:noWrap/>
            <w:vAlign w:val="center"/>
          </w:tcPr>
          <w:p>
            <w:pPr>
              <w:spacing w:line="240" w:lineRule="auto"/>
              <w:jc w:val="center"/>
              <w:rPr>
                <w:kern w:val="0"/>
                <w:sz w:val="18"/>
                <w:szCs w:val="18"/>
              </w:rPr>
            </w:pPr>
            <w:r>
              <w:rPr>
                <w:kern w:val="0"/>
                <w:sz w:val="18"/>
                <w:szCs w:val="18"/>
              </w:rPr>
              <w:t>排放量/（</w:t>
            </w:r>
            <w:r>
              <w:rPr>
                <w:sz w:val="18"/>
                <w:szCs w:val="18"/>
              </w:rPr>
              <w:t>t/a</w:t>
            </w:r>
            <w:r>
              <w:rPr>
                <w:kern w:val="0"/>
                <w:sz w:val="18"/>
                <w:szCs w:val="18"/>
              </w:rPr>
              <w:t>）</w:t>
            </w:r>
          </w:p>
        </w:tc>
        <w:tc>
          <w:tcPr>
            <w:tcW w:w="3821" w:type="dxa"/>
            <w:gridSpan w:val="4"/>
            <w:tcBorders>
              <w:tl2br w:val="nil"/>
              <w:tr2bl w:val="nil"/>
            </w:tcBorders>
            <w:noWrap/>
            <w:vAlign w:val="center"/>
          </w:tcPr>
          <w:p>
            <w:pPr>
              <w:spacing w:line="240" w:lineRule="auto"/>
              <w:jc w:val="center"/>
              <w:rPr>
                <w:kern w:val="0"/>
                <w:sz w:val="18"/>
                <w:szCs w:val="18"/>
              </w:rPr>
            </w:pPr>
            <w:r>
              <w:rPr>
                <w:kern w:val="0"/>
                <w:sz w:val="18"/>
                <w:szCs w:val="18"/>
              </w:rPr>
              <w:t>排放浓度/（mg/L）</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2"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continue"/>
            <w:tcBorders>
              <w:tl2br w:val="nil"/>
              <w:tr2bl w:val="nil"/>
            </w:tcBorders>
            <w:noWrap/>
            <w:vAlign w:val="center"/>
          </w:tcPr>
          <w:p>
            <w:pPr>
              <w:spacing w:line="240" w:lineRule="auto"/>
              <w:jc w:val="center"/>
              <w:rPr>
                <w:kern w:val="0"/>
                <w:sz w:val="18"/>
                <w:szCs w:val="18"/>
              </w:rPr>
            </w:pPr>
          </w:p>
        </w:tc>
        <w:tc>
          <w:tcPr>
            <w:tcW w:w="3833" w:type="dxa"/>
            <w:gridSpan w:val="3"/>
            <w:tcBorders>
              <w:tl2br w:val="nil"/>
              <w:tr2bl w:val="nil"/>
            </w:tcBorders>
            <w:noWrap/>
            <w:vAlign w:val="center"/>
          </w:tcPr>
          <w:p>
            <w:pPr>
              <w:spacing w:line="240" w:lineRule="auto"/>
              <w:jc w:val="left"/>
              <w:rPr>
                <w:kern w:val="0"/>
                <w:sz w:val="18"/>
                <w:szCs w:val="18"/>
              </w:rPr>
            </w:pPr>
            <w:r>
              <w:rPr>
                <w:kern w:val="0"/>
                <w:sz w:val="18"/>
                <w:szCs w:val="18"/>
              </w:rPr>
              <w:t>（COD）</w:t>
            </w:r>
          </w:p>
        </w:tc>
        <w:tc>
          <w:tcPr>
            <w:tcW w:w="3651" w:type="dxa"/>
            <w:gridSpan w:val="5"/>
            <w:tcBorders>
              <w:tl2br w:val="nil"/>
              <w:tr2bl w:val="nil"/>
            </w:tcBorders>
            <w:noWrap/>
          </w:tcPr>
          <w:p>
            <w:pPr>
              <w:spacing w:line="240" w:lineRule="auto"/>
              <w:jc w:val="left"/>
              <w:rPr>
                <w:kern w:val="0"/>
                <w:sz w:val="18"/>
                <w:szCs w:val="18"/>
              </w:rPr>
            </w:pPr>
            <w:r>
              <w:rPr>
                <w:bCs/>
              </w:rPr>
              <w:t>（</w:t>
            </w:r>
            <w:r>
              <w:rPr>
                <w:rFonts w:hint="eastAsia"/>
                <w:bCs/>
                <w:lang w:val="en-US" w:eastAsia="zh-CN"/>
              </w:rPr>
              <w:t>2.63</w:t>
            </w:r>
            <w:r>
              <w:rPr>
                <w:bCs/>
              </w:rPr>
              <w:t>）</w:t>
            </w:r>
          </w:p>
        </w:tc>
        <w:tc>
          <w:tcPr>
            <w:tcW w:w="3821" w:type="dxa"/>
            <w:gridSpan w:val="4"/>
            <w:tcBorders>
              <w:tl2br w:val="nil"/>
              <w:tr2bl w:val="nil"/>
            </w:tcBorders>
            <w:noWrap/>
            <w:vAlign w:val="center"/>
          </w:tcPr>
          <w:p>
            <w:pPr>
              <w:spacing w:line="240" w:lineRule="auto"/>
              <w:jc w:val="left"/>
              <w:rPr>
                <w:kern w:val="0"/>
                <w:sz w:val="18"/>
                <w:szCs w:val="18"/>
              </w:rPr>
            </w:pPr>
            <w:r>
              <w:rPr>
                <w:bCs/>
              </w:rPr>
              <w:t>（</w:t>
            </w:r>
            <w:r>
              <w:rPr>
                <w:rFonts w:hint="eastAsia"/>
                <w:bCs/>
                <w:lang w:val="en-US" w:eastAsia="zh-CN"/>
              </w:rPr>
              <w:t>268</w:t>
            </w:r>
            <w:r>
              <w:rPr>
                <w:bCs/>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2"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continue"/>
            <w:tcBorders>
              <w:tl2br w:val="nil"/>
              <w:tr2bl w:val="nil"/>
            </w:tcBorders>
            <w:noWrap/>
            <w:vAlign w:val="center"/>
          </w:tcPr>
          <w:p>
            <w:pPr>
              <w:spacing w:line="240" w:lineRule="auto"/>
              <w:jc w:val="center"/>
              <w:rPr>
                <w:kern w:val="0"/>
                <w:sz w:val="18"/>
                <w:szCs w:val="18"/>
              </w:rPr>
            </w:pPr>
          </w:p>
        </w:tc>
        <w:tc>
          <w:tcPr>
            <w:tcW w:w="3833" w:type="dxa"/>
            <w:gridSpan w:val="3"/>
            <w:tcBorders>
              <w:tl2br w:val="nil"/>
              <w:tr2bl w:val="nil"/>
            </w:tcBorders>
            <w:noWrap/>
            <w:vAlign w:val="center"/>
          </w:tcPr>
          <w:p>
            <w:pPr>
              <w:spacing w:line="240" w:lineRule="auto"/>
              <w:jc w:val="left"/>
              <w:rPr>
                <w:kern w:val="0"/>
                <w:sz w:val="18"/>
                <w:szCs w:val="18"/>
              </w:rPr>
            </w:pPr>
            <w:r>
              <w:rPr>
                <w:kern w:val="0"/>
                <w:sz w:val="18"/>
                <w:szCs w:val="18"/>
              </w:rPr>
              <w:t>（BOD</w:t>
            </w:r>
            <w:r>
              <w:rPr>
                <w:kern w:val="0"/>
                <w:sz w:val="18"/>
                <w:szCs w:val="18"/>
                <w:vertAlign w:val="subscript"/>
              </w:rPr>
              <w:t>5</w:t>
            </w:r>
            <w:r>
              <w:rPr>
                <w:kern w:val="0"/>
                <w:sz w:val="18"/>
                <w:szCs w:val="18"/>
              </w:rPr>
              <w:t>）</w:t>
            </w:r>
          </w:p>
        </w:tc>
        <w:tc>
          <w:tcPr>
            <w:tcW w:w="3651" w:type="dxa"/>
            <w:gridSpan w:val="5"/>
            <w:tcBorders>
              <w:tl2br w:val="nil"/>
              <w:tr2bl w:val="nil"/>
            </w:tcBorders>
            <w:noWrap/>
            <w:vAlign w:val="center"/>
          </w:tcPr>
          <w:p>
            <w:pPr>
              <w:spacing w:line="240" w:lineRule="auto"/>
              <w:jc w:val="left"/>
              <w:rPr>
                <w:kern w:val="0"/>
                <w:sz w:val="18"/>
                <w:szCs w:val="18"/>
              </w:rPr>
            </w:pPr>
            <w:r>
              <w:rPr>
                <w:bCs/>
              </w:rPr>
              <w:t>（</w:t>
            </w:r>
            <w:r>
              <w:rPr>
                <w:rFonts w:hint="eastAsia"/>
                <w:bCs/>
                <w:lang w:val="en-US" w:eastAsia="zh-CN"/>
              </w:rPr>
              <w:t>1.93</w:t>
            </w:r>
            <w:r>
              <w:rPr>
                <w:bCs/>
              </w:rPr>
              <w:t>）</w:t>
            </w:r>
          </w:p>
        </w:tc>
        <w:tc>
          <w:tcPr>
            <w:tcW w:w="3821" w:type="dxa"/>
            <w:gridSpan w:val="4"/>
            <w:tcBorders>
              <w:tl2br w:val="nil"/>
              <w:tr2bl w:val="nil"/>
            </w:tcBorders>
            <w:noWrap/>
            <w:vAlign w:val="center"/>
          </w:tcPr>
          <w:p>
            <w:pPr>
              <w:spacing w:line="240" w:lineRule="auto"/>
              <w:jc w:val="left"/>
              <w:rPr>
                <w:kern w:val="0"/>
                <w:sz w:val="18"/>
                <w:szCs w:val="18"/>
              </w:rPr>
            </w:pPr>
            <w:r>
              <w:rPr>
                <w:bCs/>
              </w:rPr>
              <w:t>（</w:t>
            </w:r>
            <w:r>
              <w:rPr>
                <w:rFonts w:hint="eastAsia"/>
                <w:bCs/>
              </w:rPr>
              <w:t>19</w:t>
            </w:r>
            <w:r>
              <w:rPr>
                <w:rFonts w:hint="eastAsia"/>
                <w:bCs/>
                <w:lang w:val="en-US" w:eastAsia="zh-CN"/>
              </w:rPr>
              <w:t>7</w:t>
            </w:r>
            <w:r>
              <w:rPr>
                <w:bCs/>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2"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continue"/>
            <w:tcBorders>
              <w:tl2br w:val="nil"/>
              <w:tr2bl w:val="nil"/>
            </w:tcBorders>
            <w:noWrap/>
            <w:vAlign w:val="center"/>
          </w:tcPr>
          <w:p>
            <w:pPr>
              <w:spacing w:line="240" w:lineRule="auto"/>
              <w:jc w:val="center"/>
              <w:rPr>
                <w:kern w:val="0"/>
                <w:sz w:val="18"/>
                <w:szCs w:val="18"/>
              </w:rPr>
            </w:pPr>
          </w:p>
        </w:tc>
        <w:tc>
          <w:tcPr>
            <w:tcW w:w="3833" w:type="dxa"/>
            <w:gridSpan w:val="3"/>
            <w:tcBorders>
              <w:tl2br w:val="nil"/>
              <w:tr2bl w:val="nil"/>
            </w:tcBorders>
            <w:noWrap/>
            <w:vAlign w:val="center"/>
          </w:tcPr>
          <w:p>
            <w:pPr>
              <w:spacing w:line="240" w:lineRule="auto"/>
              <w:jc w:val="left"/>
              <w:rPr>
                <w:kern w:val="0"/>
                <w:sz w:val="18"/>
                <w:szCs w:val="18"/>
              </w:rPr>
            </w:pPr>
            <w:r>
              <w:rPr>
                <w:kern w:val="0"/>
                <w:sz w:val="18"/>
                <w:szCs w:val="18"/>
              </w:rPr>
              <w:t>（SS）</w:t>
            </w:r>
          </w:p>
        </w:tc>
        <w:tc>
          <w:tcPr>
            <w:tcW w:w="3651" w:type="dxa"/>
            <w:gridSpan w:val="5"/>
            <w:tcBorders>
              <w:tl2br w:val="nil"/>
              <w:tr2bl w:val="nil"/>
            </w:tcBorders>
            <w:noWrap/>
            <w:vAlign w:val="center"/>
          </w:tcPr>
          <w:p>
            <w:pPr>
              <w:spacing w:line="240" w:lineRule="auto"/>
              <w:jc w:val="left"/>
              <w:rPr>
                <w:kern w:val="0"/>
                <w:sz w:val="18"/>
                <w:szCs w:val="18"/>
              </w:rPr>
            </w:pPr>
            <w:r>
              <w:rPr>
                <w:bCs/>
              </w:rPr>
              <w:t>（</w:t>
            </w:r>
            <w:r>
              <w:rPr>
                <w:rFonts w:hint="eastAsia"/>
                <w:bCs/>
                <w:lang w:val="en-US" w:eastAsia="zh-CN"/>
              </w:rPr>
              <w:t>1.85</w:t>
            </w:r>
            <w:r>
              <w:rPr>
                <w:bCs/>
              </w:rPr>
              <w:t>）</w:t>
            </w:r>
          </w:p>
        </w:tc>
        <w:tc>
          <w:tcPr>
            <w:tcW w:w="3821" w:type="dxa"/>
            <w:gridSpan w:val="4"/>
            <w:tcBorders>
              <w:tl2br w:val="nil"/>
              <w:tr2bl w:val="nil"/>
            </w:tcBorders>
            <w:noWrap/>
            <w:vAlign w:val="center"/>
          </w:tcPr>
          <w:p>
            <w:pPr>
              <w:spacing w:line="240" w:lineRule="auto"/>
              <w:jc w:val="left"/>
              <w:rPr>
                <w:kern w:val="0"/>
                <w:sz w:val="18"/>
                <w:szCs w:val="18"/>
              </w:rPr>
            </w:pPr>
            <w:r>
              <w:rPr>
                <w:bCs/>
              </w:rPr>
              <w:t>（</w:t>
            </w:r>
            <w:r>
              <w:rPr>
                <w:rFonts w:hint="eastAsia"/>
                <w:bCs/>
              </w:rPr>
              <w:t>1</w:t>
            </w:r>
            <w:r>
              <w:rPr>
                <w:rFonts w:hint="eastAsia"/>
                <w:bCs/>
                <w:lang w:val="en-US" w:eastAsia="zh-CN"/>
              </w:rPr>
              <w:t>89</w:t>
            </w:r>
            <w:r>
              <w:rPr>
                <w:bCs/>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2"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continue"/>
            <w:tcBorders>
              <w:tl2br w:val="nil"/>
              <w:tr2bl w:val="nil"/>
            </w:tcBorders>
            <w:noWrap/>
            <w:vAlign w:val="center"/>
          </w:tcPr>
          <w:p>
            <w:pPr>
              <w:spacing w:line="240" w:lineRule="auto"/>
              <w:jc w:val="center"/>
              <w:rPr>
                <w:kern w:val="0"/>
                <w:sz w:val="18"/>
                <w:szCs w:val="18"/>
              </w:rPr>
            </w:pPr>
          </w:p>
        </w:tc>
        <w:tc>
          <w:tcPr>
            <w:tcW w:w="3833" w:type="dxa"/>
            <w:gridSpan w:val="3"/>
            <w:tcBorders>
              <w:tl2br w:val="nil"/>
              <w:tr2bl w:val="nil"/>
            </w:tcBorders>
            <w:noWrap/>
            <w:vAlign w:val="center"/>
          </w:tcPr>
          <w:p>
            <w:pPr>
              <w:spacing w:line="240" w:lineRule="auto"/>
              <w:jc w:val="left"/>
              <w:rPr>
                <w:kern w:val="0"/>
                <w:sz w:val="18"/>
                <w:szCs w:val="18"/>
              </w:rPr>
            </w:pPr>
            <w:r>
              <w:rPr>
                <w:kern w:val="0"/>
                <w:sz w:val="18"/>
                <w:szCs w:val="18"/>
              </w:rPr>
              <w:t>（氨氮）</w:t>
            </w:r>
          </w:p>
        </w:tc>
        <w:tc>
          <w:tcPr>
            <w:tcW w:w="3651" w:type="dxa"/>
            <w:gridSpan w:val="5"/>
            <w:tcBorders>
              <w:tl2br w:val="nil"/>
              <w:tr2bl w:val="nil"/>
            </w:tcBorders>
            <w:noWrap/>
            <w:vAlign w:val="center"/>
          </w:tcPr>
          <w:p>
            <w:pPr>
              <w:spacing w:line="240" w:lineRule="auto"/>
              <w:jc w:val="left"/>
              <w:rPr>
                <w:kern w:val="0"/>
                <w:sz w:val="18"/>
                <w:szCs w:val="18"/>
              </w:rPr>
            </w:pPr>
            <w:r>
              <w:rPr>
                <w:bCs/>
              </w:rPr>
              <w:t>（</w:t>
            </w:r>
            <w:r>
              <w:rPr>
                <w:rFonts w:hint="eastAsia"/>
                <w:bCs/>
                <w:lang w:val="en-US" w:eastAsia="zh-CN"/>
              </w:rPr>
              <w:t>0.25</w:t>
            </w:r>
            <w:r>
              <w:rPr>
                <w:bCs/>
              </w:rPr>
              <w:t>）</w:t>
            </w:r>
          </w:p>
        </w:tc>
        <w:tc>
          <w:tcPr>
            <w:tcW w:w="3821" w:type="dxa"/>
            <w:gridSpan w:val="4"/>
            <w:tcBorders>
              <w:tl2br w:val="nil"/>
              <w:tr2bl w:val="nil"/>
            </w:tcBorders>
            <w:noWrap/>
            <w:vAlign w:val="center"/>
          </w:tcPr>
          <w:p>
            <w:pPr>
              <w:spacing w:line="240" w:lineRule="auto"/>
              <w:jc w:val="left"/>
              <w:rPr>
                <w:kern w:val="0"/>
                <w:sz w:val="18"/>
                <w:szCs w:val="18"/>
              </w:rPr>
            </w:pPr>
            <w:r>
              <w:rPr>
                <w:bCs/>
              </w:rPr>
              <w:t>（</w:t>
            </w:r>
            <w:r>
              <w:rPr>
                <w:rFonts w:hint="eastAsia"/>
                <w:bCs/>
              </w:rPr>
              <w:t>2</w:t>
            </w:r>
            <w:r>
              <w:rPr>
                <w:rFonts w:hint="eastAsia"/>
                <w:bCs/>
                <w:lang w:val="en-US" w:eastAsia="zh-CN"/>
              </w:rPr>
              <w:t>5</w:t>
            </w:r>
            <w:r>
              <w:rPr>
                <w:bCs/>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6"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continue"/>
            <w:tcBorders>
              <w:tl2br w:val="nil"/>
              <w:tr2bl w:val="nil"/>
            </w:tcBorders>
            <w:noWrap/>
            <w:vAlign w:val="center"/>
          </w:tcPr>
          <w:p>
            <w:pPr>
              <w:spacing w:line="240" w:lineRule="auto"/>
              <w:jc w:val="center"/>
              <w:rPr>
                <w:kern w:val="0"/>
                <w:sz w:val="18"/>
                <w:szCs w:val="18"/>
              </w:rPr>
            </w:pPr>
          </w:p>
        </w:tc>
        <w:tc>
          <w:tcPr>
            <w:tcW w:w="3833" w:type="dxa"/>
            <w:gridSpan w:val="3"/>
            <w:tcBorders>
              <w:bottom w:val="single" w:color="000000" w:sz="8" w:space="0"/>
              <w:tl2br w:val="nil"/>
              <w:tr2bl w:val="nil"/>
            </w:tcBorders>
            <w:noWrap/>
            <w:vAlign w:val="center"/>
          </w:tcPr>
          <w:p>
            <w:pPr>
              <w:spacing w:line="240" w:lineRule="auto"/>
              <w:jc w:val="left"/>
              <w:rPr>
                <w:kern w:val="0"/>
                <w:sz w:val="18"/>
                <w:szCs w:val="18"/>
              </w:rPr>
            </w:pPr>
            <w:r>
              <w:rPr>
                <w:kern w:val="0"/>
                <w:sz w:val="18"/>
                <w:szCs w:val="18"/>
              </w:rPr>
              <w:t>（动植物油）</w:t>
            </w:r>
          </w:p>
        </w:tc>
        <w:tc>
          <w:tcPr>
            <w:tcW w:w="3651" w:type="dxa"/>
            <w:gridSpan w:val="5"/>
            <w:tcBorders>
              <w:bottom w:val="single" w:color="000000" w:sz="8" w:space="0"/>
              <w:tl2br w:val="nil"/>
              <w:tr2bl w:val="nil"/>
            </w:tcBorders>
            <w:noWrap/>
            <w:vAlign w:val="center"/>
          </w:tcPr>
          <w:p>
            <w:pPr>
              <w:spacing w:line="240" w:lineRule="auto"/>
              <w:jc w:val="left"/>
              <w:rPr>
                <w:kern w:val="0"/>
                <w:sz w:val="18"/>
                <w:szCs w:val="18"/>
              </w:rPr>
            </w:pPr>
            <w:r>
              <w:rPr>
                <w:bCs/>
              </w:rPr>
              <w:t>（</w:t>
            </w:r>
            <w:r>
              <w:rPr>
                <w:rFonts w:hint="eastAsia"/>
                <w:bCs/>
                <w:lang w:val="en-US" w:eastAsia="zh-CN"/>
              </w:rPr>
              <w:t>0.12</w:t>
            </w:r>
            <w:r>
              <w:rPr>
                <w:bCs/>
              </w:rPr>
              <w:t>）</w:t>
            </w:r>
          </w:p>
        </w:tc>
        <w:tc>
          <w:tcPr>
            <w:tcW w:w="3821" w:type="dxa"/>
            <w:gridSpan w:val="4"/>
            <w:tcBorders>
              <w:bottom w:val="single" w:color="000000" w:sz="8" w:space="0"/>
              <w:tl2br w:val="nil"/>
              <w:tr2bl w:val="nil"/>
            </w:tcBorders>
            <w:noWrap/>
            <w:vAlign w:val="center"/>
          </w:tcPr>
          <w:p>
            <w:pPr>
              <w:spacing w:line="240" w:lineRule="auto"/>
              <w:jc w:val="left"/>
              <w:rPr>
                <w:kern w:val="0"/>
                <w:sz w:val="18"/>
                <w:szCs w:val="18"/>
              </w:rPr>
            </w:pPr>
            <w:r>
              <w:rPr>
                <w:bCs/>
              </w:rPr>
              <w:t>（</w:t>
            </w:r>
            <w:r>
              <w:rPr>
                <w:rFonts w:hint="eastAsia"/>
                <w:bCs/>
                <w:lang w:val="en-US" w:eastAsia="zh-CN"/>
              </w:rPr>
              <w:t>12</w:t>
            </w:r>
            <w:r>
              <w:rPr>
                <w:bCs/>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6"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continue"/>
            <w:tcBorders>
              <w:tl2br w:val="nil"/>
              <w:tr2bl w:val="nil"/>
            </w:tcBorders>
            <w:noWrap/>
            <w:vAlign w:val="center"/>
          </w:tcPr>
          <w:p>
            <w:pPr>
              <w:spacing w:line="240" w:lineRule="auto"/>
              <w:jc w:val="center"/>
              <w:rPr>
                <w:kern w:val="0"/>
                <w:sz w:val="18"/>
                <w:szCs w:val="18"/>
              </w:rPr>
            </w:pPr>
          </w:p>
        </w:tc>
        <w:tc>
          <w:tcPr>
            <w:tcW w:w="3833" w:type="dxa"/>
            <w:gridSpan w:val="3"/>
            <w:tcBorders>
              <w:top w:val="single" w:color="000000" w:sz="8" w:space="0"/>
              <w:bottom w:val="single" w:color="000000" w:sz="8" w:space="0"/>
            </w:tcBorders>
            <w:noWrap/>
            <w:vAlign w:val="center"/>
          </w:tcPr>
          <w:p>
            <w:pPr>
              <w:spacing w:line="240" w:lineRule="auto"/>
              <w:jc w:val="left"/>
              <w:rPr>
                <w:rFonts w:hint="eastAsia" w:eastAsia="宋体"/>
                <w:kern w:val="0"/>
                <w:sz w:val="18"/>
                <w:szCs w:val="18"/>
                <w:lang w:eastAsia="zh-CN"/>
              </w:rPr>
            </w:pPr>
            <w:r>
              <w:rPr>
                <w:rFonts w:hint="eastAsia"/>
                <w:kern w:val="0"/>
                <w:sz w:val="18"/>
                <w:szCs w:val="18"/>
                <w:lang w:eastAsia="zh-CN"/>
              </w:rPr>
              <w:t>（</w:t>
            </w:r>
            <w:r>
              <w:rPr>
                <w:rFonts w:hint="eastAsia"/>
                <w:kern w:val="0"/>
                <w:sz w:val="18"/>
                <w:szCs w:val="18"/>
                <w:lang w:val="en-US" w:eastAsia="zh-CN"/>
              </w:rPr>
              <w:t>TP</w:t>
            </w:r>
            <w:r>
              <w:rPr>
                <w:rFonts w:hint="eastAsia"/>
                <w:kern w:val="0"/>
                <w:sz w:val="18"/>
                <w:szCs w:val="18"/>
                <w:lang w:eastAsia="zh-CN"/>
              </w:rPr>
              <w:t>）</w:t>
            </w:r>
          </w:p>
        </w:tc>
        <w:tc>
          <w:tcPr>
            <w:tcW w:w="3651" w:type="dxa"/>
            <w:gridSpan w:val="5"/>
            <w:tcBorders>
              <w:top w:val="single" w:color="000000" w:sz="8" w:space="0"/>
              <w:bottom w:val="single" w:color="000000" w:sz="8" w:space="0"/>
            </w:tcBorders>
            <w:noWrap/>
            <w:vAlign w:val="center"/>
          </w:tcPr>
          <w:p>
            <w:pPr>
              <w:spacing w:line="240" w:lineRule="auto"/>
              <w:jc w:val="left"/>
              <w:rPr>
                <w:bCs/>
              </w:rPr>
            </w:pPr>
            <w:r>
              <w:rPr>
                <w:bCs/>
              </w:rPr>
              <w:t>（</w:t>
            </w:r>
            <w:r>
              <w:rPr>
                <w:rFonts w:hint="eastAsia"/>
                <w:bCs/>
                <w:lang w:val="en-US" w:eastAsia="zh-CN"/>
              </w:rPr>
              <w:t>0.02</w:t>
            </w:r>
            <w:r>
              <w:rPr>
                <w:bCs/>
              </w:rPr>
              <w:t>）</w:t>
            </w:r>
          </w:p>
        </w:tc>
        <w:tc>
          <w:tcPr>
            <w:tcW w:w="3821" w:type="dxa"/>
            <w:gridSpan w:val="4"/>
            <w:tcBorders>
              <w:top w:val="single" w:color="000000" w:sz="8" w:space="0"/>
              <w:bottom w:val="single" w:color="000000" w:sz="8" w:space="0"/>
            </w:tcBorders>
            <w:noWrap/>
            <w:vAlign w:val="center"/>
          </w:tcPr>
          <w:p>
            <w:pPr>
              <w:spacing w:line="240" w:lineRule="auto"/>
              <w:jc w:val="left"/>
              <w:rPr>
                <w:bCs/>
              </w:rPr>
            </w:pPr>
            <w:r>
              <w:rPr>
                <w:bCs/>
              </w:rPr>
              <w:t>（</w:t>
            </w:r>
            <w:r>
              <w:rPr>
                <w:rFonts w:hint="eastAsia"/>
                <w:bCs/>
                <w:lang w:val="en-US" w:eastAsia="zh-CN"/>
              </w:rPr>
              <w:t>2</w:t>
            </w:r>
            <w:r>
              <w:rPr>
                <w:bCs/>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6"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continue"/>
            <w:tcBorders>
              <w:tl2br w:val="nil"/>
              <w:tr2bl w:val="nil"/>
            </w:tcBorders>
            <w:noWrap/>
            <w:vAlign w:val="center"/>
          </w:tcPr>
          <w:p>
            <w:pPr>
              <w:spacing w:line="240" w:lineRule="auto"/>
              <w:jc w:val="center"/>
              <w:rPr>
                <w:kern w:val="0"/>
                <w:sz w:val="18"/>
                <w:szCs w:val="18"/>
              </w:rPr>
            </w:pPr>
          </w:p>
        </w:tc>
        <w:tc>
          <w:tcPr>
            <w:tcW w:w="3833" w:type="dxa"/>
            <w:gridSpan w:val="3"/>
            <w:tcBorders>
              <w:top w:val="single" w:color="000000" w:sz="8" w:space="0"/>
              <w:tl2br w:val="nil"/>
              <w:tr2bl w:val="nil"/>
            </w:tcBorders>
            <w:noWrap/>
            <w:vAlign w:val="center"/>
          </w:tcPr>
          <w:p>
            <w:pPr>
              <w:spacing w:line="240" w:lineRule="auto"/>
              <w:jc w:val="left"/>
              <w:rPr>
                <w:rFonts w:hint="eastAsia" w:eastAsia="宋体"/>
                <w:kern w:val="0"/>
                <w:sz w:val="18"/>
                <w:szCs w:val="18"/>
                <w:lang w:eastAsia="zh-CN"/>
              </w:rPr>
            </w:pPr>
            <w:r>
              <w:rPr>
                <w:rFonts w:hint="eastAsia"/>
                <w:kern w:val="0"/>
                <w:sz w:val="18"/>
                <w:szCs w:val="18"/>
                <w:lang w:eastAsia="zh-CN"/>
              </w:rPr>
              <w:t>（</w:t>
            </w:r>
            <w:r>
              <w:rPr>
                <w:rFonts w:hint="eastAsia"/>
                <w:kern w:val="0"/>
                <w:sz w:val="18"/>
                <w:szCs w:val="18"/>
                <w:lang w:val="en-US" w:eastAsia="zh-CN"/>
              </w:rPr>
              <w:t>LAS</w:t>
            </w:r>
            <w:r>
              <w:rPr>
                <w:rFonts w:hint="eastAsia"/>
                <w:kern w:val="0"/>
                <w:sz w:val="18"/>
                <w:szCs w:val="18"/>
                <w:lang w:eastAsia="zh-CN"/>
              </w:rPr>
              <w:t>）</w:t>
            </w:r>
          </w:p>
        </w:tc>
        <w:tc>
          <w:tcPr>
            <w:tcW w:w="3651" w:type="dxa"/>
            <w:gridSpan w:val="5"/>
            <w:tcBorders>
              <w:top w:val="single" w:color="000000" w:sz="8" w:space="0"/>
              <w:tl2br w:val="nil"/>
              <w:tr2bl w:val="nil"/>
            </w:tcBorders>
            <w:noWrap/>
            <w:vAlign w:val="center"/>
          </w:tcPr>
          <w:p>
            <w:pPr>
              <w:spacing w:line="240" w:lineRule="auto"/>
              <w:jc w:val="left"/>
              <w:rPr>
                <w:bCs/>
              </w:rPr>
            </w:pPr>
            <w:r>
              <w:rPr>
                <w:bCs/>
              </w:rPr>
              <w:t>（</w:t>
            </w:r>
            <w:r>
              <w:rPr>
                <w:rFonts w:hint="eastAsia"/>
                <w:bCs/>
                <w:lang w:val="en-US" w:eastAsia="zh-CN"/>
              </w:rPr>
              <w:t>0.06</w:t>
            </w:r>
            <w:r>
              <w:rPr>
                <w:bCs/>
              </w:rPr>
              <w:t>）</w:t>
            </w:r>
          </w:p>
        </w:tc>
        <w:tc>
          <w:tcPr>
            <w:tcW w:w="3821" w:type="dxa"/>
            <w:gridSpan w:val="4"/>
            <w:tcBorders>
              <w:top w:val="single" w:color="000000" w:sz="8" w:space="0"/>
              <w:tl2br w:val="nil"/>
              <w:tr2bl w:val="nil"/>
            </w:tcBorders>
            <w:noWrap/>
            <w:vAlign w:val="center"/>
          </w:tcPr>
          <w:p>
            <w:pPr>
              <w:spacing w:line="240" w:lineRule="auto"/>
              <w:jc w:val="left"/>
              <w:rPr>
                <w:bCs/>
              </w:rPr>
            </w:pPr>
            <w:r>
              <w:rPr>
                <w:bCs/>
              </w:rPr>
              <w:t>（</w:t>
            </w:r>
            <w:r>
              <w:rPr>
                <w:rFonts w:hint="eastAsia"/>
                <w:bCs/>
                <w:lang w:val="en-US" w:eastAsia="zh-CN"/>
              </w:rPr>
              <w:t>6</w:t>
            </w:r>
            <w:r>
              <w:rPr>
                <w:bCs/>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restart"/>
            <w:tcBorders>
              <w:tl2br w:val="nil"/>
              <w:tr2bl w:val="nil"/>
            </w:tcBorders>
            <w:noWrap/>
            <w:vAlign w:val="center"/>
          </w:tcPr>
          <w:p>
            <w:pPr>
              <w:spacing w:line="240" w:lineRule="auto"/>
              <w:jc w:val="center"/>
              <w:rPr>
                <w:kern w:val="0"/>
                <w:sz w:val="18"/>
                <w:szCs w:val="18"/>
              </w:rPr>
            </w:pPr>
            <w:r>
              <w:rPr>
                <w:kern w:val="0"/>
                <w:sz w:val="18"/>
                <w:szCs w:val="18"/>
              </w:rPr>
              <w:t>替代源排放情况</w:t>
            </w:r>
          </w:p>
        </w:tc>
        <w:tc>
          <w:tcPr>
            <w:tcW w:w="2237" w:type="dxa"/>
            <w:tcBorders>
              <w:tl2br w:val="nil"/>
              <w:tr2bl w:val="nil"/>
            </w:tcBorders>
            <w:noWrap/>
            <w:vAlign w:val="center"/>
          </w:tcPr>
          <w:p>
            <w:pPr>
              <w:spacing w:line="240" w:lineRule="auto"/>
              <w:jc w:val="left"/>
              <w:rPr>
                <w:kern w:val="0"/>
                <w:sz w:val="18"/>
                <w:szCs w:val="18"/>
              </w:rPr>
            </w:pPr>
            <w:r>
              <w:rPr>
                <w:kern w:val="0"/>
                <w:sz w:val="18"/>
                <w:szCs w:val="18"/>
              </w:rPr>
              <w:t>污染源名称</w:t>
            </w:r>
          </w:p>
        </w:tc>
        <w:tc>
          <w:tcPr>
            <w:tcW w:w="2391" w:type="dxa"/>
            <w:gridSpan w:val="3"/>
            <w:tcBorders>
              <w:tl2br w:val="nil"/>
              <w:tr2bl w:val="nil"/>
            </w:tcBorders>
            <w:noWrap/>
            <w:vAlign w:val="center"/>
          </w:tcPr>
          <w:p>
            <w:pPr>
              <w:spacing w:line="240" w:lineRule="auto"/>
              <w:jc w:val="left"/>
              <w:rPr>
                <w:kern w:val="0"/>
                <w:sz w:val="18"/>
                <w:szCs w:val="18"/>
              </w:rPr>
            </w:pPr>
            <w:r>
              <w:rPr>
                <w:kern w:val="0"/>
                <w:sz w:val="18"/>
                <w:szCs w:val="18"/>
              </w:rPr>
              <w:t>排污许可证编号</w:t>
            </w:r>
          </w:p>
        </w:tc>
        <w:tc>
          <w:tcPr>
            <w:tcW w:w="2113" w:type="dxa"/>
            <w:gridSpan w:val="2"/>
            <w:tcBorders>
              <w:tl2br w:val="nil"/>
              <w:tr2bl w:val="nil"/>
            </w:tcBorders>
            <w:noWrap/>
            <w:vAlign w:val="center"/>
          </w:tcPr>
          <w:p>
            <w:pPr>
              <w:spacing w:line="240" w:lineRule="auto"/>
              <w:jc w:val="left"/>
              <w:rPr>
                <w:kern w:val="0"/>
                <w:sz w:val="18"/>
                <w:szCs w:val="18"/>
              </w:rPr>
            </w:pPr>
            <w:r>
              <w:rPr>
                <w:kern w:val="0"/>
                <w:sz w:val="18"/>
                <w:szCs w:val="18"/>
              </w:rPr>
              <w:t>污染物名称</w:t>
            </w:r>
          </w:p>
        </w:tc>
        <w:tc>
          <w:tcPr>
            <w:tcW w:w="1988" w:type="dxa"/>
            <w:gridSpan w:val="3"/>
            <w:tcBorders>
              <w:tl2br w:val="nil"/>
              <w:tr2bl w:val="nil"/>
            </w:tcBorders>
            <w:noWrap/>
            <w:vAlign w:val="center"/>
          </w:tcPr>
          <w:p>
            <w:pPr>
              <w:spacing w:line="240" w:lineRule="auto"/>
              <w:jc w:val="left"/>
              <w:rPr>
                <w:kern w:val="0"/>
                <w:sz w:val="18"/>
                <w:szCs w:val="18"/>
              </w:rPr>
            </w:pPr>
            <w:r>
              <w:rPr>
                <w:kern w:val="0"/>
                <w:sz w:val="18"/>
                <w:szCs w:val="18"/>
              </w:rPr>
              <w:t>排放量/（</w:t>
            </w:r>
            <w:r>
              <w:rPr>
                <w:sz w:val="18"/>
                <w:szCs w:val="18"/>
              </w:rPr>
              <w:t>t/a</w:t>
            </w:r>
            <w:r>
              <w:rPr>
                <w:kern w:val="0"/>
                <w:sz w:val="18"/>
                <w:szCs w:val="18"/>
              </w:rPr>
              <w:t>）</w:t>
            </w:r>
          </w:p>
        </w:tc>
        <w:tc>
          <w:tcPr>
            <w:tcW w:w="2576" w:type="dxa"/>
            <w:gridSpan w:val="3"/>
            <w:tcBorders>
              <w:tl2br w:val="nil"/>
              <w:tr2bl w:val="nil"/>
            </w:tcBorders>
            <w:noWrap/>
            <w:vAlign w:val="center"/>
          </w:tcPr>
          <w:p>
            <w:pPr>
              <w:spacing w:line="240" w:lineRule="auto"/>
              <w:jc w:val="left"/>
              <w:rPr>
                <w:kern w:val="0"/>
                <w:sz w:val="18"/>
                <w:szCs w:val="18"/>
              </w:rPr>
            </w:pPr>
            <w:r>
              <w:rPr>
                <w:kern w:val="0"/>
                <w:sz w:val="18"/>
                <w:szCs w:val="18"/>
              </w:rPr>
              <w:t>排放浓度/（mg/L）</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continue"/>
            <w:tcBorders>
              <w:tl2br w:val="nil"/>
              <w:tr2bl w:val="nil"/>
            </w:tcBorders>
            <w:noWrap/>
            <w:vAlign w:val="center"/>
          </w:tcPr>
          <w:p>
            <w:pPr>
              <w:spacing w:line="240" w:lineRule="auto"/>
              <w:jc w:val="center"/>
              <w:rPr>
                <w:kern w:val="0"/>
                <w:sz w:val="18"/>
                <w:szCs w:val="18"/>
              </w:rPr>
            </w:pPr>
          </w:p>
        </w:tc>
        <w:tc>
          <w:tcPr>
            <w:tcW w:w="2237" w:type="dxa"/>
            <w:tcBorders>
              <w:tl2br w:val="nil"/>
              <w:tr2bl w:val="nil"/>
            </w:tcBorders>
            <w:noWrap/>
            <w:vAlign w:val="center"/>
          </w:tcPr>
          <w:p>
            <w:pPr>
              <w:spacing w:line="240" w:lineRule="auto"/>
              <w:jc w:val="left"/>
              <w:rPr>
                <w:kern w:val="0"/>
                <w:sz w:val="18"/>
                <w:szCs w:val="18"/>
              </w:rPr>
            </w:pPr>
            <w:r>
              <w:rPr>
                <w:kern w:val="0"/>
                <w:sz w:val="18"/>
                <w:szCs w:val="18"/>
              </w:rPr>
              <w:t>（   ）</w:t>
            </w:r>
          </w:p>
        </w:tc>
        <w:tc>
          <w:tcPr>
            <w:tcW w:w="2391" w:type="dxa"/>
            <w:gridSpan w:val="3"/>
            <w:tcBorders>
              <w:tl2br w:val="nil"/>
              <w:tr2bl w:val="nil"/>
            </w:tcBorders>
            <w:noWrap/>
            <w:vAlign w:val="center"/>
          </w:tcPr>
          <w:p>
            <w:pPr>
              <w:spacing w:line="240" w:lineRule="auto"/>
              <w:jc w:val="left"/>
              <w:rPr>
                <w:kern w:val="0"/>
                <w:sz w:val="18"/>
                <w:szCs w:val="18"/>
              </w:rPr>
            </w:pPr>
            <w:r>
              <w:rPr>
                <w:kern w:val="0"/>
                <w:sz w:val="18"/>
                <w:szCs w:val="18"/>
              </w:rPr>
              <w:t>（   ）</w:t>
            </w:r>
          </w:p>
        </w:tc>
        <w:tc>
          <w:tcPr>
            <w:tcW w:w="2113" w:type="dxa"/>
            <w:gridSpan w:val="2"/>
            <w:tcBorders>
              <w:tl2br w:val="nil"/>
              <w:tr2bl w:val="nil"/>
            </w:tcBorders>
            <w:noWrap/>
            <w:vAlign w:val="center"/>
          </w:tcPr>
          <w:p>
            <w:pPr>
              <w:spacing w:line="240" w:lineRule="auto"/>
              <w:jc w:val="left"/>
              <w:rPr>
                <w:kern w:val="0"/>
                <w:sz w:val="18"/>
                <w:szCs w:val="18"/>
              </w:rPr>
            </w:pPr>
            <w:r>
              <w:rPr>
                <w:kern w:val="0"/>
                <w:sz w:val="18"/>
                <w:szCs w:val="18"/>
              </w:rPr>
              <w:t>（   ）</w:t>
            </w:r>
          </w:p>
        </w:tc>
        <w:tc>
          <w:tcPr>
            <w:tcW w:w="1988" w:type="dxa"/>
            <w:gridSpan w:val="3"/>
            <w:tcBorders>
              <w:tl2br w:val="nil"/>
              <w:tr2bl w:val="nil"/>
            </w:tcBorders>
            <w:noWrap/>
            <w:vAlign w:val="center"/>
          </w:tcPr>
          <w:p>
            <w:pPr>
              <w:spacing w:line="240" w:lineRule="auto"/>
              <w:jc w:val="left"/>
              <w:rPr>
                <w:kern w:val="0"/>
                <w:sz w:val="18"/>
                <w:szCs w:val="18"/>
              </w:rPr>
            </w:pPr>
            <w:r>
              <w:rPr>
                <w:kern w:val="0"/>
                <w:sz w:val="18"/>
                <w:szCs w:val="18"/>
              </w:rPr>
              <w:t>（   ）</w:t>
            </w:r>
          </w:p>
        </w:tc>
        <w:tc>
          <w:tcPr>
            <w:tcW w:w="2576" w:type="dxa"/>
            <w:gridSpan w:val="3"/>
            <w:tcBorders>
              <w:tl2br w:val="nil"/>
              <w:tr2bl w:val="nil"/>
            </w:tcBorders>
            <w:noWrap/>
            <w:vAlign w:val="center"/>
          </w:tcPr>
          <w:p>
            <w:pPr>
              <w:spacing w:line="240" w:lineRule="auto"/>
              <w:jc w:val="left"/>
              <w:rPr>
                <w:kern w:val="0"/>
                <w:sz w:val="18"/>
                <w:szCs w:val="18"/>
              </w:rPr>
            </w:pPr>
            <w:r>
              <w:rPr>
                <w:kern w:val="0"/>
                <w:sz w:val="18"/>
                <w:szCs w:val="18"/>
              </w:rPr>
              <w:t>（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tcBorders>
              <w:tl2br w:val="nil"/>
              <w:tr2bl w:val="nil"/>
            </w:tcBorders>
            <w:noWrap/>
            <w:vAlign w:val="center"/>
          </w:tcPr>
          <w:p>
            <w:pPr>
              <w:spacing w:line="240" w:lineRule="auto"/>
              <w:jc w:val="center"/>
              <w:rPr>
                <w:kern w:val="0"/>
                <w:sz w:val="18"/>
                <w:szCs w:val="18"/>
              </w:rPr>
            </w:pPr>
            <w:r>
              <w:rPr>
                <w:kern w:val="0"/>
                <w:sz w:val="18"/>
                <w:szCs w:val="18"/>
              </w:rPr>
              <w:t>生态流量确定</w:t>
            </w:r>
          </w:p>
        </w:tc>
        <w:tc>
          <w:tcPr>
            <w:tcW w:w="11305" w:type="dxa"/>
            <w:gridSpan w:val="12"/>
            <w:tcBorders>
              <w:tl2br w:val="nil"/>
              <w:tr2bl w:val="nil"/>
            </w:tcBorders>
            <w:noWrap/>
            <w:vAlign w:val="center"/>
          </w:tcPr>
          <w:p>
            <w:pPr>
              <w:spacing w:line="240" w:lineRule="auto"/>
              <w:jc w:val="left"/>
              <w:rPr>
                <w:kern w:val="0"/>
                <w:sz w:val="18"/>
                <w:szCs w:val="18"/>
              </w:rPr>
            </w:pPr>
            <w:r>
              <w:rPr>
                <w:kern w:val="0"/>
                <w:sz w:val="18"/>
                <w:szCs w:val="18"/>
              </w:rPr>
              <w:t>生态流量：一般水期（   ）m</w:t>
            </w:r>
            <w:r>
              <w:rPr>
                <w:kern w:val="0"/>
                <w:sz w:val="18"/>
                <w:szCs w:val="18"/>
                <w:vertAlign w:val="superscript"/>
              </w:rPr>
              <w:t>3</w:t>
            </w:r>
            <w:r>
              <w:rPr>
                <w:kern w:val="0"/>
                <w:sz w:val="18"/>
                <w:szCs w:val="18"/>
              </w:rPr>
              <w:t>/s；鱼类繁殖期（   ）m</w:t>
            </w:r>
            <w:r>
              <w:rPr>
                <w:kern w:val="0"/>
                <w:sz w:val="18"/>
                <w:szCs w:val="18"/>
                <w:vertAlign w:val="superscript"/>
              </w:rPr>
              <w:t>3</w:t>
            </w:r>
            <w:r>
              <w:rPr>
                <w:kern w:val="0"/>
                <w:sz w:val="18"/>
                <w:szCs w:val="18"/>
              </w:rPr>
              <w:t>/s；其他（   ）m</w:t>
            </w:r>
            <w:r>
              <w:rPr>
                <w:kern w:val="0"/>
                <w:sz w:val="18"/>
                <w:szCs w:val="18"/>
                <w:vertAlign w:val="superscript"/>
              </w:rPr>
              <w:t>3</w:t>
            </w:r>
            <w:r>
              <w:rPr>
                <w:kern w:val="0"/>
                <w:sz w:val="18"/>
                <w:szCs w:val="18"/>
              </w:rPr>
              <w:t>/s</w:t>
            </w:r>
          </w:p>
          <w:p>
            <w:pPr>
              <w:spacing w:line="240" w:lineRule="auto"/>
              <w:jc w:val="left"/>
              <w:rPr>
                <w:kern w:val="0"/>
                <w:sz w:val="18"/>
                <w:szCs w:val="18"/>
              </w:rPr>
            </w:pPr>
            <w:r>
              <w:rPr>
                <w:kern w:val="0"/>
                <w:sz w:val="18"/>
                <w:szCs w:val="18"/>
              </w:rPr>
              <w:t>生态水位：一般水期（   ）m；鱼类繁殖期（   ）m；其他（   ）m</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restart"/>
            <w:tcBorders>
              <w:tl2br w:val="nil"/>
              <w:tr2bl w:val="nil"/>
            </w:tcBorders>
            <w:noWrap/>
            <w:textDirection w:val="tbRlV"/>
            <w:vAlign w:val="center"/>
          </w:tcPr>
          <w:p>
            <w:pPr>
              <w:spacing w:line="240" w:lineRule="auto"/>
              <w:jc w:val="center"/>
              <w:rPr>
                <w:kern w:val="0"/>
                <w:sz w:val="18"/>
                <w:szCs w:val="18"/>
              </w:rPr>
            </w:pPr>
            <w:r>
              <w:rPr>
                <w:kern w:val="0"/>
                <w:sz w:val="18"/>
                <w:szCs w:val="18"/>
              </w:rPr>
              <w:t>防治措施</w:t>
            </w:r>
          </w:p>
        </w:tc>
        <w:tc>
          <w:tcPr>
            <w:tcW w:w="2536" w:type="dxa"/>
            <w:tcBorders>
              <w:tl2br w:val="nil"/>
              <w:tr2bl w:val="nil"/>
            </w:tcBorders>
            <w:noWrap/>
            <w:vAlign w:val="center"/>
          </w:tcPr>
          <w:p>
            <w:pPr>
              <w:spacing w:line="240" w:lineRule="auto"/>
              <w:jc w:val="center"/>
              <w:rPr>
                <w:kern w:val="0"/>
                <w:sz w:val="18"/>
                <w:szCs w:val="18"/>
              </w:rPr>
            </w:pPr>
            <w:r>
              <w:rPr>
                <w:kern w:val="0"/>
                <w:sz w:val="18"/>
                <w:szCs w:val="18"/>
              </w:rPr>
              <w:t>环保措施</w:t>
            </w:r>
          </w:p>
        </w:tc>
        <w:tc>
          <w:tcPr>
            <w:tcW w:w="11305" w:type="dxa"/>
            <w:gridSpan w:val="12"/>
            <w:tcBorders>
              <w:tl2br w:val="nil"/>
              <w:tr2bl w:val="nil"/>
            </w:tcBorders>
            <w:noWrap/>
            <w:vAlign w:val="center"/>
          </w:tcPr>
          <w:p>
            <w:pPr>
              <w:spacing w:line="240" w:lineRule="auto"/>
              <w:jc w:val="left"/>
              <w:rPr>
                <w:kern w:val="0"/>
                <w:sz w:val="18"/>
                <w:szCs w:val="18"/>
              </w:rPr>
            </w:pPr>
            <w:r>
              <w:rPr>
                <w:kern w:val="0"/>
                <w:sz w:val="18"/>
                <w:szCs w:val="18"/>
              </w:rPr>
              <w:t xml:space="preserve">污水处理设施 </w:t>
            </w:r>
            <w:r>
              <w:rPr>
                <w:rFonts w:eastAsia="MS Mincho"/>
                <w:kern w:val="0"/>
                <w:sz w:val="18"/>
                <w:szCs w:val="18"/>
              </w:rPr>
              <w:t>☑</w:t>
            </w:r>
            <w:r>
              <w:rPr>
                <w:kern w:val="0"/>
                <w:sz w:val="18"/>
                <w:szCs w:val="18"/>
              </w:rPr>
              <w:t>；水文减缓设施 □；生态流量保障设施 □；区域削减 □；依托其他工程措施 □；其他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21"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restart"/>
            <w:tcBorders>
              <w:tl2br w:val="nil"/>
              <w:tr2bl w:val="nil"/>
            </w:tcBorders>
            <w:noWrap/>
            <w:vAlign w:val="center"/>
          </w:tcPr>
          <w:p>
            <w:pPr>
              <w:spacing w:line="240" w:lineRule="auto"/>
              <w:jc w:val="center"/>
              <w:rPr>
                <w:kern w:val="0"/>
                <w:sz w:val="18"/>
                <w:szCs w:val="18"/>
              </w:rPr>
            </w:pPr>
            <w:r>
              <w:rPr>
                <w:kern w:val="0"/>
                <w:sz w:val="18"/>
                <w:szCs w:val="18"/>
              </w:rPr>
              <w:t>监测计划</w:t>
            </w:r>
          </w:p>
        </w:tc>
        <w:tc>
          <w:tcPr>
            <w:tcW w:w="2854" w:type="dxa"/>
            <w:gridSpan w:val="2"/>
            <w:tcBorders>
              <w:tl2br w:val="nil"/>
              <w:tr2bl w:val="nil"/>
            </w:tcBorders>
            <w:noWrap/>
            <w:vAlign w:val="center"/>
          </w:tcPr>
          <w:p>
            <w:pPr>
              <w:spacing w:line="240" w:lineRule="auto"/>
              <w:jc w:val="center"/>
              <w:rPr>
                <w:kern w:val="0"/>
                <w:sz w:val="18"/>
                <w:szCs w:val="18"/>
              </w:rPr>
            </w:pPr>
          </w:p>
        </w:tc>
        <w:tc>
          <w:tcPr>
            <w:tcW w:w="4185" w:type="dxa"/>
            <w:gridSpan w:val="5"/>
            <w:tcBorders>
              <w:tl2br w:val="nil"/>
              <w:tr2bl w:val="nil"/>
            </w:tcBorders>
            <w:noWrap/>
            <w:vAlign w:val="center"/>
          </w:tcPr>
          <w:p>
            <w:pPr>
              <w:spacing w:line="240" w:lineRule="auto"/>
              <w:jc w:val="center"/>
              <w:rPr>
                <w:kern w:val="0"/>
                <w:sz w:val="18"/>
                <w:szCs w:val="18"/>
              </w:rPr>
            </w:pPr>
            <w:r>
              <w:rPr>
                <w:kern w:val="0"/>
                <w:sz w:val="18"/>
                <w:szCs w:val="18"/>
              </w:rPr>
              <w:t>环境质量</w:t>
            </w:r>
          </w:p>
        </w:tc>
        <w:tc>
          <w:tcPr>
            <w:tcW w:w="4266" w:type="dxa"/>
            <w:gridSpan w:val="5"/>
            <w:tcBorders>
              <w:tl2br w:val="nil"/>
              <w:tr2bl w:val="nil"/>
            </w:tcBorders>
            <w:noWrap/>
            <w:vAlign w:val="center"/>
          </w:tcPr>
          <w:p>
            <w:pPr>
              <w:spacing w:line="240" w:lineRule="auto"/>
              <w:jc w:val="center"/>
              <w:rPr>
                <w:kern w:val="0"/>
                <w:sz w:val="18"/>
                <w:szCs w:val="18"/>
              </w:rPr>
            </w:pPr>
            <w:r>
              <w:rPr>
                <w:kern w:val="0"/>
                <w:sz w:val="18"/>
                <w:szCs w:val="18"/>
              </w:rPr>
              <w:t>污染源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21"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continue"/>
            <w:tcBorders>
              <w:tl2br w:val="nil"/>
              <w:tr2bl w:val="nil"/>
            </w:tcBorders>
            <w:noWrap/>
            <w:vAlign w:val="center"/>
          </w:tcPr>
          <w:p>
            <w:pPr>
              <w:spacing w:line="240" w:lineRule="auto"/>
              <w:jc w:val="center"/>
              <w:rPr>
                <w:kern w:val="0"/>
                <w:sz w:val="18"/>
                <w:szCs w:val="18"/>
              </w:rPr>
            </w:pPr>
          </w:p>
        </w:tc>
        <w:tc>
          <w:tcPr>
            <w:tcW w:w="2854" w:type="dxa"/>
            <w:gridSpan w:val="2"/>
            <w:tcBorders>
              <w:tl2br w:val="nil"/>
              <w:tr2bl w:val="nil"/>
            </w:tcBorders>
            <w:noWrap/>
            <w:vAlign w:val="center"/>
          </w:tcPr>
          <w:p>
            <w:pPr>
              <w:spacing w:line="240" w:lineRule="auto"/>
              <w:jc w:val="center"/>
              <w:rPr>
                <w:kern w:val="0"/>
                <w:sz w:val="18"/>
                <w:szCs w:val="18"/>
              </w:rPr>
            </w:pPr>
            <w:r>
              <w:rPr>
                <w:kern w:val="0"/>
                <w:sz w:val="18"/>
                <w:szCs w:val="18"/>
              </w:rPr>
              <w:t>监测方式</w:t>
            </w:r>
          </w:p>
        </w:tc>
        <w:tc>
          <w:tcPr>
            <w:tcW w:w="4185" w:type="dxa"/>
            <w:gridSpan w:val="5"/>
            <w:tcBorders>
              <w:tl2br w:val="nil"/>
              <w:tr2bl w:val="nil"/>
            </w:tcBorders>
            <w:noWrap/>
            <w:vAlign w:val="center"/>
          </w:tcPr>
          <w:p>
            <w:pPr>
              <w:spacing w:line="240" w:lineRule="auto"/>
              <w:jc w:val="center"/>
              <w:rPr>
                <w:b/>
                <w:kern w:val="0"/>
                <w:sz w:val="18"/>
                <w:szCs w:val="18"/>
              </w:rPr>
            </w:pPr>
            <w:r>
              <w:rPr>
                <w:kern w:val="0"/>
                <w:sz w:val="18"/>
                <w:szCs w:val="18"/>
              </w:rPr>
              <w:t xml:space="preserve">手动 </w:t>
            </w:r>
            <w:r>
              <w:rPr>
                <w:rFonts w:eastAsia="MS Mincho"/>
                <w:kern w:val="0"/>
                <w:sz w:val="18"/>
                <w:szCs w:val="18"/>
              </w:rPr>
              <w:t>☑</w:t>
            </w:r>
            <w:r>
              <w:rPr>
                <w:kern w:val="0"/>
                <w:sz w:val="18"/>
                <w:szCs w:val="18"/>
              </w:rPr>
              <w:t>；自动 □；无监测 □</w:t>
            </w:r>
          </w:p>
        </w:tc>
        <w:tc>
          <w:tcPr>
            <w:tcW w:w="4266" w:type="dxa"/>
            <w:gridSpan w:val="5"/>
            <w:tcBorders>
              <w:tl2br w:val="nil"/>
              <w:tr2bl w:val="nil"/>
            </w:tcBorders>
            <w:noWrap/>
            <w:vAlign w:val="center"/>
          </w:tcPr>
          <w:p>
            <w:pPr>
              <w:spacing w:line="240" w:lineRule="auto"/>
              <w:jc w:val="center"/>
              <w:rPr>
                <w:kern w:val="0"/>
                <w:sz w:val="18"/>
                <w:szCs w:val="18"/>
              </w:rPr>
            </w:pPr>
            <w:r>
              <w:rPr>
                <w:kern w:val="0"/>
                <w:sz w:val="18"/>
                <w:szCs w:val="18"/>
              </w:rPr>
              <w:t xml:space="preserve">手动 </w:t>
            </w:r>
            <w:r>
              <w:rPr>
                <w:rFonts w:eastAsia="MS Mincho"/>
                <w:kern w:val="0"/>
                <w:sz w:val="18"/>
                <w:szCs w:val="18"/>
              </w:rPr>
              <w:t>☑</w:t>
            </w:r>
            <w:r>
              <w:rPr>
                <w:kern w:val="0"/>
                <w:sz w:val="18"/>
                <w:szCs w:val="18"/>
              </w:rPr>
              <w:t>；自动 □；无监测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21"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continue"/>
            <w:tcBorders>
              <w:tl2br w:val="nil"/>
              <w:tr2bl w:val="nil"/>
            </w:tcBorders>
            <w:noWrap/>
            <w:vAlign w:val="center"/>
          </w:tcPr>
          <w:p>
            <w:pPr>
              <w:spacing w:line="240" w:lineRule="auto"/>
              <w:jc w:val="center"/>
              <w:rPr>
                <w:kern w:val="0"/>
                <w:sz w:val="18"/>
                <w:szCs w:val="18"/>
              </w:rPr>
            </w:pPr>
          </w:p>
        </w:tc>
        <w:tc>
          <w:tcPr>
            <w:tcW w:w="2854" w:type="dxa"/>
            <w:gridSpan w:val="2"/>
            <w:tcBorders>
              <w:tl2br w:val="nil"/>
              <w:tr2bl w:val="nil"/>
            </w:tcBorders>
            <w:noWrap/>
            <w:vAlign w:val="center"/>
          </w:tcPr>
          <w:p>
            <w:pPr>
              <w:spacing w:line="240" w:lineRule="auto"/>
              <w:jc w:val="center"/>
              <w:rPr>
                <w:kern w:val="0"/>
                <w:sz w:val="18"/>
                <w:szCs w:val="18"/>
              </w:rPr>
            </w:pPr>
            <w:r>
              <w:rPr>
                <w:kern w:val="0"/>
                <w:sz w:val="18"/>
                <w:szCs w:val="18"/>
              </w:rPr>
              <w:t>监测点位</w:t>
            </w:r>
          </w:p>
        </w:tc>
        <w:tc>
          <w:tcPr>
            <w:tcW w:w="4185" w:type="dxa"/>
            <w:gridSpan w:val="5"/>
            <w:tcBorders>
              <w:tl2br w:val="nil"/>
              <w:tr2bl w:val="nil"/>
            </w:tcBorders>
            <w:noWrap/>
            <w:vAlign w:val="center"/>
          </w:tcPr>
          <w:p>
            <w:pPr>
              <w:spacing w:line="240" w:lineRule="auto"/>
              <w:jc w:val="center"/>
              <w:rPr>
                <w:kern w:val="0"/>
                <w:sz w:val="18"/>
                <w:szCs w:val="18"/>
              </w:rPr>
            </w:pPr>
            <w:r>
              <w:rPr>
                <w:kern w:val="0"/>
                <w:sz w:val="18"/>
                <w:szCs w:val="18"/>
              </w:rPr>
              <w:t xml:space="preserve">（ </w:t>
            </w:r>
            <w:r>
              <w:rPr>
                <w:rFonts w:hint="eastAsia"/>
                <w:kern w:val="0"/>
                <w:sz w:val="18"/>
                <w:szCs w:val="18"/>
                <w:lang w:eastAsia="zh-CN"/>
              </w:rPr>
              <w:t>排放口</w:t>
            </w:r>
            <w:r>
              <w:rPr>
                <w:kern w:val="0"/>
                <w:sz w:val="18"/>
                <w:szCs w:val="18"/>
              </w:rPr>
              <w:t xml:space="preserve">  ）</w:t>
            </w:r>
          </w:p>
        </w:tc>
        <w:tc>
          <w:tcPr>
            <w:tcW w:w="4266" w:type="dxa"/>
            <w:gridSpan w:val="5"/>
            <w:tcBorders>
              <w:tl2br w:val="nil"/>
              <w:tr2bl w:val="nil"/>
            </w:tcBorders>
            <w:noWrap/>
            <w:vAlign w:val="center"/>
          </w:tcPr>
          <w:p>
            <w:pPr>
              <w:spacing w:line="240" w:lineRule="auto"/>
              <w:jc w:val="center"/>
              <w:rPr>
                <w:kern w:val="0"/>
                <w:sz w:val="18"/>
                <w:szCs w:val="18"/>
              </w:rPr>
            </w:pPr>
            <w:r>
              <w:rPr>
                <w:kern w:val="0"/>
                <w:sz w:val="18"/>
                <w:szCs w:val="18"/>
              </w:rPr>
              <w:t xml:space="preserve">（ </w:t>
            </w:r>
            <w:r>
              <w:rPr>
                <w:rFonts w:hint="eastAsia"/>
                <w:kern w:val="0"/>
                <w:sz w:val="18"/>
                <w:szCs w:val="18"/>
                <w:lang w:eastAsia="zh-CN"/>
              </w:rPr>
              <w:t>排放口</w:t>
            </w:r>
            <w:r>
              <w:rPr>
                <w:kern w:val="0"/>
                <w:sz w:val="18"/>
                <w:szCs w:val="18"/>
              </w:rPr>
              <w:t xml:space="preserve">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21"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vMerge w:val="continue"/>
            <w:tcBorders>
              <w:tl2br w:val="nil"/>
              <w:tr2bl w:val="nil"/>
            </w:tcBorders>
            <w:noWrap/>
            <w:vAlign w:val="center"/>
          </w:tcPr>
          <w:p>
            <w:pPr>
              <w:spacing w:line="240" w:lineRule="auto"/>
              <w:jc w:val="center"/>
              <w:rPr>
                <w:kern w:val="0"/>
                <w:sz w:val="18"/>
                <w:szCs w:val="18"/>
              </w:rPr>
            </w:pPr>
          </w:p>
        </w:tc>
        <w:tc>
          <w:tcPr>
            <w:tcW w:w="2854" w:type="dxa"/>
            <w:gridSpan w:val="2"/>
            <w:tcBorders>
              <w:tl2br w:val="nil"/>
              <w:tr2bl w:val="nil"/>
            </w:tcBorders>
            <w:noWrap/>
            <w:vAlign w:val="center"/>
          </w:tcPr>
          <w:p>
            <w:pPr>
              <w:spacing w:line="240" w:lineRule="auto"/>
              <w:jc w:val="center"/>
              <w:rPr>
                <w:kern w:val="0"/>
                <w:sz w:val="18"/>
                <w:szCs w:val="18"/>
              </w:rPr>
            </w:pPr>
            <w:r>
              <w:rPr>
                <w:kern w:val="0"/>
                <w:sz w:val="18"/>
                <w:szCs w:val="18"/>
              </w:rPr>
              <w:t>监测因子</w:t>
            </w:r>
          </w:p>
        </w:tc>
        <w:tc>
          <w:tcPr>
            <w:tcW w:w="4185" w:type="dxa"/>
            <w:gridSpan w:val="5"/>
            <w:tcBorders>
              <w:tl2br w:val="nil"/>
              <w:tr2bl w:val="nil"/>
            </w:tcBorders>
            <w:noWrap/>
          </w:tcPr>
          <w:p>
            <w:pPr>
              <w:spacing w:line="240" w:lineRule="auto"/>
              <w:jc w:val="center"/>
              <w:rPr>
                <w:kern w:val="0"/>
                <w:sz w:val="18"/>
                <w:szCs w:val="18"/>
              </w:rPr>
            </w:pPr>
            <w:r>
              <w:rPr>
                <w:kern w:val="0"/>
                <w:sz w:val="18"/>
                <w:szCs w:val="18"/>
              </w:rPr>
              <w:t>（  pH、COD、NH</w:t>
            </w:r>
            <w:r>
              <w:rPr>
                <w:kern w:val="0"/>
                <w:sz w:val="18"/>
                <w:szCs w:val="18"/>
                <w:vertAlign w:val="subscript"/>
              </w:rPr>
              <w:t>3</w:t>
            </w:r>
            <w:r>
              <w:rPr>
                <w:kern w:val="0"/>
                <w:sz w:val="18"/>
                <w:szCs w:val="18"/>
              </w:rPr>
              <w:t>-N、BOD</w:t>
            </w:r>
            <w:r>
              <w:rPr>
                <w:kern w:val="0"/>
                <w:sz w:val="18"/>
                <w:szCs w:val="18"/>
                <w:vertAlign w:val="subscript"/>
              </w:rPr>
              <w:t>5</w:t>
            </w:r>
            <w:r>
              <w:rPr>
                <w:kern w:val="0"/>
                <w:sz w:val="18"/>
                <w:szCs w:val="18"/>
              </w:rPr>
              <w:t>、SS、动植物油</w:t>
            </w:r>
            <w:r>
              <w:rPr>
                <w:rFonts w:hint="eastAsia"/>
                <w:kern w:val="0"/>
                <w:sz w:val="18"/>
                <w:szCs w:val="18"/>
                <w:lang w:eastAsia="zh-CN"/>
              </w:rPr>
              <w:t>、</w:t>
            </w:r>
            <w:r>
              <w:rPr>
                <w:rFonts w:hint="eastAsia"/>
                <w:kern w:val="0"/>
                <w:sz w:val="18"/>
                <w:szCs w:val="18"/>
                <w:lang w:val="en-US" w:eastAsia="zh-CN"/>
              </w:rPr>
              <w:t>TP、LAS</w:t>
            </w:r>
            <w:r>
              <w:rPr>
                <w:kern w:val="0"/>
                <w:sz w:val="18"/>
                <w:szCs w:val="18"/>
              </w:rPr>
              <w:t xml:space="preserve"> </w:t>
            </w:r>
            <w:r>
              <w:rPr>
                <w:rFonts w:hint="eastAsia"/>
                <w:kern w:val="0"/>
                <w:sz w:val="18"/>
                <w:szCs w:val="18"/>
                <w:lang w:eastAsia="zh-CN"/>
              </w:rPr>
              <w:t>、色的</w:t>
            </w:r>
            <w:r>
              <w:rPr>
                <w:kern w:val="0"/>
                <w:sz w:val="18"/>
                <w:szCs w:val="18"/>
              </w:rPr>
              <w:t>）</w:t>
            </w:r>
          </w:p>
        </w:tc>
        <w:tc>
          <w:tcPr>
            <w:tcW w:w="4266" w:type="dxa"/>
            <w:gridSpan w:val="5"/>
            <w:tcBorders>
              <w:tl2br w:val="nil"/>
              <w:tr2bl w:val="nil"/>
            </w:tcBorders>
            <w:noWrap/>
          </w:tcPr>
          <w:p>
            <w:pPr>
              <w:spacing w:line="240" w:lineRule="auto"/>
              <w:jc w:val="center"/>
              <w:rPr>
                <w:kern w:val="0"/>
                <w:sz w:val="18"/>
                <w:szCs w:val="18"/>
              </w:rPr>
            </w:pPr>
            <w:r>
              <w:rPr>
                <w:kern w:val="0"/>
                <w:sz w:val="18"/>
                <w:szCs w:val="18"/>
              </w:rPr>
              <w:t>（pH、COD、NH</w:t>
            </w:r>
            <w:r>
              <w:rPr>
                <w:kern w:val="0"/>
                <w:sz w:val="18"/>
                <w:szCs w:val="18"/>
                <w:vertAlign w:val="subscript"/>
              </w:rPr>
              <w:t>3</w:t>
            </w:r>
            <w:r>
              <w:rPr>
                <w:kern w:val="0"/>
                <w:sz w:val="18"/>
                <w:szCs w:val="18"/>
              </w:rPr>
              <w:t>-N、BOD</w:t>
            </w:r>
            <w:r>
              <w:rPr>
                <w:kern w:val="0"/>
                <w:sz w:val="18"/>
                <w:szCs w:val="18"/>
                <w:vertAlign w:val="subscript"/>
              </w:rPr>
              <w:t>5</w:t>
            </w:r>
            <w:r>
              <w:rPr>
                <w:kern w:val="0"/>
                <w:sz w:val="18"/>
                <w:szCs w:val="18"/>
              </w:rPr>
              <w:t>、SS、动植物油</w:t>
            </w:r>
            <w:r>
              <w:rPr>
                <w:rFonts w:hint="eastAsia"/>
                <w:kern w:val="0"/>
                <w:sz w:val="18"/>
                <w:szCs w:val="18"/>
                <w:lang w:eastAsia="zh-CN"/>
              </w:rPr>
              <w:t>、</w:t>
            </w:r>
            <w:r>
              <w:rPr>
                <w:rFonts w:hint="eastAsia"/>
                <w:kern w:val="0"/>
                <w:sz w:val="18"/>
                <w:szCs w:val="18"/>
                <w:lang w:val="en-US" w:eastAsia="zh-CN"/>
              </w:rPr>
              <w:t>TP、LAS、色度</w:t>
            </w:r>
            <w:r>
              <w:rPr>
                <w:kern w:val="0"/>
                <w:sz w:val="18"/>
                <w:szCs w:val="18"/>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377" w:type="dxa"/>
            <w:vMerge w:val="continue"/>
            <w:tcBorders>
              <w:tl2br w:val="nil"/>
              <w:tr2bl w:val="nil"/>
            </w:tcBorders>
            <w:noWrap/>
            <w:vAlign w:val="center"/>
          </w:tcPr>
          <w:p>
            <w:pPr>
              <w:spacing w:line="240" w:lineRule="auto"/>
              <w:jc w:val="left"/>
              <w:rPr>
                <w:kern w:val="0"/>
                <w:sz w:val="18"/>
                <w:szCs w:val="18"/>
              </w:rPr>
            </w:pPr>
          </w:p>
        </w:tc>
        <w:tc>
          <w:tcPr>
            <w:tcW w:w="2536" w:type="dxa"/>
            <w:tcBorders>
              <w:tl2br w:val="nil"/>
              <w:tr2bl w:val="nil"/>
            </w:tcBorders>
            <w:noWrap/>
            <w:vAlign w:val="center"/>
          </w:tcPr>
          <w:p>
            <w:pPr>
              <w:spacing w:line="240" w:lineRule="auto"/>
              <w:jc w:val="center"/>
              <w:rPr>
                <w:kern w:val="0"/>
                <w:sz w:val="18"/>
                <w:szCs w:val="18"/>
              </w:rPr>
            </w:pPr>
            <w:r>
              <w:rPr>
                <w:kern w:val="0"/>
                <w:sz w:val="18"/>
                <w:szCs w:val="18"/>
              </w:rPr>
              <w:t>污染物排放清单</w:t>
            </w:r>
          </w:p>
        </w:tc>
        <w:tc>
          <w:tcPr>
            <w:tcW w:w="11305" w:type="dxa"/>
            <w:gridSpan w:val="12"/>
            <w:tcBorders>
              <w:tl2br w:val="nil"/>
              <w:tr2bl w:val="nil"/>
            </w:tcBorders>
            <w:noWrap/>
            <w:vAlign w:val="center"/>
          </w:tcPr>
          <w:p>
            <w:pPr>
              <w:spacing w:line="240" w:lineRule="auto"/>
              <w:jc w:val="left"/>
              <w:rPr>
                <w:kern w:val="0"/>
                <w:sz w:val="18"/>
                <w:szCs w:val="18"/>
              </w:rPr>
            </w:pPr>
            <w:r>
              <w:rPr>
                <w:kern w:val="0"/>
                <w:sz w:val="18"/>
                <w:szCs w:val="18"/>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jc w:val="center"/>
        </w:trPr>
        <w:tc>
          <w:tcPr>
            <w:tcW w:w="2913" w:type="dxa"/>
            <w:gridSpan w:val="2"/>
            <w:tcBorders>
              <w:tl2br w:val="nil"/>
              <w:tr2bl w:val="nil"/>
            </w:tcBorders>
            <w:noWrap/>
            <w:vAlign w:val="center"/>
          </w:tcPr>
          <w:p>
            <w:pPr>
              <w:spacing w:line="240" w:lineRule="auto"/>
              <w:jc w:val="center"/>
              <w:rPr>
                <w:kern w:val="0"/>
                <w:sz w:val="18"/>
                <w:szCs w:val="18"/>
              </w:rPr>
            </w:pPr>
            <w:r>
              <w:rPr>
                <w:kern w:val="0"/>
                <w:sz w:val="18"/>
                <w:szCs w:val="18"/>
              </w:rPr>
              <w:t>评价结论</w:t>
            </w:r>
          </w:p>
        </w:tc>
        <w:tc>
          <w:tcPr>
            <w:tcW w:w="11305" w:type="dxa"/>
            <w:gridSpan w:val="12"/>
            <w:tcBorders>
              <w:tl2br w:val="nil"/>
              <w:tr2bl w:val="nil"/>
            </w:tcBorders>
            <w:noWrap/>
            <w:vAlign w:val="center"/>
          </w:tcPr>
          <w:p>
            <w:pPr>
              <w:spacing w:line="240" w:lineRule="auto"/>
              <w:jc w:val="left"/>
              <w:rPr>
                <w:kern w:val="0"/>
                <w:sz w:val="18"/>
                <w:szCs w:val="18"/>
              </w:rPr>
            </w:pPr>
            <w:r>
              <w:rPr>
                <w:kern w:val="0"/>
                <w:sz w:val="18"/>
                <w:szCs w:val="18"/>
              </w:rPr>
              <w:t xml:space="preserve">可以接受 </w:t>
            </w:r>
            <w:r>
              <w:rPr>
                <w:rFonts w:eastAsia="MS Mincho"/>
                <w:kern w:val="0"/>
                <w:sz w:val="18"/>
                <w:szCs w:val="18"/>
              </w:rPr>
              <w:t>☑</w:t>
            </w:r>
            <w:r>
              <w:rPr>
                <w:kern w:val="0"/>
                <w:sz w:val="18"/>
                <w:szCs w:val="18"/>
              </w:rPr>
              <w:t>；不可以接受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79" w:hRule="atLeast"/>
          <w:jc w:val="center"/>
        </w:trPr>
        <w:tc>
          <w:tcPr>
            <w:tcW w:w="14218" w:type="dxa"/>
            <w:gridSpan w:val="14"/>
            <w:tcBorders>
              <w:tl2br w:val="nil"/>
              <w:tr2bl w:val="nil"/>
            </w:tcBorders>
            <w:noWrap/>
            <w:vAlign w:val="center"/>
          </w:tcPr>
          <w:p>
            <w:pPr>
              <w:spacing w:line="240" w:lineRule="auto"/>
              <w:jc w:val="left"/>
              <w:rPr>
                <w:kern w:val="0"/>
                <w:sz w:val="18"/>
                <w:szCs w:val="18"/>
              </w:rPr>
            </w:pPr>
            <w:r>
              <w:rPr>
                <w:kern w:val="0"/>
                <w:sz w:val="18"/>
                <w:szCs w:val="18"/>
              </w:rPr>
              <w:t>注：“□”为勾选项，可√；“（   ）”为内容填写项；“备注”为其他补充内容。</w:t>
            </w:r>
          </w:p>
        </w:tc>
      </w:tr>
    </w:tbl>
    <w:p>
      <w:pPr>
        <w:sectPr>
          <w:headerReference r:id="rId14" w:type="default"/>
          <w:pgSz w:w="16838" w:h="11906" w:orient="landscape"/>
          <w:pgMar w:top="1701" w:right="1418" w:bottom="1701" w:left="1418" w:header="851" w:footer="992" w:gutter="0"/>
          <w:pgBorders>
            <w:top w:val="none" w:sz="0" w:space="0"/>
            <w:left w:val="none" w:sz="0" w:space="0"/>
            <w:bottom w:val="none" w:sz="0" w:space="0"/>
            <w:right w:val="none" w:sz="0" w:space="0"/>
          </w:pgBorders>
          <w:cols w:space="720" w:num="1"/>
          <w:docGrid w:type="lines" w:linePitch="312" w:charSpace="0"/>
        </w:sectPr>
      </w:pPr>
    </w:p>
    <w:p>
      <w:pPr>
        <w:pStyle w:val="7"/>
      </w:pPr>
      <w:r>
        <w:rPr>
          <w:szCs w:val="24"/>
        </w:rPr>
        <w:t>4.2.3营运期地下水环境影响评价</w:t>
      </w:r>
    </w:p>
    <w:p>
      <w:pPr>
        <w:pStyle w:val="45"/>
        <w:ind w:firstLine="480"/>
        <w:rPr>
          <w:rFonts w:eastAsia="宋体" w:cs="Times New Roman"/>
          <w:bCs/>
          <w:spacing w:val="0"/>
          <w:kern w:val="0"/>
          <w:szCs w:val="24"/>
        </w:rPr>
      </w:pPr>
      <w:r>
        <w:rPr>
          <w:rFonts w:eastAsia="宋体" w:cs="Times New Roman"/>
          <w:bCs/>
          <w:spacing w:val="0"/>
          <w:kern w:val="0"/>
          <w:szCs w:val="24"/>
        </w:rPr>
        <w:t>1、项目建设对地下水补给和地下水水量平衡的影响</w:t>
      </w:r>
    </w:p>
    <w:p>
      <w:pPr>
        <w:pStyle w:val="45"/>
        <w:ind w:firstLine="480"/>
        <w:rPr>
          <w:rFonts w:eastAsia="宋体" w:cs="Times New Roman"/>
          <w:bCs/>
          <w:spacing w:val="0"/>
          <w:kern w:val="0"/>
          <w:szCs w:val="24"/>
        </w:rPr>
      </w:pPr>
      <w:r>
        <w:rPr>
          <w:rFonts w:eastAsia="宋体" w:cs="Times New Roman"/>
          <w:bCs/>
          <w:spacing w:val="0"/>
          <w:kern w:val="0"/>
          <w:szCs w:val="24"/>
        </w:rPr>
        <w:t>项目所在地区域地表水的渗透是地下水补给的重要来源之一，而地表水的补给与地表的渗透性和降雨量等有关。项目建设最直接的影响是场址内地表渗透性的改变。本项目部分厂房利用现有，部分厂房新建，建设开发后，场址内的大部分地表会被改造成为不透的硬化地表，使补给地下水的途径受到一定的影响。而硬化地面还有一个影响的作用是对地表蒸发的减少，所以实际的水源涵养能力的变化较小，本项目建设对于区域的地下水资源的影响是</w:t>
      </w:r>
      <w:r>
        <w:rPr>
          <w:rFonts w:hint="eastAsia" w:eastAsia="宋体" w:cs="Times New Roman"/>
          <w:bCs/>
          <w:spacing w:val="0"/>
          <w:kern w:val="0"/>
          <w:szCs w:val="24"/>
        </w:rPr>
        <w:t>可以接受</w:t>
      </w:r>
      <w:r>
        <w:rPr>
          <w:rFonts w:eastAsia="宋体" w:cs="Times New Roman"/>
          <w:bCs/>
          <w:spacing w:val="0"/>
          <w:kern w:val="0"/>
          <w:szCs w:val="24"/>
        </w:rPr>
        <w:t>的。</w:t>
      </w:r>
    </w:p>
    <w:p>
      <w:pPr>
        <w:pStyle w:val="45"/>
        <w:ind w:firstLine="480"/>
        <w:rPr>
          <w:rFonts w:eastAsia="宋体" w:cs="Times New Roman"/>
          <w:bCs/>
          <w:spacing w:val="0"/>
          <w:kern w:val="0"/>
          <w:szCs w:val="24"/>
        </w:rPr>
      </w:pPr>
      <w:r>
        <w:rPr>
          <w:rFonts w:eastAsia="宋体" w:cs="Times New Roman"/>
          <w:bCs/>
          <w:spacing w:val="0"/>
          <w:kern w:val="0"/>
          <w:szCs w:val="24"/>
        </w:rPr>
        <w:t>地下水在土壤中形成一个系统，在饱水带具有较好的连通性，因此，当局部的地下水补给出现变化时，周边的补给会及时补偿，小范围的地表渗透性变化不会对区域地下水水量和地下水平衡产生明显的影响。</w:t>
      </w:r>
    </w:p>
    <w:p>
      <w:pPr>
        <w:pStyle w:val="45"/>
        <w:ind w:firstLine="480"/>
        <w:rPr>
          <w:rFonts w:eastAsia="宋体" w:cs="Times New Roman"/>
          <w:bCs/>
          <w:spacing w:val="0"/>
          <w:kern w:val="0"/>
          <w:szCs w:val="24"/>
        </w:rPr>
      </w:pPr>
      <w:r>
        <w:rPr>
          <w:rFonts w:eastAsia="宋体" w:cs="Times New Roman"/>
          <w:bCs/>
          <w:spacing w:val="0"/>
          <w:kern w:val="0"/>
          <w:szCs w:val="24"/>
        </w:rPr>
        <w:t>2、项目建设对地下水水质的影响</w:t>
      </w:r>
    </w:p>
    <w:p>
      <w:pPr>
        <w:pStyle w:val="45"/>
        <w:ind w:firstLine="600" w:firstLineChars="250"/>
        <w:rPr>
          <w:rFonts w:eastAsia="宋体" w:cs="Times New Roman"/>
          <w:bCs/>
          <w:spacing w:val="0"/>
          <w:kern w:val="0"/>
          <w:szCs w:val="24"/>
        </w:rPr>
      </w:pPr>
      <w:r>
        <w:rPr>
          <w:rFonts w:eastAsia="宋体" w:cs="Times New Roman"/>
          <w:bCs/>
          <w:spacing w:val="0"/>
          <w:kern w:val="0"/>
          <w:szCs w:val="24"/>
        </w:rPr>
        <w:t>（1）污染途径分析</w:t>
      </w:r>
    </w:p>
    <w:p>
      <w:pPr>
        <w:pStyle w:val="45"/>
        <w:ind w:firstLine="480"/>
        <w:rPr>
          <w:rFonts w:eastAsia="宋体" w:cs="Times New Roman"/>
          <w:bCs/>
          <w:spacing w:val="0"/>
          <w:kern w:val="0"/>
          <w:szCs w:val="24"/>
        </w:rPr>
      </w:pPr>
      <w:r>
        <w:rPr>
          <w:rFonts w:eastAsia="宋体" w:cs="Times New Roman"/>
          <w:bCs/>
          <w:spacing w:val="0"/>
          <w:kern w:val="0"/>
          <w:szCs w:val="24"/>
        </w:rPr>
        <w:t>项目场地地下水的补给来源有两部分：一是大气降水补给为主要来源。二是地表水的下渗。</w:t>
      </w:r>
    </w:p>
    <w:p>
      <w:pPr>
        <w:pStyle w:val="45"/>
        <w:ind w:firstLine="480"/>
        <w:rPr>
          <w:rFonts w:eastAsia="宋体" w:cs="Times New Roman"/>
          <w:bCs/>
          <w:spacing w:val="0"/>
          <w:kern w:val="0"/>
          <w:szCs w:val="24"/>
        </w:rPr>
      </w:pPr>
      <w:r>
        <w:rPr>
          <w:rFonts w:eastAsia="宋体" w:cs="Times New Roman"/>
          <w:bCs/>
          <w:spacing w:val="0"/>
          <w:kern w:val="0"/>
          <w:szCs w:val="24"/>
        </w:rPr>
        <w:t>本项目生产废水经</w:t>
      </w:r>
      <w:r>
        <w:rPr>
          <w:rFonts w:hint="eastAsia" w:eastAsia="宋体" w:cs="Times New Roman"/>
          <w:bCs/>
          <w:spacing w:val="0"/>
          <w:kern w:val="0"/>
          <w:szCs w:val="24"/>
          <w:lang w:eastAsia="zh-CN"/>
        </w:rPr>
        <w:t>自建</w:t>
      </w:r>
      <w:r>
        <w:rPr>
          <w:rFonts w:eastAsia="宋体" w:cs="Times New Roman"/>
          <w:bCs/>
          <w:spacing w:val="0"/>
          <w:kern w:val="0"/>
          <w:szCs w:val="24"/>
        </w:rPr>
        <w:t>污水处理站处理后</w:t>
      </w:r>
      <w:r>
        <w:rPr>
          <w:rFonts w:hint="eastAsia" w:eastAsia="宋体" w:cs="Times New Roman"/>
          <w:bCs/>
          <w:spacing w:val="0"/>
          <w:kern w:val="0"/>
          <w:szCs w:val="24"/>
          <w:lang w:eastAsia="zh-CN"/>
        </w:rPr>
        <w:t>汇同经隔油池和化粪池预处理后的生活污水排入城北污水处理厂</w:t>
      </w:r>
      <w:r>
        <w:rPr>
          <w:rFonts w:eastAsia="宋体" w:cs="Times New Roman"/>
          <w:bCs/>
          <w:spacing w:val="0"/>
          <w:kern w:val="0"/>
          <w:szCs w:val="24"/>
        </w:rPr>
        <w:t>，最终排入</w:t>
      </w:r>
      <w:r>
        <w:rPr>
          <w:rFonts w:hint="eastAsia" w:eastAsia="宋体" w:cs="Times New Roman"/>
          <w:bCs/>
          <w:spacing w:val="0"/>
          <w:kern w:val="0"/>
          <w:szCs w:val="24"/>
          <w:lang w:eastAsia="zh-CN"/>
        </w:rPr>
        <w:t>淠河</w:t>
      </w:r>
      <w:r>
        <w:rPr>
          <w:rFonts w:eastAsia="宋体" w:cs="Times New Roman"/>
          <w:bCs/>
          <w:spacing w:val="0"/>
          <w:kern w:val="0"/>
          <w:szCs w:val="24"/>
        </w:rPr>
        <w:t>，正常情况下达标排放的废水对</w:t>
      </w:r>
      <w:r>
        <w:rPr>
          <w:rFonts w:hint="eastAsia" w:eastAsia="宋体" w:cs="Times New Roman"/>
          <w:bCs/>
          <w:spacing w:val="0"/>
          <w:kern w:val="0"/>
          <w:szCs w:val="24"/>
          <w:lang w:eastAsia="zh-CN"/>
        </w:rPr>
        <w:t>淠河</w:t>
      </w:r>
      <w:r>
        <w:rPr>
          <w:rFonts w:eastAsia="宋体" w:cs="Times New Roman"/>
          <w:bCs/>
          <w:spacing w:val="0"/>
          <w:kern w:val="0"/>
          <w:szCs w:val="24"/>
        </w:rPr>
        <w:t>水质影响</w:t>
      </w:r>
      <w:r>
        <w:rPr>
          <w:rFonts w:hint="eastAsia" w:eastAsia="宋体" w:cs="Times New Roman"/>
          <w:bCs/>
          <w:spacing w:val="0"/>
          <w:kern w:val="0"/>
          <w:szCs w:val="24"/>
        </w:rPr>
        <w:t>是可接受的</w:t>
      </w:r>
      <w:r>
        <w:rPr>
          <w:rFonts w:eastAsia="宋体" w:cs="Times New Roman"/>
          <w:bCs/>
          <w:spacing w:val="0"/>
          <w:kern w:val="0"/>
          <w:szCs w:val="24"/>
        </w:rPr>
        <w:t>，故水体中的污染物不会对项目所在区域的地下水水质产生影响。</w:t>
      </w:r>
    </w:p>
    <w:p>
      <w:pPr>
        <w:pStyle w:val="45"/>
        <w:ind w:firstLine="480"/>
        <w:rPr>
          <w:rFonts w:eastAsia="宋体" w:cs="Times New Roman"/>
          <w:bCs/>
          <w:spacing w:val="0"/>
          <w:kern w:val="0"/>
          <w:szCs w:val="24"/>
        </w:rPr>
      </w:pPr>
      <w:r>
        <w:rPr>
          <w:rFonts w:eastAsia="宋体" w:cs="Times New Roman"/>
          <w:bCs/>
          <w:spacing w:val="0"/>
          <w:kern w:val="0"/>
          <w:szCs w:val="24"/>
        </w:rPr>
        <w:t>本项目位于</w:t>
      </w:r>
      <w:r>
        <w:rPr>
          <w:rFonts w:hint="eastAsia" w:eastAsia="宋体" w:cs="Times New Roman"/>
          <w:bCs/>
          <w:spacing w:val="0"/>
          <w:kern w:val="0"/>
          <w:szCs w:val="24"/>
          <w:lang w:eastAsia="zh-CN"/>
        </w:rPr>
        <w:t>六安市经济开发区</w:t>
      </w:r>
      <w:r>
        <w:rPr>
          <w:rFonts w:hint="eastAsia" w:eastAsia="宋体" w:cs="Times New Roman"/>
          <w:bCs/>
          <w:spacing w:val="0"/>
          <w:kern w:val="0"/>
          <w:szCs w:val="24"/>
        </w:rPr>
        <w:t>，</w:t>
      </w:r>
      <w:r>
        <w:rPr>
          <w:rFonts w:eastAsia="宋体" w:cs="Times New Roman"/>
          <w:bCs/>
          <w:spacing w:val="0"/>
          <w:kern w:val="0"/>
          <w:szCs w:val="24"/>
        </w:rPr>
        <w:t>企业计划将车间生产区域及污水处理站所在区域做防渗处理，所以基本不会发生冲洗水下渗和污水处理设施池体破裂污染地下水的情况。</w:t>
      </w:r>
    </w:p>
    <w:p>
      <w:pPr>
        <w:pStyle w:val="45"/>
        <w:ind w:firstLine="480"/>
        <w:rPr>
          <w:rFonts w:eastAsia="宋体" w:cs="Times New Roman"/>
          <w:bCs/>
          <w:spacing w:val="0"/>
          <w:kern w:val="0"/>
          <w:szCs w:val="24"/>
        </w:rPr>
      </w:pPr>
      <w:r>
        <w:rPr>
          <w:rFonts w:eastAsia="宋体" w:cs="Times New Roman"/>
          <w:bCs/>
          <w:spacing w:val="0"/>
          <w:kern w:val="0"/>
          <w:szCs w:val="24"/>
        </w:rPr>
        <w:t>（2）地下水污染防治措施</w:t>
      </w:r>
    </w:p>
    <w:p>
      <w:pPr>
        <w:pStyle w:val="45"/>
        <w:ind w:firstLine="480"/>
        <w:rPr>
          <w:rFonts w:eastAsia="宋体" w:cs="Times New Roman"/>
          <w:bCs/>
          <w:spacing w:val="0"/>
          <w:kern w:val="0"/>
          <w:szCs w:val="24"/>
        </w:rPr>
      </w:pPr>
      <w:r>
        <w:rPr>
          <w:rFonts w:eastAsia="宋体" w:cs="Times New Roman"/>
          <w:bCs/>
          <w:spacing w:val="0"/>
          <w:kern w:val="0"/>
          <w:szCs w:val="24"/>
        </w:rPr>
        <w:t>①源头控制</w:t>
      </w:r>
    </w:p>
    <w:p>
      <w:pPr>
        <w:pStyle w:val="45"/>
        <w:ind w:firstLine="480"/>
        <w:rPr>
          <w:rFonts w:eastAsia="宋体" w:cs="Times New Roman"/>
          <w:bCs/>
          <w:spacing w:val="0"/>
          <w:kern w:val="0"/>
          <w:szCs w:val="24"/>
        </w:rPr>
      </w:pPr>
      <w:r>
        <w:rPr>
          <w:rFonts w:eastAsia="宋体" w:cs="Times New Roman"/>
          <w:bCs/>
          <w:spacing w:val="0"/>
          <w:kern w:val="0"/>
          <w:szCs w:val="24"/>
        </w:rPr>
        <w:t>为保护地下水环境，企业应该采取措施从源头上控制地下水污染物和污染途径的产生。具体而言，企业应实施清洁生产和循环经济，减少污染物的产生和排放量。在设计、管理、生产工艺、设备和物料输送等过程采取措施防止和减少污染物的产生。生产车间应合理布局，减少污染物的泄露途径。</w:t>
      </w:r>
    </w:p>
    <w:p>
      <w:pPr>
        <w:pStyle w:val="45"/>
        <w:ind w:firstLine="480"/>
        <w:rPr>
          <w:rFonts w:eastAsia="宋体" w:cs="Times New Roman"/>
          <w:bCs/>
          <w:spacing w:val="0"/>
          <w:kern w:val="0"/>
          <w:szCs w:val="24"/>
        </w:rPr>
      </w:pPr>
      <w:r>
        <w:rPr>
          <w:rFonts w:eastAsia="宋体" w:cs="Times New Roman"/>
          <w:bCs/>
          <w:spacing w:val="0"/>
          <w:kern w:val="0"/>
          <w:szCs w:val="24"/>
        </w:rPr>
        <w:t>②不同区域实施分区防治</w:t>
      </w:r>
    </w:p>
    <w:p>
      <w:pPr>
        <w:pStyle w:val="45"/>
        <w:ind w:firstLine="480"/>
        <w:rPr>
          <w:rFonts w:eastAsia="宋体" w:cs="Times New Roman"/>
          <w:bCs/>
          <w:spacing w:val="0"/>
          <w:kern w:val="0"/>
          <w:szCs w:val="24"/>
        </w:rPr>
      </w:pPr>
      <w:r>
        <w:rPr>
          <w:rFonts w:eastAsia="宋体" w:cs="Times New Roman"/>
          <w:bCs/>
          <w:spacing w:val="0"/>
          <w:kern w:val="0"/>
          <w:szCs w:val="24"/>
        </w:rPr>
        <w:t>污水处理设备所在区域全部按照重点防渗区进行防渗处理。车间地面采用抗渗钢筋混凝土浇注地面底板，重点防渗区地面上采用三布五油工艺进行防渗和防腐，污水处理设施所在区域采用相应强度的抗渗钢筋混凝土浇注，内设防腐和防渗处理。</w:t>
      </w:r>
    </w:p>
    <w:p>
      <w:pPr>
        <w:pStyle w:val="45"/>
        <w:ind w:firstLine="480"/>
        <w:rPr>
          <w:rFonts w:eastAsia="宋体" w:cs="Times New Roman"/>
          <w:bCs/>
          <w:spacing w:val="0"/>
          <w:kern w:val="0"/>
          <w:szCs w:val="24"/>
        </w:rPr>
      </w:pPr>
      <w:r>
        <w:rPr>
          <w:rFonts w:eastAsia="宋体" w:cs="Times New Roman"/>
          <w:bCs/>
          <w:spacing w:val="0"/>
          <w:kern w:val="0"/>
          <w:szCs w:val="24"/>
        </w:rPr>
        <w:t>③运行期管理</w:t>
      </w:r>
    </w:p>
    <w:p>
      <w:pPr>
        <w:pStyle w:val="45"/>
        <w:ind w:firstLine="480"/>
        <w:rPr>
          <w:rFonts w:eastAsia="宋体" w:cs="Times New Roman"/>
          <w:bCs/>
          <w:spacing w:val="0"/>
          <w:kern w:val="0"/>
          <w:szCs w:val="24"/>
        </w:rPr>
      </w:pPr>
      <w:r>
        <w:rPr>
          <w:rFonts w:eastAsia="宋体" w:cs="Times New Roman"/>
          <w:bCs/>
          <w:spacing w:val="0"/>
          <w:kern w:val="0"/>
          <w:szCs w:val="24"/>
        </w:rPr>
        <w:t>企业应严格管理，加强巡检，定期对设备和输送管线进行检修维护，一旦发现泄漏应该及时处理，将污染物泄漏的环境风险事故降到最低；企业应制定并落实相应环境风险事故应急预案，一旦发生环境污染事故，应立即启动相应的风险应急预案。</w:t>
      </w:r>
    </w:p>
    <w:p>
      <w:pPr>
        <w:ind w:firstLine="480" w:firstLineChars="200"/>
      </w:pPr>
      <w:r>
        <w:rPr>
          <w:sz w:val="24"/>
          <w:szCs w:val="24"/>
        </w:rPr>
        <w:t>采取上述措施后，本项目营运期基本不会对地下水水质造成影响。</w:t>
      </w:r>
    </w:p>
    <w:p>
      <w:pPr>
        <w:pStyle w:val="7"/>
        <w:ind w:firstLine="200"/>
        <w:rPr>
          <w:szCs w:val="24"/>
        </w:rPr>
      </w:pPr>
      <w:r>
        <w:rPr>
          <w:szCs w:val="24"/>
        </w:rPr>
        <w:t>4.2.3 营运期声环境影响预测与评价</w:t>
      </w:r>
    </w:p>
    <w:p>
      <w:pPr>
        <w:ind w:firstLine="600" w:firstLineChars="250"/>
        <w:rPr>
          <w:sz w:val="24"/>
          <w:szCs w:val="24"/>
        </w:rPr>
      </w:pPr>
      <w:r>
        <w:rPr>
          <w:sz w:val="24"/>
          <w:szCs w:val="24"/>
        </w:rPr>
        <w:t>1、噪声源分析</w:t>
      </w:r>
    </w:p>
    <w:p>
      <w:pPr>
        <w:ind w:firstLine="480" w:firstLineChars="200"/>
        <w:rPr>
          <w:sz w:val="24"/>
          <w:szCs w:val="24"/>
        </w:rPr>
      </w:pPr>
      <w:r>
        <w:rPr>
          <w:sz w:val="24"/>
          <w:szCs w:val="24"/>
        </w:rPr>
        <w:t>本项目生产过程中产生的噪声以生产设备噪声为主，主要噪声源强及治理效果详见下表。</w:t>
      </w:r>
    </w:p>
    <w:p>
      <w:pPr>
        <w:jc w:val="center"/>
        <w:rPr>
          <w:b/>
          <w:bCs/>
          <w:sz w:val="24"/>
          <w:szCs w:val="24"/>
        </w:rPr>
      </w:pPr>
      <w:r>
        <w:rPr>
          <w:b/>
          <w:bCs/>
          <w:sz w:val="24"/>
          <w:szCs w:val="24"/>
        </w:rPr>
        <w:t>表4</w:t>
      </w:r>
      <w:r>
        <w:rPr>
          <w:rFonts w:hint="eastAsia"/>
          <w:b/>
          <w:bCs/>
          <w:sz w:val="24"/>
          <w:szCs w:val="24"/>
        </w:rPr>
        <w:t>-</w:t>
      </w:r>
      <w:r>
        <w:rPr>
          <w:b/>
          <w:bCs/>
          <w:sz w:val="24"/>
          <w:szCs w:val="24"/>
        </w:rPr>
        <w:t>2-1</w:t>
      </w:r>
      <w:r>
        <w:rPr>
          <w:rFonts w:hint="eastAsia"/>
          <w:b/>
          <w:bCs/>
          <w:sz w:val="24"/>
          <w:szCs w:val="24"/>
        </w:rPr>
        <w:t>8</w:t>
      </w:r>
      <w:r>
        <w:rPr>
          <w:b/>
          <w:bCs/>
          <w:sz w:val="24"/>
          <w:szCs w:val="24"/>
        </w:rPr>
        <w:t xml:space="preserve"> 项目主要噪声源强及治理措施</w:t>
      </w:r>
    </w:p>
    <w:tbl>
      <w:tblPr>
        <w:tblStyle w:val="22"/>
        <w:tblW w:w="928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197"/>
        <w:gridCol w:w="783"/>
        <w:gridCol w:w="1800"/>
        <w:gridCol w:w="1395"/>
        <w:gridCol w:w="2312"/>
        <w:gridCol w:w="10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702" w:type="dxa"/>
            <w:vAlign w:val="center"/>
          </w:tcPr>
          <w:p>
            <w:pPr>
              <w:spacing w:line="240" w:lineRule="auto"/>
              <w:jc w:val="center"/>
            </w:pPr>
            <w:r>
              <w:t>序号</w:t>
            </w:r>
          </w:p>
        </w:tc>
        <w:tc>
          <w:tcPr>
            <w:tcW w:w="1980" w:type="dxa"/>
            <w:gridSpan w:val="2"/>
            <w:vAlign w:val="center"/>
          </w:tcPr>
          <w:p>
            <w:pPr>
              <w:spacing w:line="240" w:lineRule="auto"/>
              <w:jc w:val="center"/>
            </w:pPr>
            <w:r>
              <w:t>噪声源</w:t>
            </w:r>
          </w:p>
        </w:tc>
        <w:tc>
          <w:tcPr>
            <w:tcW w:w="1800" w:type="dxa"/>
            <w:vAlign w:val="center"/>
          </w:tcPr>
          <w:p>
            <w:pPr>
              <w:spacing w:line="240" w:lineRule="auto"/>
              <w:jc w:val="center"/>
            </w:pPr>
            <w:r>
              <w:t>单个设备源强dB（A）</w:t>
            </w:r>
          </w:p>
        </w:tc>
        <w:tc>
          <w:tcPr>
            <w:tcW w:w="1395" w:type="dxa"/>
            <w:vAlign w:val="center"/>
          </w:tcPr>
          <w:p>
            <w:pPr>
              <w:spacing w:line="240" w:lineRule="auto"/>
              <w:jc w:val="center"/>
            </w:pPr>
            <w:r>
              <w:t>运行情况</w:t>
            </w:r>
          </w:p>
        </w:tc>
        <w:tc>
          <w:tcPr>
            <w:tcW w:w="2312" w:type="dxa"/>
            <w:vAlign w:val="center"/>
          </w:tcPr>
          <w:p>
            <w:pPr>
              <w:spacing w:line="240" w:lineRule="auto"/>
              <w:jc w:val="center"/>
            </w:pPr>
            <w:r>
              <w:t>降噪措施</w:t>
            </w:r>
          </w:p>
        </w:tc>
        <w:tc>
          <w:tcPr>
            <w:tcW w:w="1098" w:type="dxa"/>
            <w:vAlign w:val="center"/>
          </w:tcPr>
          <w:p>
            <w:pPr>
              <w:spacing w:line="240" w:lineRule="auto"/>
              <w:jc w:val="center"/>
            </w:pPr>
            <w:r>
              <w:t>降噪效果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702" w:type="dxa"/>
            <w:vAlign w:val="center"/>
          </w:tcPr>
          <w:p>
            <w:pPr>
              <w:spacing w:line="240" w:lineRule="auto"/>
              <w:jc w:val="center"/>
            </w:pPr>
            <w:r>
              <w:t>1</w:t>
            </w:r>
          </w:p>
        </w:tc>
        <w:tc>
          <w:tcPr>
            <w:tcW w:w="1980" w:type="dxa"/>
            <w:gridSpan w:val="2"/>
            <w:vAlign w:val="center"/>
          </w:tcPr>
          <w:p>
            <w:pPr>
              <w:spacing w:line="240" w:lineRule="auto"/>
              <w:jc w:val="center"/>
              <w:rPr>
                <w:rFonts w:hint="eastAsia" w:eastAsia="宋体"/>
                <w:lang w:eastAsia="zh-CN"/>
              </w:rPr>
            </w:pPr>
            <w:r>
              <w:rPr>
                <w:rFonts w:hint="eastAsia"/>
                <w:lang w:eastAsia="zh-CN"/>
              </w:rPr>
              <w:t>生产设备</w:t>
            </w:r>
          </w:p>
        </w:tc>
        <w:tc>
          <w:tcPr>
            <w:tcW w:w="1800" w:type="dxa"/>
            <w:vAlign w:val="center"/>
          </w:tcPr>
          <w:p>
            <w:pPr>
              <w:spacing w:line="240" w:lineRule="auto"/>
              <w:jc w:val="center"/>
              <w:rPr>
                <w:rFonts w:hint="default" w:eastAsia="宋体"/>
                <w:lang w:val="en-US" w:eastAsia="zh-CN"/>
              </w:rPr>
            </w:pPr>
            <w:r>
              <w:rPr>
                <w:rFonts w:hint="eastAsia"/>
                <w:lang w:val="en-US" w:eastAsia="zh-CN"/>
              </w:rPr>
              <w:t>70-85</w:t>
            </w:r>
          </w:p>
        </w:tc>
        <w:tc>
          <w:tcPr>
            <w:tcW w:w="1395" w:type="dxa"/>
            <w:vAlign w:val="center"/>
          </w:tcPr>
          <w:p>
            <w:pPr>
              <w:spacing w:line="240" w:lineRule="auto"/>
              <w:jc w:val="center"/>
            </w:pPr>
            <w:r>
              <w:t>连续</w:t>
            </w:r>
          </w:p>
        </w:tc>
        <w:tc>
          <w:tcPr>
            <w:tcW w:w="2312" w:type="dxa"/>
            <w:vMerge w:val="restart"/>
            <w:vAlign w:val="center"/>
          </w:tcPr>
          <w:p>
            <w:pPr>
              <w:spacing w:line="240" w:lineRule="auto"/>
              <w:jc w:val="center"/>
            </w:pPr>
            <w:r>
              <w:t>选用低噪音设备；安装减震基座；尽可能置于室内操作、利用建筑物隔声屏蔽；加强维护和检修保养；合理布局等</w:t>
            </w:r>
          </w:p>
        </w:tc>
        <w:tc>
          <w:tcPr>
            <w:tcW w:w="1098" w:type="dxa"/>
            <w:vAlign w:val="center"/>
          </w:tcPr>
          <w:p>
            <w:pPr>
              <w:spacing w:line="240" w:lineRule="auto"/>
              <w:jc w:val="center"/>
            </w:pPr>
            <w: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702" w:type="dxa"/>
            <w:vMerge w:val="restart"/>
            <w:vAlign w:val="center"/>
          </w:tcPr>
          <w:p>
            <w:pPr>
              <w:spacing w:line="240" w:lineRule="auto"/>
              <w:jc w:val="center"/>
            </w:pPr>
            <w:r>
              <w:rPr>
                <w:rFonts w:hint="eastAsia"/>
              </w:rPr>
              <w:t>2</w:t>
            </w:r>
          </w:p>
        </w:tc>
        <w:tc>
          <w:tcPr>
            <w:tcW w:w="1197" w:type="dxa"/>
            <w:vMerge w:val="restart"/>
            <w:vAlign w:val="center"/>
          </w:tcPr>
          <w:p>
            <w:pPr>
              <w:spacing w:line="240" w:lineRule="auto"/>
              <w:jc w:val="center"/>
            </w:pPr>
            <w:r>
              <w:t>污水处理站</w:t>
            </w:r>
          </w:p>
        </w:tc>
        <w:tc>
          <w:tcPr>
            <w:tcW w:w="783" w:type="dxa"/>
            <w:vAlign w:val="center"/>
          </w:tcPr>
          <w:p>
            <w:pPr>
              <w:spacing w:line="240" w:lineRule="auto"/>
              <w:jc w:val="center"/>
            </w:pPr>
            <w:r>
              <w:t>水泵</w:t>
            </w:r>
          </w:p>
        </w:tc>
        <w:tc>
          <w:tcPr>
            <w:tcW w:w="1800" w:type="dxa"/>
            <w:vAlign w:val="center"/>
          </w:tcPr>
          <w:p>
            <w:pPr>
              <w:spacing w:line="240" w:lineRule="auto"/>
              <w:jc w:val="center"/>
            </w:pPr>
            <w:r>
              <w:t>75-85</w:t>
            </w:r>
          </w:p>
        </w:tc>
        <w:tc>
          <w:tcPr>
            <w:tcW w:w="1395" w:type="dxa"/>
            <w:vMerge w:val="restart"/>
            <w:vAlign w:val="center"/>
          </w:tcPr>
          <w:p>
            <w:pPr>
              <w:spacing w:line="240" w:lineRule="auto"/>
              <w:jc w:val="center"/>
            </w:pPr>
            <w:r>
              <w:t>连续</w:t>
            </w:r>
          </w:p>
        </w:tc>
        <w:tc>
          <w:tcPr>
            <w:tcW w:w="2312" w:type="dxa"/>
            <w:vMerge w:val="continue"/>
            <w:vAlign w:val="center"/>
          </w:tcPr>
          <w:p>
            <w:pPr>
              <w:spacing w:line="240" w:lineRule="auto"/>
              <w:jc w:val="center"/>
            </w:pPr>
          </w:p>
        </w:tc>
        <w:tc>
          <w:tcPr>
            <w:tcW w:w="1098" w:type="dxa"/>
            <w:vAlign w:val="center"/>
          </w:tcPr>
          <w:p>
            <w:pPr>
              <w:spacing w:line="240" w:lineRule="auto"/>
              <w:jc w:val="center"/>
            </w:pPr>
            <w: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702" w:type="dxa"/>
            <w:vMerge w:val="continue"/>
            <w:vAlign w:val="center"/>
          </w:tcPr>
          <w:p>
            <w:pPr>
              <w:spacing w:line="240" w:lineRule="auto"/>
              <w:jc w:val="center"/>
            </w:pPr>
          </w:p>
        </w:tc>
        <w:tc>
          <w:tcPr>
            <w:tcW w:w="1197" w:type="dxa"/>
            <w:vMerge w:val="continue"/>
            <w:vAlign w:val="center"/>
          </w:tcPr>
          <w:p>
            <w:pPr>
              <w:spacing w:line="240" w:lineRule="auto"/>
              <w:jc w:val="center"/>
            </w:pPr>
          </w:p>
        </w:tc>
        <w:tc>
          <w:tcPr>
            <w:tcW w:w="783" w:type="dxa"/>
            <w:vAlign w:val="center"/>
          </w:tcPr>
          <w:p>
            <w:pPr>
              <w:spacing w:line="240" w:lineRule="auto"/>
              <w:jc w:val="center"/>
            </w:pPr>
            <w:r>
              <w:t>风机</w:t>
            </w:r>
          </w:p>
        </w:tc>
        <w:tc>
          <w:tcPr>
            <w:tcW w:w="1800" w:type="dxa"/>
            <w:vAlign w:val="center"/>
          </w:tcPr>
          <w:p>
            <w:pPr>
              <w:spacing w:line="240" w:lineRule="auto"/>
              <w:jc w:val="center"/>
            </w:pPr>
            <w:r>
              <w:t>90-100</w:t>
            </w:r>
          </w:p>
        </w:tc>
        <w:tc>
          <w:tcPr>
            <w:tcW w:w="1395" w:type="dxa"/>
            <w:vMerge w:val="continue"/>
            <w:vAlign w:val="center"/>
          </w:tcPr>
          <w:p>
            <w:pPr>
              <w:spacing w:line="240" w:lineRule="auto"/>
              <w:jc w:val="center"/>
            </w:pPr>
          </w:p>
        </w:tc>
        <w:tc>
          <w:tcPr>
            <w:tcW w:w="2312" w:type="dxa"/>
            <w:vMerge w:val="continue"/>
            <w:vAlign w:val="center"/>
          </w:tcPr>
          <w:p>
            <w:pPr>
              <w:spacing w:line="240" w:lineRule="auto"/>
              <w:jc w:val="center"/>
            </w:pPr>
          </w:p>
        </w:tc>
        <w:tc>
          <w:tcPr>
            <w:tcW w:w="1098" w:type="dxa"/>
            <w:vAlign w:val="center"/>
          </w:tcPr>
          <w:p>
            <w:pPr>
              <w:spacing w:line="240" w:lineRule="auto"/>
              <w:jc w:val="center"/>
            </w:pPr>
            <w: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702" w:type="dxa"/>
            <w:vAlign w:val="center"/>
          </w:tcPr>
          <w:p>
            <w:pPr>
              <w:spacing w:line="240" w:lineRule="auto"/>
              <w:jc w:val="center"/>
            </w:pPr>
            <w:r>
              <w:rPr>
                <w:rFonts w:hint="eastAsia"/>
              </w:rPr>
              <w:t>3</w:t>
            </w:r>
          </w:p>
        </w:tc>
        <w:tc>
          <w:tcPr>
            <w:tcW w:w="1980" w:type="dxa"/>
            <w:gridSpan w:val="2"/>
            <w:vAlign w:val="center"/>
          </w:tcPr>
          <w:p>
            <w:pPr>
              <w:spacing w:line="240" w:lineRule="auto"/>
              <w:jc w:val="center"/>
              <w:rPr>
                <w:rFonts w:hint="eastAsia" w:eastAsia="宋体"/>
                <w:lang w:eastAsia="zh-CN"/>
              </w:rPr>
            </w:pPr>
            <w:r>
              <w:rPr>
                <w:rFonts w:hint="eastAsia"/>
                <w:lang w:eastAsia="zh-CN"/>
              </w:rPr>
              <w:t>空压机</w:t>
            </w:r>
          </w:p>
        </w:tc>
        <w:tc>
          <w:tcPr>
            <w:tcW w:w="1800" w:type="dxa"/>
            <w:vAlign w:val="center"/>
          </w:tcPr>
          <w:p>
            <w:pPr>
              <w:spacing w:line="240" w:lineRule="auto"/>
              <w:jc w:val="center"/>
              <w:rPr>
                <w:rFonts w:hint="default" w:eastAsia="宋体"/>
                <w:lang w:val="en-US" w:eastAsia="zh-CN"/>
              </w:rPr>
            </w:pPr>
            <w:r>
              <w:rPr>
                <w:rFonts w:hint="eastAsia"/>
                <w:lang w:val="en-US" w:eastAsia="zh-CN"/>
              </w:rPr>
              <w:t>85-100</w:t>
            </w:r>
          </w:p>
        </w:tc>
        <w:tc>
          <w:tcPr>
            <w:tcW w:w="1395" w:type="dxa"/>
            <w:vAlign w:val="center"/>
          </w:tcPr>
          <w:p>
            <w:pPr>
              <w:spacing w:line="240" w:lineRule="auto"/>
              <w:jc w:val="center"/>
            </w:pPr>
            <w:r>
              <w:t>连续</w:t>
            </w:r>
          </w:p>
        </w:tc>
        <w:tc>
          <w:tcPr>
            <w:tcW w:w="2312" w:type="dxa"/>
            <w:vMerge w:val="continue"/>
            <w:vAlign w:val="center"/>
          </w:tcPr>
          <w:p>
            <w:pPr>
              <w:spacing w:line="240" w:lineRule="auto"/>
              <w:jc w:val="center"/>
            </w:pPr>
          </w:p>
        </w:tc>
        <w:tc>
          <w:tcPr>
            <w:tcW w:w="1098" w:type="dxa"/>
            <w:vAlign w:val="center"/>
          </w:tcPr>
          <w:p>
            <w:pPr>
              <w:spacing w:line="240" w:lineRule="auto"/>
              <w:jc w:val="center"/>
            </w:pPr>
            <w:r>
              <w:t>15</w:t>
            </w:r>
          </w:p>
        </w:tc>
      </w:tr>
    </w:tbl>
    <w:p>
      <w:pPr>
        <w:ind w:firstLine="480" w:firstLineChars="200"/>
        <w:rPr>
          <w:sz w:val="24"/>
          <w:szCs w:val="24"/>
        </w:rPr>
      </w:pPr>
      <w:r>
        <w:rPr>
          <w:sz w:val="24"/>
          <w:szCs w:val="24"/>
        </w:rPr>
        <w:t>从上表可以看出，本项目主要噪声源为</w:t>
      </w:r>
      <w:r>
        <w:rPr>
          <w:rFonts w:hint="eastAsia"/>
          <w:sz w:val="24"/>
          <w:szCs w:val="24"/>
          <w:lang w:eastAsia="zh-CN"/>
        </w:rPr>
        <w:t>风机、空压机以及</w:t>
      </w:r>
      <w:r>
        <w:rPr>
          <w:sz w:val="24"/>
          <w:szCs w:val="24"/>
        </w:rPr>
        <w:t>生产设备，设备均位于厂区生产车间内，本次噪声评价范围以评价范围左下角交点为坐标原点（0，0，0）建立三维坐标系，范围为项目厂界外200m范围。由于本次评价范围内较为平坦，建模时声源与预测点的地面高程都简化为0。</w:t>
      </w:r>
    </w:p>
    <w:p>
      <w:pPr>
        <w:ind w:firstLine="480" w:firstLineChars="200"/>
        <w:rPr>
          <w:sz w:val="24"/>
          <w:szCs w:val="24"/>
        </w:rPr>
      </w:pPr>
      <w:r>
        <w:rPr>
          <w:sz w:val="24"/>
          <w:szCs w:val="24"/>
        </w:rPr>
        <w:t>2、预测模式</w:t>
      </w:r>
    </w:p>
    <w:p>
      <w:pPr>
        <w:ind w:firstLine="480" w:firstLineChars="200"/>
        <w:rPr>
          <w:sz w:val="24"/>
          <w:szCs w:val="24"/>
        </w:rPr>
      </w:pPr>
      <w:r>
        <w:rPr>
          <w:sz w:val="24"/>
          <w:szCs w:val="24"/>
        </w:rPr>
        <w:t>本项目将室外噪声源划分为点声源，采用《环境影响评价技术导则 声环境》（HJ2.4－2009）中计算公式。室内噪声噪声影响预测选用《环境影响评价技术导则声环境》（HJ2.4-2009）中推荐的室内声源等效室外声源计算模式。</w:t>
      </w:r>
    </w:p>
    <w:p>
      <w:pPr>
        <w:numPr>
          <w:ilvl w:val="0"/>
          <w:numId w:val="6"/>
        </w:numPr>
        <w:ind w:firstLine="480" w:firstLineChars="200"/>
        <w:rPr>
          <w:sz w:val="24"/>
          <w:szCs w:val="24"/>
        </w:rPr>
      </w:pPr>
      <w:r>
        <w:rPr>
          <w:sz w:val="24"/>
          <w:szCs w:val="24"/>
        </w:rPr>
        <w:t>室外点声源预测模式</w:t>
      </w:r>
    </w:p>
    <w:p>
      <w:pPr>
        <w:pStyle w:val="21"/>
        <w:spacing w:before="0"/>
        <w:ind w:left="0" w:firstLine="480" w:firstLineChars="200"/>
        <w:rPr>
          <w:rFonts w:ascii="Times New Roman" w:hAnsi="Times New Roman" w:cs="Times New Roman"/>
        </w:rPr>
      </w:pPr>
      <w:r>
        <w:rPr>
          <w:rFonts w:ascii="Times New Roman" w:hAnsi="Times New Roman" w:cs="Times New Roman"/>
        </w:rPr>
        <w:t xml:space="preserve">    ① 单一点源衰减模式：</w:t>
      </w:r>
    </w:p>
    <w:p>
      <w:pPr>
        <w:pStyle w:val="21"/>
        <w:ind w:firstLine="240"/>
        <w:jc w:val="center"/>
        <w:rPr>
          <w:rFonts w:ascii="Times New Roman" w:hAnsi="Times New Roman" w:cs="Times New Roman"/>
        </w:rPr>
      </w:pPr>
      <w:r>
        <w:rPr>
          <w:rFonts w:ascii="Times New Roman" w:hAnsi="Times New Roman" w:cs="Times New Roman"/>
        </w:rPr>
        <w:object>
          <v:shape id="_x0000_i1029" o:spt="75" type="#_x0000_t75" style="height:17.3pt;width:213.65pt;" o:ole="t" filled="f" o:preferrelative="t" stroked="f" coordsize="21600,21600">
            <v:path/>
            <v:fill on="f" focussize="0,0"/>
            <v:stroke on="f" joinstyle="miter"/>
            <v:imagedata r:id="rId33" o:title=""/>
            <o:lock v:ext="edit" aspectratio="t"/>
            <w10:wrap type="none"/>
            <w10:anchorlock/>
          </v:shape>
          <o:OLEObject Type="Embed" ProgID="Equation.DSMT4" ShapeID="_x0000_i1029" DrawAspect="Content" ObjectID="_1468075729" r:id="rId32">
            <o:LockedField>false</o:LockedField>
          </o:OLEObject>
        </w:object>
      </w:r>
    </w:p>
    <w:p>
      <w:pPr>
        <w:pStyle w:val="21"/>
        <w:ind w:firstLine="240"/>
        <w:rPr>
          <w:rFonts w:ascii="Times New Roman" w:hAnsi="Times New Roman" w:cs="Times New Roman"/>
        </w:rPr>
      </w:pPr>
      <w:r>
        <w:rPr>
          <w:rFonts w:ascii="Times New Roman" w:hAnsi="Times New Roman" w:cs="Times New Roman"/>
        </w:rPr>
        <w:t xml:space="preserve">    式中：</w:t>
      </w:r>
      <w:r>
        <w:rPr>
          <w:rFonts w:ascii="Times New Roman" w:hAnsi="Times New Roman" w:cs="Times New Roman"/>
        </w:rPr>
        <w:object>
          <v:shape id="_x0000_i1030" o:spt="75" type="#_x0000_t75" style="height:16.35pt;width:28.5pt;" o:ole="t" filled="f" o:preferrelative="t" stroked="f" coordsize="21600,21600">
            <v:path/>
            <v:fill on="f" focussize="0,0"/>
            <v:stroke on="f" joinstyle="miter"/>
            <v:imagedata r:id="rId35" o:title=""/>
            <o:lock v:ext="edit" aspectratio="t"/>
            <w10:wrap type="none"/>
            <w10:anchorlock/>
          </v:shape>
          <o:OLEObject Type="Embed" ProgID="Equation.DSMT4" ShapeID="_x0000_i1030" DrawAspect="Content" ObjectID="_1468075730" r:id="rId34">
            <o:LockedField>false</o:LockedField>
          </o:OLEObject>
        </w:object>
      </w:r>
      <w:r>
        <w:rPr>
          <w:rFonts w:ascii="Times New Roman" w:hAnsi="Times New Roman" w:cs="Times New Roman"/>
        </w:rPr>
        <w:t>——距离声源</w:t>
      </w:r>
      <w:r>
        <w:rPr>
          <w:rFonts w:ascii="Times New Roman" w:hAnsi="Times New Roman" w:cs="Times New Roman"/>
        </w:rPr>
        <w:object>
          <v:shape id="_x0000_i1031" o:spt="75" type="#_x0000_t75" style="height:9.8pt;width:8.9pt;" o:ole="t" filled="f" o:preferrelative="t" stroked="f" coordsize="21600,21600">
            <v:path/>
            <v:fill on="f" focussize="0,0"/>
            <v:stroke on="f" joinstyle="miter"/>
            <v:imagedata r:id="rId37" o:title=""/>
            <o:lock v:ext="edit" aspectratio="t"/>
            <w10:wrap type="none"/>
            <w10:anchorlock/>
          </v:shape>
          <o:OLEObject Type="Embed" ProgID="Equation.DSMT4" ShapeID="_x0000_i1031" DrawAspect="Content" ObjectID="_1468075731" r:id="rId36">
            <o:LockedField>false</o:LockedField>
          </o:OLEObject>
        </w:object>
      </w:r>
      <w:r>
        <w:rPr>
          <w:rFonts w:ascii="Times New Roman" w:hAnsi="Times New Roman" w:cs="Times New Roman"/>
        </w:rPr>
        <w:t>处的声级，dB</w:t>
      </w:r>
      <w:r>
        <w:rPr>
          <w:rFonts w:hint="eastAsia" w:ascii="Times New Roman" w:hAnsi="Times New Roman" w:cs="Times New Roman"/>
        </w:rPr>
        <w:t>（</w:t>
      </w:r>
      <w:r>
        <w:rPr>
          <w:rFonts w:ascii="Times New Roman" w:hAnsi="Times New Roman" w:cs="Times New Roman"/>
        </w:rPr>
        <w:t>A</w:t>
      </w:r>
      <w:r>
        <w:rPr>
          <w:rFonts w:hint="eastAsia" w:ascii="Times New Roman" w:hAnsi="Times New Roman" w:cs="Times New Roman"/>
        </w:rPr>
        <w:t>）</w:t>
      </w:r>
      <w:r>
        <w:rPr>
          <w:rFonts w:ascii="Times New Roman" w:hAnsi="Times New Roman" w:cs="Times New Roman"/>
        </w:rPr>
        <w:t>；</w:t>
      </w:r>
    </w:p>
    <w:p>
      <w:pPr>
        <w:pStyle w:val="21"/>
        <w:ind w:firstLine="240"/>
        <w:rPr>
          <w:rFonts w:ascii="Times New Roman" w:hAnsi="Times New Roman" w:cs="Times New Roman"/>
        </w:rPr>
      </w:pPr>
      <w:r>
        <w:rPr>
          <w:rFonts w:ascii="Times New Roman" w:hAnsi="Times New Roman" w:cs="Times New Roman"/>
        </w:rPr>
        <w:object>
          <v:shape id="_x0000_i1032" o:spt="75" type="#_x0000_t75" style="height:16.35pt;width:32.25pt;" o:ole="t" filled="f" o:preferrelative="t" stroked="f" coordsize="21600,21600">
            <v:path/>
            <v:fill on="f" focussize="0,0"/>
            <v:stroke on="f" joinstyle="miter"/>
            <v:imagedata r:id="rId39" o:title=""/>
            <o:lock v:ext="edit" aspectratio="t"/>
            <w10:wrap type="none"/>
            <w10:anchorlock/>
          </v:shape>
          <o:OLEObject Type="Embed" ProgID="Equation.DSMT4" ShapeID="_x0000_i1032" DrawAspect="Content" ObjectID="_1468075732" r:id="rId38">
            <o:LockedField>false</o:LockedField>
          </o:OLEObject>
        </w:object>
      </w:r>
      <w:r>
        <w:rPr>
          <w:rFonts w:ascii="Times New Roman" w:hAnsi="Times New Roman" w:cs="Times New Roman"/>
        </w:rPr>
        <w:t>——参考位置</w:t>
      </w:r>
      <w:r>
        <w:rPr>
          <w:rFonts w:ascii="Times New Roman" w:hAnsi="Times New Roman" w:cs="Times New Roman"/>
        </w:rPr>
        <w:object>
          <v:shape id="_x0000_i1033" o:spt="75" type="#_x0000_t75" style="height:21.95pt;width:13.55pt;" o:ole="t" filled="f" o:preferrelative="t" stroked="f" coordsize="21600,21600">
            <v:path/>
            <v:fill on="f" focussize="0,0"/>
            <v:stroke on="f" joinstyle="miter"/>
            <v:imagedata r:id="rId41" o:title=""/>
            <o:lock v:ext="edit" aspectratio="t"/>
            <w10:wrap type="none"/>
            <w10:anchorlock/>
          </v:shape>
          <o:OLEObject Type="Embed" ProgID="Equation.DSMT4" ShapeID="_x0000_i1033" DrawAspect="Content" ObjectID="_1468075733" r:id="rId40">
            <o:LockedField>false</o:LockedField>
          </o:OLEObject>
        </w:object>
      </w:r>
      <w:r>
        <w:rPr>
          <w:rFonts w:ascii="Times New Roman" w:hAnsi="Times New Roman" w:cs="Times New Roman"/>
        </w:rPr>
        <w:t>处的声级dB（A）；</w:t>
      </w:r>
    </w:p>
    <w:p>
      <w:pPr>
        <w:pStyle w:val="21"/>
        <w:ind w:firstLine="240"/>
        <w:rPr>
          <w:rFonts w:ascii="Times New Roman" w:hAnsi="Times New Roman" w:cs="Times New Roman"/>
        </w:rPr>
      </w:pPr>
      <w:r>
        <w:rPr>
          <w:rFonts w:ascii="Times New Roman" w:hAnsi="Times New Roman" w:cs="Times New Roman"/>
        </w:rPr>
        <w:object>
          <v:shape id="_x0000_i1034" o:spt="75" type="#_x0000_t75" style="height:18.25pt;width:20.1pt;" o:ole="t" filled="f" o:preferrelative="t" stroked="f" coordsize="21600,21600">
            <v:path/>
            <v:fill on="f" focussize="0,0"/>
            <v:stroke on="f" joinstyle="miter"/>
            <v:imagedata r:id="rId43" o:title=""/>
            <o:lock v:ext="edit" aspectratio="t"/>
            <w10:wrap type="none"/>
            <w10:anchorlock/>
          </v:shape>
          <o:OLEObject Type="Embed" ProgID="Equation.DSMT4" ShapeID="_x0000_i1034" DrawAspect="Content" ObjectID="_1468075734" r:id="rId42">
            <o:LockedField>false</o:LockedField>
          </o:OLEObject>
        </w:object>
      </w:r>
      <w:r>
        <w:rPr>
          <w:rFonts w:ascii="Times New Roman" w:hAnsi="Times New Roman" w:cs="Times New Roman"/>
        </w:rPr>
        <w:t>——声源几何发散引起的声级衰减量，dB（A）；</w:t>
      </w:r>
    </w:p>
    <w:p>
      <w:pPr>
        <w:pStyle w:val="21"/>
        <w:ind w:firstLine="240"/>
        <w:rPr>
          <w:rFonts w:ascii="Times New Roman" w:hAnsi="Times New Roman" w:cs="Times New Roman"/>
        </w:rPr>
      </w:pPr>
      <w:r>
        <w:rPr>
          <w:rFonts w:ascii="Times New Roman" w:hAnsi="Times New Roman" w:cs="Times New Roman"/>
        </w:rPr>
        <w:object>
          <v:shape id="_x0000_i1035" o:spt="75" type="#_x0000_t75" style="height:17.75pt;width:21.05pt;" o:ole="t" filled="f" o:preferrelative="t" stroked="f" coordsize="21600,21600">
            <v:path/>
            <v:fill on="f" focussize="0,0"/>
            <v:stroke on="f" joinstyle="miter"/>
            <v:imagedata r:id="rId45" o:title=""/>
            <o:lock v:ext="edit" aspectratio="t"/>
            <w10:wrap type="none"/>
            <w10:anchorlock/>
          </v:shape>
          <o:OLEObject Type="Embed" ProgID="Equation.DSMT4" ShapeID="_x0000_i1035" DrawAspect="Content" ObjectID="_1468075735" r:id="rId44">
            <o:LockedField>false</o:LockedField>
          </o:OLEObject>
        </w:object>
      </w:r>
      <w:r>
        <w:rPr>
          <w:rFonts w:ascii="Times New Roman" w:hAnsi="Times New Roman" w:cs="Times New Roman"/>
        </w:rPr>
        <w:t>——遮挡物引起的声级衰减量，dB（A）；</w:t>
      </w:r>
    </w:p>
    <w:p>
      <w:pPr>
        <w:pStyle w:val="21"/>
        <w:ind w:firstLine="240"/>
        <w:rPr>
          <w:rFonts w:ascii="Times New Roman" w:hAnsi="Times New Roman" w:cs="Times New Roman"/>
        </w:rPr>
      </w:pPr>
      <w:r>
        <w:rPr>
          <w:rFonts w:ascii="Times New Roman" w:hAnsi="Times New Roman" w:cs="Times New Roman"/>
        </w:rPr>
        <w:object>
          <v:shape id="_x0000_i1036" o:spt="75" type="#_x0000_t75" style="height:17.75pt;width:21.5pt;" o:ole="t" filled="f" o:preferrelative="t" stroked="f" coordsize="21600,21600">
            <v:path/>
            <v:fill on="f" focussize="0,0"/>
            <v:stroke on="f" joinstyle="miter"/>
            <v:imagedata r:id="rId47" o:title=""/>
            <o:lock v:ext="edit" aspectratio="t"/>
            <w10:wrap type="none"/>
            <w10:anchorlock/>
          </v:shape>
          <o:OLEObject Type="Embed" ProgID="Equation.DSMT4" ShapeID="_x0000_i1036" DrawAspect="Content" ObjectID="_1468075736" r:id="rId46">
            <o:LockedField>false</o:LockedField>
          </o:OLEObject>
        </w:object>
      </w:r>
      <w:r>
        <w:rPr>
          <w:rFonts w:ascii="Times New Roman" w:hAnsi="Times New Roman" w:cs="Times New Roman"/>
        </w:rPr>
        <w:t>——空气吸收引起的声级衰减量，dB（A）；</w:t>
      </w:r>
    </w:p>
    <w:p>
      <w:pPr>
        <w:pStyle w:val="21"/>
        <w:ind w:firstLine="240"/>
        <w:rPr>
          <w:rFonts w:ascii="Times New Roman" w:hAnsi="Times New Roman" w:cs="Times New Roman"/>
        </w:rPr>
      </w:pPr>
      <w:r>
        <w:rPr>
          <w:rFonts w:ascii="Times New Roman" w:hAnsi="Times New Roman" w:cs="Times New Roman"/>
        </w:rPr>
        <w:object>
          <v:shape id="_x0000_i1037" o:spt="75" type="#_x0000_t75" style="height:14.95pt;width:18.7pt;" o:ole="t" filled="f" o:preferrelative="t" stroked="f" coordsize="21600,21600">
            <v:path/>
            <v:fill on="f" focussize="0,0"/>
            <v:stroke on="f" joinstyle="miter"/>
            <v:imagedata r:id="rId49" o:title=""/>
            <o:lock v:ext="edit" aspectratio="t"/>
            <w10:wrap type="none"/>
            <w10:anchorlock/>
          </v:shape>
          <o:OLEObject Type="Embed" ProgID="Equation.DSMT4" ShapeID="_x0000_i1037" DrawAspect="Content" ObjectID="_1468075737" r:id="rId48">
            <o:LockedField>false</o:LockedField>
          </o:OLEObject>
        </w:object>
      </w:r>
      <w:r>
        <w:rPr>
          <w:rFonts w:ascii="Times New Roman" w:hAnsi="Times New Roman" w:cs="Times New Roman"/>
        </w:rPr>
        <w:t>——地面效益引起的声级衰减量，dB（A）；</w:t>
      </w:r>
    </w:p>
    <w:p>
      <w:pPr>
        <w:pStyle w:val="21"/>
        <w:ind w:firstLine="240"/>
        <w:rPr>
          <w:rFonts w:ascii="Times New Roman" w:hAnsi="Times New Roman" w:cs="Times New Roman"/>
        </w:rPr>
      </w:pPr>
      <w:r>
        <w:rPr>
          <w:rFonts w:ascii="Times New Roman" w:hAnsi="Times New Roman" w:cs="Times New Roman"/>
        </w:rPr>
        <w:object>
          <v:shape id="_x0000_i1038" o:spt="75" type="#_x0000_t75" style="height:13.55pt;width:24.8pt;" o:ole="t" filled="f" o:preferrelative="t" stroked="f" coordsize="21600,21600">
            <v:path/>
            <v:fill on="f" focussize="0,0"/>
            <v:stroke on="f" joinstyle="miter"/>
            <v:imagedata r:id="rId51" o:title=""/>
            <o:lock v:ext="edit" aspectratio="t"/>
            <w10:wrap type="none"/>
            <w10:anchorlock/>
          </v:shape>
          <o:OLEObject Type="Embed" ProgID="Equation.DSMT4" ShapeID="_x0000_i1038" DrawAspect="Content" ObjectID="_1468075738" r:id="rId50">
            <o:LockedField>false</o:LockedField>
          </o:OLEObject>
        </w:object>
      </w:r>
      <w:r>
        <w:rPr>
          <w:rFonts w:ascii="Times New Roman" w:hAnsi="Times New Roman" w:cs="Times New Roman"/>
        </w:rPr>
        <w:t>——其他方面引起的衰减量，dB（A）。</w:t>
      </w:r>
    </w:p>
    <w:p>
      <w:pPr>
        <w:pStyle w:val="21"/>
        <w:ind w:firstLine="240"/>
        <w:rPr>
          <w:rFonts w:ascii="Times New Roman" w:hAnsi="Times New Roman" w:cs="Times New Roman"/>
        </w:rPr>
      </w:pPr>
      <w:r>
        <w:rPr>
          <w:rFonts w:ascii="Times New Roman" w:hAnsi="Times New Roman" w:cs="Times New Roman"/>
        </w:rPr>
        <w:t xml:space="preserve">  ②多点源声级叠加模式</w:t>
      </w:r>
    </w:p>
    <w:p>
      <w:pPr>
        <w:pStyle w:val="21"/>
        <w:ind w:firstLine="465" w:firstLineChars="0"/>
        <w:rPr>
          <w:rFonts w:ascii="Times New Roman" w:hAnsi="Times New Roman" w:cs="Times New Roman"/>
        </w:rPr>
      </w:pPr>
      <w:r>
        <w:rPr>
          <w:rFonts w:ascii="Times New Roman" w:hAnsi="Times New Roman" w:cs="Times New Roman"/>
        </w:rPr>
        <w:t>多个点源在预测点产生的总等效声级Leq（总）采用以下计算公式：</w:t>
      </w:r>
    </w:p>
    <w:p>
      <w:pPr>
        <w:pStyle w:val="21"/>
        <w:ind w:firstLine="240"/>
        <w:jc w:val="center"/>
        <w:rPr>
          <w:rFonts w:ascii="Times New Roman" w:hAnsi="Times New Roman" w:cs="Times New Roman"/>
        </w:rPr>
      </w:pPr>
      <w:r>
        <w:rPr>
          <w:rFonts w:ascii="Times New Roman" w:hAnsi="Times New Roman" w:cs="Times New Roman"/>
        </w:rPr>
        <w:object>
          <v:shape id="_x0000_i1039" o:spt="75" type="#_x0000_t75" style="height:33.65pt;width:125.3pt;" o:ole="t" filled="f" o:preferrelative="t" stroked="f" coordsize="21600,21600">
            <v:path/>
            <v:fill on="f" focussize="0,0"/>
            <v:stroke on="f" joinstyle="miter"/>
            <v:imagedata r:id="rId53" o:title=""/>
            <o:lock v:ext="edit" aspectratio="t"/>
            <w10:wrap type="none"/>
            <w10:anchorlock/>
          </v:shape>
          <o:OLEObject Type="Embed" ProgID="Equation.3" ShapeID="_x0000_i1039" DrawAspect="Content" ObjectID="_1468075739" r:id="rId52">
            <o:LockedField>false</o:LockedField>
          </o:OLEObject>
        </w:object>
      </w:r>
    </w:p>
    <w:p>
      <w:pPr>
        <w:pStyle w:val="21"/>
        <w:ind w:firstLine="465" w:firstLineChars="0"/>
        <w:rPr>
          <w:rFonts w:ascii="Times New Roman" w:hAnsi="Times New Roman" w:cs="Times New Roman"/>
        </w:rPr>
      </w:pPr>
      <w:r>
        <w:rPr>
          <w:rFonts w:ascii="Times New Roman" w:hAnsi="Times New Roman" w:cs="Times New Roman"/>
        </w:rPr>
        <w:t>式中：Leq（总）</w:t>
      </w:r>
      <w:r>
        <w:rPr>
          <w:rFonts w:ascii="Times New Roman" w:hAnsi="Times New Roman" w:cs="Times New Roman"/>
          <w:lang w:val="zh-CN"/>
        </w:rPr>
        <w:t>——预测点的总等效声级dB（A）；</w:t>
      </w:r>
    </w:p>
    <w:p>
      <w:pPr>
        <w:pStyle w:val="21"/>
        <w:ind w:firstLine="240"/>
        <w:rPr>
          <w:rFonts w:ascii="Times New Roman" w:hAnsi="Times New Roman" w:cs="Times New Roman"/>
        </w:rPr>
      </w:pPr>
      <w:r>
        <w:rPr>
          <w:rFonts w:ascii="Times New Roman" w:hAnsi="Times New Roman" w:cs="Times New Roman"/>
        </w:rPr>
        <w:t xml:space="preserve">        Leqi</w:t>
      </w:r>
      <w:r>
        <w:rPr>
          <w:rFonts w:ascii="Times New Roman" w:hAnsi="Times New Roman" w:cs="Times New Roman"/>
          <w:lang w:val="zh-CN"/>
        </w:rPr>
        <w:t>——第i个声源对某个预测点的等效声级dB（A）；</w:t>
      </w:r>
    </w:p>
    <w:p>
      <w:pPr>
        <w:pStyle w:val="21"/>
        <w:ind w:firstLine="240"/>
        <w:rPr>
          <w:rFonts w:ascii="Times New Roman" w:hAnsi="Times New Roman" w:cs="Times New Roman"/>
        </w:rPr>
      </w:pPr>
      <w:r>
        <w:rPr>
          <w:rFonts w:ascii="Times New Roman" w:hAnsi="Times New Roman" w:cs="Times New Roman"/>
        </w:rPr>
        <w:t xml:space="preserve">        n——噪声源数。</w:t>
      </w:r>
    </w:p>
    <w:p>
      <w:pPr>
        <w:pStyle w:val="21"/>
        <w:ind w:firstLine="465" w:firstLineChars="0"/>
        <w:rPr>
          <w:rFonts w:ascii="Times New Roman" w:hAnsi="Times New Roman" w:cs="Times New Roman"/>
        </w:rPr>
      </w:pPr>
      <w:r>
        <w:rPr>
          <w:rFonts w:ascii="Times New Roman" w:hAnsi="Times New Roman" w:cs="Times New Roman"/>
        </w:rPr>
        <w:t>③预测参数</w:t>
      </w:r>
    </w:p>
    <w:p>
      <w:pPr>
        <w:pStyle w:val="21"/>
        <w:ind w:firstLineChars="0"/>
        <w:rPr>
          <w:rFonts w:ascii="Times New Roman" w:hAnsi="Times New Roman" w:cs="Times New Roman"/>
        </w:rPr>
      </w:pPr>
      <w:r>
        <w:rPr>
          <w:rFonts w:ascii="Times New Roman" w:hAnsi="Times New Roman" w:cs="Times New Roman"/>
        </w:rPr>
        <w:t xml:space="preserve">    a）几何衰减</w:t>
      </w:r>
    </w:p>
    <w:p>
      <w:pPr>
        <w:pStyle w:val="21"/>
        <w:ind w:firstLine="240"/>
        <w:jc w:val="center"/>
        <w:rPr>
          <w:rFonts w:ascii="Times New Roman" w:hAnsi="Times New Roman" w:cs="Times New Roman"/>
        </w:rPr>
      </w:pPr>
      <w:r>
        <w:rPr>
          <w:rFonts w:ascii="Times New Roman" w:hAnsi="Times New Roman" w:cs="Times New Roman"/>
        </w:rPr>
        <w:object>
          <v:shape id="_x0000_i1040" o:spt="75" type="#_x0000_t75" style="height:27.1pt;width:83.2pt;" o:ole="t" filled="f" o:preferrelative="t" stroked="f" coordsize="21600,21600">
            <v:path/>
            <v:fill on="f" focussize="0,0"/>
            <v:stroke on="f" joinstyle="miter"/>
            <v:imagedata r:id="rId55" o:title=""/>
            <o:lock v:ext="edit" aspectratio="t"/>
            <w10:wrap type="none"/>
            <w10:anchorlock/>
          </v:shape>
          <o:OLEObject Type="Embed" ProgID="Equation.DSMT4" ShapeID="_x0000_i1040" DrawAspect="Content" ObjectID="_1468075740" r:id="rId54">
            <o:LockedField>false</o:LockedField>
          </o:OLEObject>
        </w:object>
      </w:r>
    </w:p>
    <w:p>
      <w:pPr>
        <w:pStyle w:val="21"/>
        <w:ind w:firstLine="240"/>
        <w:rPr>
          <w:rFonts w:ascii="Times New Roman" w:hAnsi="Times New Roman" w:cs="Times New Roman"/>
        </w:rPr>
      </w:pPr>
      <w:r>
        <w:rPr>
          <w:rFonts w:ascii="Times New Roman" w:hAnsi="Times New Roman" w:cs="Times New Roman"/>
        </w:rPr>
        <w:t xml:space="preserve">    式中：</w:t>
      </w:r>
      <w:r>
        <w:rPr>
          <w:rFonts w:ascii="Times New Roman" w:hAnsi="Times New Roman" w:cs="Times New Roman"/>
        </w:rPr>
        <w:object>
          <v:shape id="_x0000_i1041" o:spt="75" type="#_x0000_t75" style="height:17.75pt;width:11.2pt;" o:ole="t" filled="f" o:preferrelative="t" stroked="f" coordsize="21600,21600">
            <v:path/>
            <v:fill on="f" focussize="0,0"/>
            <v:stroke on="f" joinstyle="miter"/>
            <v:imagedata r:id="rId57" o:title=""/>
            <o:lock v:ext="edit" aspectratio="t"/>
            <w10:wrap type="none"/>
            <w10:anchorlock/>
          </v:shape>
          <o:OLEObject Type="Embed" ProgID="Equation.DSMT4" ShapeID="_x0000_i1041" DrawAspect="Content" ObjectID="_1468075741" r:id="rId56">
            <o:LockedField>false</o:LockedField>
          </o:OLEObject>
        </w:object>
      </w:r>
      <w:r>
        <w:rPr>
          <w:rFonts w:ascii="Times New Roman" w:hAnsi="Times New Roman" w:cs="Times New Roman"/>
        </w:rPr>
        <w:t>——参考位置的距离，m；</w:t>
      </w:r>
    </w:p>
    <w:p>
      <w:pPr>
        <w:pStyle w:val="21"/>
        <w:ind w:firstLine="240"/>
        <w:rPr>
          <w:rFonts w:ascii="Times New Roman" w:hAnsi="Times New Roman" w:cs="Times New Roman"/>
        </w:rPr>
      </w:pPr>
      <w:r>
        <w:rPr>
          <w:rFonts w:ascii="Times New Roman" w:hAnsi="Times New Roman" w:cs="Times New Roman"/>
        </w:rPr>
        <w:object>
          <v:shape id="_x0000_i1042" o:spt="75" type="#_x0000_t75" style="height:9.8pt;width:8.9pt;" o:ole="t" filled="f" o:preferrelative="t" stroked="f" coordsize="21600,21600">
            <v:path/>
            <v:fill on="f" focussize="0,0"/>
            <v:stroke on="f" joinstyle="miter"/>
            <v:imagedata r:id="rId59" o:title=""/>
            <o:lock v:ext="edit" aspectratio="t"/>
            <w10:wrap type="none"/>
            <w10:anchorlock/>
          </v:shape>
          <o:OLEObject Type="Embed" ProgID="Equation.DSMT4" ShapeID="_x0000_i1042" DrawAspect="Content" ObjectID="_1468075742" r:id="rId58">
            <o:LockedField>false</o:LockedField>
          </o:OLEObject>
        </w:object>
      </w:r>
      <w:r>
        <w:rPr>
          <w:rFonts w:ascii="Times New Roman" w:hAnsi="Times New Roman" w:cs="Times New Roman"/>
        </w:rPr>
        <w:t>——预测点距声源的距离，m。</w:t>
      </w:r>
    </w:p>
    <w:p>
      <w:pPr>
        <w:pStyle w:val="21"/>
        <w:ind w:firstLine="465" w:firstLineChars="0"/>
        <w:rPr>
          <w:rFonts w:ascii="Times New Roman" w:hAnsi="Times New Roman" w:cs="Times New Roman"/>
        </w:rPr>
      </w:pPr>
      <w:r>
        <w:rPr>
          <w:rFonts w:ascii="Times New Roman" w:hAnsi="Times New Roman" w:cs="Times New Roman"/>
        </w:rPr>
        <w:t>b）遮挡物衰减</w:t>
      </w:r>
    </w:p>
    <w:p>
      <w:pPr>
        <w:pStyle w:val="21"/>
        <w:ind w:firstLine="240"/>
        <w:rPr>
          <w:rFonts w:ascii="Times New Roman" w:hAnsi="Times New Roman" w:cs="Times New Roman"/>
        </w:rPr>
      </w:pPr>
      <w:r>
        <w:rPr>
          <w:rFonts w:ascii="Times New Roman" w:hAnsi="Times New Roman" w:cs="Times New Roman"/>
        </w:rPr>
        <w:drawing>
          <wp:anchor distT="0" distB="0" distL="114300" distR="114300" simplePos="0" relativeHeight="251571200" behindDoc="1" locked="0" layoutInCell="1" allowOverlap="1">
            <wp:simplePos x="0" y="0"/>
            <wp:positionH relativeFrom="column">
              <wp:posOffset>1924685</wp:posOffset>
            </wp:positionH>
            <wp:positionV relativeFrom="paragraph">
              <wp:posOffset>128270</wp:posOffset>
            </wp:positionV>
            <wp:extent cx="1424940" cy="393700"/>
            <wp:effectExtent l="0" t="0" r="3810" b="5715"/>
            <wp:wrapSquare wrapText="right"/>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
                    <pic:cNvPicPr>
                      <a:picLocks noChangeAspect="1"/>
                    </pic:cNvPicPr>
                  </pic:nvPicPr>
                  <pic:blipFill>
                    <a:blip r:embed="rId60" cstate="print"/>
                    <a:stretch>
                      <a:fillRect/>
                    </a:stretch>
                  </pic:blipFill>
                  <pic:spPr>
                    <a:xfrm>
                      <a:off x="0" y="0"/>
                      <a:ext cx="1424940" cy="393700"/>
                    </a:xfrm>
                    <a:prstGeom prst="rect">
                      <a:avLst/>
                    </a:prstGeom>
                    <a:noFill/>
                    <a:ln>
                      <a:noFill/>
                    </a:ln>
                  </pic:spPr>
                </pic:pic>
              </a:graphicData>
            </a:graphic>
          </wp:anchor>
        </w:drawing>
      </w:r>
    </w:p>
    <w:p>
      <w:pPr>
        <w:pStyle w:val="21"/>
        <w:ind w:firstLine="240"/>
        <w:rPr>
          <w:rFonts w:ascii="Times New Roman" w:hAnsi="Times New Roman" w:cs="Times New Roman"/>
        </w:rPr>
      </w:pPr>
    </w:p>
    <w:p>
      <w:pPr>
        <w:pStyle w:val="21"/>
        <w:ind w:firstLine="240"/>
        <w:rPr>
          <w:rFonts w:ascii="Times New Roman" w:hAnsi="Times New Roman" w:cs="Times New Roman"/>
        </w:rPr>
      </w:pPr>
      <w:r>
        <w:rPr>
          <w:rFonts w:ascii="Times New Roman" w:hAnsi="Times New Roman" w:cs="Times New Roman"/>
        </w:rPr>
        <w:t>式中：</w:t>
      </w:r>
      <w:r>
        <w:rPr>
          <w:rFonts w:ascii="Times New Roman" w:hAnsi="Times New Roman" w:cs="Times New Roman"/>
        </w:rPr>
        <w:object>
          <v:shape id="_x0000_i1043" o:spt="75" type="#_x0000_t75" style="height:14.05pt;width:14.05pt;" o:ole="t" filled="f" o:preferrelative="t" stroked="f" coordsize="21600,21600">
            <v:path/>
            <v:fill on="f" focussize="0,0"/>
            <v:stroke on="f" joinstyle="miter"/>
            <v:imagedata r:id="rId62" o:title=""/>
            <o:lock v:ext="edit" aspectratio="t"/>
            <w10:wrap type="none"/>
            <w10:anchorlock/>
          </v:shape>
          <o:OLEObject Type="Embed" ProgID="Equation.DSMT4" ShapeID="_x0000_i1043" DrawAspect="Content" ObjectID="_1468075743" r:id="rId61">
            <o:LockedField>false</o:LockedField>
          </o:OLEObject>
        </w:object>
      </w:r>
      <w:r>
        <w:rPr>
          <w:rFonts w:ascii="Times New Roman" w:hAnsi="Times New Roman" w:cs="Times New Roman"/>
        </w:rPr>
        <w:t>——菲涅尔数。</w:t>
      </w:r>
    </w:p>
    <w:p>
      <w:pPr>
        <w:pStyle w:val="21"/>
        <w:ind w:firstLine="240"/>
        <w:rPr>
          <w:rFonts w:ascii="Times New Roman" w:hAnsi="Times New Roman" w:cs="Times New Roman"/>
        </w:rPr>
      </w:pPr>
      <w:r>
        <w:rPr>
          <w:rFonts w:ascii="Times New Roman" w:hAnsi="Times New Roman" w:cs="Times New Roman"/>
        </w:rPr>
        <w:t xml:space="preserve">    噪声源与厂界、住宅楼之间有建筑物隔挡，由于屏障的作用，引起噪声级的衰减。当计算出的衰减量超过25dB，实际所用的衰减量应取其上限衰减量25dB。</w:t>
      </w:r>
    </w:p>
    <w:p>
      <w:pPr>
        <w:pStyle w:val="21"/>
        <w:ind w:firstLine="465" w:firstLineChars="0"/>
        <w:rPr>
          <w:rFonts w:ascii="Times New Roman" w:hAnsi="Times New Roman" w:cs="Times New Roman"/>
        </w:rPr>
      </w:pPr>
      <w:r>
        <w:rPr>
          <w:rFonts w:ascii="Times New Roman" w:hAnsi="Times New Roman" w:cs="Times New Roman"/>
        </w:rPr>
        <w:t>C）空气衰减</w:t>
      </w:r>
    </w:p>
    <w:p>
      <w:pPr>
        <w:pStyle w:val="21"/>
        <w:ind w:firstLine="240"/>
        <w:jc w:val="center"/>
        <w:rPr>
          <w:rFonts w:ascii="Times New Roman" w:hAnsi="Times New Roman" w:cs="Times New Roman"/>
        </w:rPr>
      </w:pPr>
      <w:r>
        <w:rPr>
          <w:rFonts w:ascii="Times New Roman" w:hAnsi="Times New Roman" w:cs="Times New Roman"/>
        </w:rPr>
        <w:object>
          <v:shape id="_x0000_i1044" o:spt="75" type="#_x0000_t75" style="height:30.85pt;width:75.75pt;" o:ole="t" filled="f" o:preferrelative="t" stroked="f" coordsize="21600,21600">
            <v:path/>
            <v:fill on="f" focussize="0,0"/>
            <v:stroke on="f" joinstyle="miter"/>
            <v:imagedata r:id="rId64" o:title=""/>
            <o:lock v:ext="edit" aspectratio="t"/>
            <w10:wrap type="none"/>
            <w10:anchorlock/>
          </v:shape>
          <o:OLEObject Type="Embed" ProgID="Equation.DSMT4" ShapeID="_x0000_i1044" DrawAspect="Content" ObjectID="_1468075744" r:id="rId63">
            <o:LockedField>false</o:LockedField>
          </o:OLEObject>
        </w:object>
      </w:r>
    </w:p>
    <w:p>
      <w:pPr>
        <w:pStyle w:val="21"/>
        <w:ind w:firstLine="465" w:firstLineChars="0"/>
        <w:rPr>
          <w:rFonts w:ascii="Times New Roman" w:hAnsi="Times New Roman" w:cs="Times New Roman"/>
        </w:rPr>
      </w:pPr>
      <w:r>
        <w:rPr>
          <w:rFonts w:ascii="Times New Roman" w:hAnsi="Times New Roman" w:cs="Times New Roman"/>
        </w:rPr>
        <w:t>式中：</w:t>
      </w:r>
      <w:r>
        <w:rPr>
          <w:rFonts w:ascii="Times New Roman" w:hAnsi="Times New Roman" w:cs="Times New Roman"/>
        </w:rPr>
        <w:object>
          <v:shape id="_x0000_i1045" o:spt="75" type="#_x0000_t75" style="height:11.2pt;width:9.8pt;" o:ole="t" filled="f" o:preferrelative="t" stroked="f" coordsize="21600,21600">
            <v:path/>
            <v:fill on="f" focussize="0,0"/>
            <v:stroke on="f" joinstyle="miter"/>
            <v:imagedata r:id="rId66" o:title=""/>
            <o:lock v:ext="edit" aspectratio="t"/>
            <w10:wrap type="none"/>
            <w10:anchorlock/>
          </v:shape>
          <o:OLEObject Type="Embed" ProgID="Equation.DSMT4" ShapeID="_x0000_i1045" DrawAspect="Content" ObjectID="_1468075745" r:id="rId65">
            <o:LockedField>false</o:LockedField>
          </o:OLEObject>
        </w:object>
      </w:r>
      <w:r>
        <w:rPr>
          <w:rFonts w:ascii="Times New Roman" w:hAnsi="Times New Roman" w:cs="Times New Roman"/>
        </w:rPr>
        <w:t>——空气吸收系数。</w:t>
      </w:r>
    </w:p>
    <w:p>
      <w:pPr>
        <w:pStyle w:val="21"/>
        <w:ind w:firstLine="480" w:firstLineChars="0"/>
        <w:rPr>
          <w:rFonts w:ascii="Times New Roman" w:hAnsi="Times New Roman" w:cs="Times New Roman"/>
        </w:rPr>
      </w:pPr>
      <w:r>
        <w:rPr>
          <w:rFonts w:ascii="Times New Roman" w:hAnsi="Times New Roman" w:cs="Times New Roman"/>
        </w:rPr>
        <w:t>根据地区的年均气温和湿度，从《环境影响评价技术导则·声环境》中查得相应的空气吸收系数。</w:t>
      </w:r>
    </w:p>
    <w:p>
      <w:pPr>
        <w:pStyle w:val="21"/>
        <w:ind w:firstLine="465" w:firstLineChars="0"/>
        <w:rPr>
          <w:rFonts w:ascii="Times New Roman" w:hAnsi="Times New Roman" w:cs="Times New Roman"/>
        </w:rPr>
      </w:pPr>
      <w:r>
        <w:rPr>
          <w:rFonts w:ascii="Times New Roman" w:hAnsi="Times New Roman" w:cs="Times New Roman"/>
        </w:rPr>
        <w:t>D）附加衰减</w:t>
      </w:r>
    </w:p>
    <w:p>
      <w:pPr>
        <w:pStyle w:val="21"/>
        <w:ind w:firstLine="240"/>
        <w:jc w:val="center"/>
        <w:rPr>
          <w:rFonts w:ascii="Times New Roman" w:hAnsi="Times New Roman" w:cs="Times New Roman"/>
        </w:rPr>
      </w:pPr>
      <w:r>
        <w:rPr>
          <w:rFonts w:ascii="Times New Roman" w:hAnsi="Times New Roman" w:cs="Times New Roman"/>
        </w:rPr>
        <w:object>
          <v:shape id="_x0000_i1046" o:spt="75" type="#_x0000_t75" style="height:18.25pt;width:135.1pt;" o:ole="t" filled="f" o:preferrelative="t" stroked="f" coordsize="21600,21600">
            <v:path/>
            <v:fill on="f" focussize="0,0"/>
            <v:stroke on="f" joinstyle="miter"/>
            <v:imagedata r:id="rId68" o:title=""/>
            <o:lock v:ext="edit" aspectratio="t"/>
            <w10:wrap type="none"/>
            <w10:anchorlock/>
          </v:shape>
          <o:OLEObject Type="Embed" ProgID="Equation.DSMT4" ShapeID="_x0000_i1046" DrawAspect="Content" ObjectID="_1468075746" r:id="rId67">
            <o:LockedField>false</o:LockedField>
          </o:OLEObject>
        </w:object>
      </w:r>
    </w:p>
    <w:p>
      <w:pPr>
        <w:pStyle w:val="21"/>
        <w:ind w:firstLine="480" w:firstLineChars="0"/>
        <w:rPr>
          <w:rFonts w:ascii="Times New Roman" w:hAnsi="Times New Roman" w:cs="Times New Roman"/>
        </w:rPr>
      </w:pPr>
      <w:r>
        <w:rPr>
          <w:rFonts w:ascii="Times New Roman" w:hAnsi="Times New Roman" w:cs="Times New Roman"/>
        </w:rPr>
        <w:t>如果满足下列条件，需考虑地面效应引起的附加衰减：①预测点距声源50m以上；②声源距地面高度小于3m；③声源与预测点之间的地面被草地、灌木等覆盖（软地面）。在预测计算时，不管传播距离多远，地面效应引起的附加衰减量上限值为10dB。</w:t>
      </w:r>
    </w:p>
    <w:p>
      <w:pPr>
        <w:pStyle w:val="21"/>
        <w:ind w:firstLine="480" w:firstLineChars="200"/>
        <w:rPr>
          <w:rFonts w:ascii="Times New Roman" w:hAnsi="Times New Roman" w:cs="Times New Roman"/>
        </w:rPr>
      </w:pPr>
      <w:r>
        <w:rPr>
          <w:rFonts w:ascii="Times New Roman" w:hAnsi="Times New Roman" w:cs="Times New Roman"/>
        </w:rPr>
        <w:t>2）室内声源等效室外声源计算模式</w:t>
      </w:r>
    </w:p>
    <w:p>
      <w:pPr>
        <w:pStyle w:val="21"/>
        <w:ind w:firstLine="480" w:firstLineChars="200"/>
        <w:rPr>
          <w:rFonts w:ascii="Times New Roman" w:hAnsi="Times New Roman" w:cs="Times New Roman"/>
        </w:rPr>
      </w:pPr>
      <w:r>
        <w:rPr>
          <w:rFonts w:ascii="Times New Roman" w:hAnsi="Times New Roman" w:cs="Times New Roman"/>
        </w:rPr>
        <w:t>①计算某个室内声源在靠近围护结构处产生的A声级：</w:t>
      </w:r>
    </w:p>
    <w:p>
      <w:pPr>
        <w:pStyle w:val="21"/>
        <w:ind w:firstLineChars="0"/>
        <w:jc w:val="center"/>
        <w:rPr>
          <w:rFonts w:ascii="Times New Roman" w:hAnsi="Times New Roman" w:cs="Times New Roman"/>
        </w:rPr>
      </w:pPr>
      <w:r>
        <w:rPr>
          <w:rFonts w:ascii="Times New Roman" w:hAnsi="Times New Roman" w:cs="Times New Roman"/>
        </w:rPr>
        <w:drawing>
          <wp:inline distT="0" distB="0" distL="114300" distR="114300">
            <wp:extent cx="1545590" cy="365760"/>
            <wp:effectExtent l="0" t="0" r="16510" b="15240"/>
            <wp:docPr id="16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6"/>
                    <pic:cNvPicPr>
                      <a:picLocks noChangeAspect="1"/>
                    </pic:cNvPicPr>
                  </pic:nvPicPr>
                  <pic:blipFill>
                    <a:blip r:embed="rId69" cstate="print"/>
                    <a:stretch>
                      <a:fillRect/>
                    </a:stretch>
                  </pic:blipFill>
                  <pic:spPr>
                    <a:xfrm>
                      <a:off x="0" y="0"/>
                      <a:ext cx="1545590" cy="365760"/>
                    </a:xfrm>
                    <a:prstGeom prst="rect">
                      <a:avLst/>
                    </a:prstGeom>
                    <a:noFill/>
                    <a:ln w="9525">
                      <a:noFill/>
                    </a:ln>
                  </pic:spPr>
                </pic:pic>
              </a:graphicData>
            </a:graphic>
          </wp:inline>
        </w:drawing>
      </w:r>
    </w:p>
    <w:p>
      <w:pPr>
        <w:pStyle w:val="21"/>
        <w:ind w:firstLine="465" w:firstLineChars="0"/>
        <w:rPr>
          <w:rFonts w:ascii="Times New Roman" w:hAnsi="Times New Roman" w:cs="Times New Roman"/>
        </w:rPr>
      </w:pPr>
      <w:r>
        <w:rPr>
          <w:rFonts w:ascii="Times New Roman" w:hAnsi="Times New Roman" w:cs="Times New Roman"/>
        </w:rPr>
        <w:t>式中：L</w:t>
      </w:r>
      <w:r>
        <w:rPr>
          <w:rFonts w:ascii="Times New Roman" w:hAnsi="Times New Roman" w:cs="Times New Roman"/>
          <w:vertAlign w:val="subscript"/>
        </w:rPr>
        <w:t>P1</w:t>
      </w:r>
      <w:r>
        <w:rPr>
          <w:rFonts w:ascii="Times New Roman" w:hAnsi="Times New Roman" w:cs="Times New Roman"/>
        </w:rPr>
        <w:t xml:space="preserve"> — 某个室内声源在靠近围护结构处产生的A声级，dB</w:t>
      </w:r>
      <w:r>
        <w:rPr>
          <w:rFonts w:ascii="Times New Roman" w:hAnsi="Times New Roman" w:cs="Times New Roman"/>
          <w:lang w:val="zh-CN"/>
        </w:rPr>
        <w:t>（A）</w:t>
      </w:r>
      <w:r>
        <w:rPr>
          <w:rFonts w:ascii="Times New Roman" w:hAnsi="Times New Roman" w:cs="Times New Roman"/>
        </w:rPr>
        <w:t>；</w:t>
      </w:r>
    </w:p>
    <w:p>
      <w:pPr>
        <w:pStyle w:val="21"/>
        <w:ind w:firstLineChars="0"/>
        <w:rPr>
          <w:rFonts w:ascii="Times New Roman" w:hAnsi="Times New Roman" w:cs="Times New Roman"/>
        </w:rPr>
      </w:pPr>
      <w:r>
        <w:rPr>
          <w:rFonts w:ascii="Times New Roman" w:hAnsi="Times New Roman" w:cs="Times New Roman"/>
        </w:rPr>
        <w:t xml:space="preserve">          L</w:t>
      </w:r>
      <w:r>
        <w:rPr>
          <w:rFonts w:ascii="Times New Roman" w:hAnsi="Times New Roman" w:cs="Times New Roman"/>
          <w:vertAlign w:val="subscript"/>
        </w:rPr>
        <w:t xml:space="preserve"> W</w:t>
      </w:r>
      <w:r>
        <w:rPr>
          <w:rFonts w:ascii="Times New Roman" w:hAnsi="Times New Roman" w:cs="Times New Roman"/>
        </w:rPr>
        <w:t xml:space="preserve"> — 某个声源的A声级，dB</w:t>
      </w:r>
      <w:r>
        <w:rPr>
          <w:rFonts w:ascii="Times New Roman" w:hAnsi="Times New Roman" w:cs="Times New Roman"/>
          <w:lang w:val="zh-CN"/>
        </w:rPr>
        <w:t>（A）</w:t>
      </w:r>
      <w:r>
        <w:rPr>
          <w:rFonts w:ascii="Times New Roman" w:hAnsi="Times New Roman" w:cs="Times New Roman"/>
        </w:rPr>
        <w:t>；</w:t>
      </w:r>
    </w:p>
    <w:p>
      <w:pPr>
        <w:pStyle w:val="21"/>
        <w:ind w:firstLineChars="0"/>
        <w:rPr>
          <w:rFonts w:ascii="Times New Roman" w:hAnsi="Times New Roman" w:cs="Times New Roman"/>
        </w:rPr>
      </w:pPr>
      <w:r>
        <w:rPr>
          <w:rFonts w:ascii="Times New Roman" w:hAnsi="Times New Roman" w:cs="Times New Roman"/>
        </w:rPr>
        <w:t xml:space="preserve">          r— 室内某个声源到靠近围护结构某点处的距离，m；</w:t>
      </w:r>
    </w:p>
    <w:p>
      <w:pPr>
        <w:pStyle w:val="21"/>
        <w:ind w:firstLineChars="0"/>
        <w:rPr>
          <w:rFonts w:ascii="Times New Roman" w:hAnsi="Times New Roman" w:cs="Times New Roman"/>
        </w:rPr>
      </w:pPr>
      <w:r>
        <w:rPr>
          <w:rFonts w:ascii="Times New Roman" w:hAnsi="Times New Roman" w:cs="Times New Roman"/>
        </w:rPr>
        <w:t xml:space="preserve">          R— 房间常数，m</w:t>
      </w:r>
      <w:r>
        <w:rPr>
          <w:rFonts w:ascii="Times New Roman" w:hAnsi="Times New Roman" w:cs="Times New Roman"/>
          <w:vertAlign w:val="superscript"/>
        </w:rPr>
        <w:t>2</w:t>
      </w:r>
      <w:r>
        <w:rPr>
          <w:rFonts w:ascii="Times New Roman" w:hAnsi="Times New Roman" w:cs="Times New Roman"/>
        </w:rPr>
        <w:t>；</w:t>
      </w:r>
    </w:p>
    <w:p>
      <w:pPr>
        <w:pStyle w:val="21"/>
        <w:ind w:firstLineChars="0"/>
        <w:rPr>
          <w:rFonts w:ascii="Times New Roman" w:hAnsi="Times New Roman" w:cs="Times New Roman"/>
        </w:rPr>
      </w:pPr>
      <w:r>
        <w:rPr>
          <w:rFonts w:ascii="Times New Roman" w:hAnsi="Times New Roman" w:cs="Times New Roman"/>
        </w:rPr>
        <w:t xml:space="preserve">          Q— 方向性因子。</w:t>
      </w:r>
    </w:p>
    <w:p>
      <w:pPr>
        <w:pStyle w:val="21"/>
        <w:ind w:firstLine="465" w:firstLineChars="0"/>
        <w:rPr>
          <w:rFonts w:ascii="Times New Roman" w:hAnsi="Times New Roman" w:cs="Times New Roman"/>
        </w:rPr>
      </w:pPr>
      <w:r>
        <w:rPr>
          <w:rFonts w:ascii="Times New Roman" w:hAnsi="Times New Roman" w:cs="Times New Roman"/>
        </w:rPr>
        <w:t>②计算室外靠近围护结构处的A声级：</w:t>
      </w:r>
    </w:p>
    <w:p>
      <w:pPr>
        <w:pStyle w:val="21"/>
        <w:ind w:firstLineChars="0"/>
        <w:jc w:val="center"/>
        <w:rPr>
          <w:rFonts w:ascii="Times New Roman" w:hAnsi="Times New Roman" w:cs="Times New Roman"/>
        </w:rPr>
      </w:pPr>
      <w:r>
        <w:rPr>
          <w:rFonts w:ascii="Times New Roman" w:hAnsi="Times New Roman" w:cs="Times New Roman"/>
        </w:rPr>
        <w:drawing>
          <wp:inline distT="0" distB="0" distL="114300" distR="114300">
            <wp:extent cx="1583690" cy="256540"/>
            <wp:effectExtent l="0" t="0" r="16510" b="10160"/>
            <wp:docPr id="16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7"/>
                    <pic:cNvPicPr>
                      <a:picLocks noChangeAspect="1"/>
                    </pic:cNvPicPr>
                  </pic:nvPicPr>
                  <pic:blipFill>
                    <a:blip r:embed="rId70" cstate="print"/>
                    <a:stretch>
                      <a:fillRect/>
                    </a:stretch>
                  </pic:blipFill>
                  <pic:spPr>
                    <a:xfrm>
                      <a:off x="0" y="0"/>
                      <a:ext cx="1583690" cy="256540"/>
                    </a:xfrm>
                    <a:prstGeom prst="rect">
                      <a:avLst/>
                    </a:prstGeom>
                    <a:noFill/>
                    <a:ln w="9525">
                      <a:noFill/>
                    </a:ln>
                  </pic:spPr>
                </pic:pic>
              </a:graphicData>
            </a:graphic>
          </wp:inline>
        </w:drawing>
      </w:r>
    </w:p>
    <w:p>
      <w:pPr>
        <w:pStyle w:val="21"/>
        <w:ind w:firstLine="465" w:firstLineChars="0"/>
        <w:rPr>
          <w:rFonts w:ascii="Times New Roman" w:hAnsi="Times New Roman" w:cs="Times New Roman"/>
        </w:rPr>
      </w:pPr>
      <w:r>
        <w:rPr>
          <w:rFonts w:ascii="Times New Roman" w:hAnsi="Times New Roman" w:cs="Times New Roman"/>
        </w:rPr>
        <w:t>③计算室外声源在预测点处的A声级：</w:t>
      </w:r>
    </w:p>
    <w:p>
      <w:pPr>
        <w:pStyle w:val="21"/>
        <w:ind w:firstLineChars="0"/>
        <w:jc w:val="center"/>
        <w:rPr>
          <w:rFonts w:ascii="Times New Roman" w:hAnsi="Times New Roman" w:cs="Times New Roman"/>
        </w:rPr>
      </w:pPr>
      <w:r>
        <w:rPr>
          <w:rFonts w:ascii="Times New Roman" w:hAnsi="Times New Roman" w:cs="Times New Roman"/>
        </w:rPr>
        <w:drawing>
          <wp:inline distT="0" distB="0" distL="114300" distR="114300">
            <wp:extent cx="1327150" cy="313055"/>
            <wp:effectExtent l="0" t="0" r="6350" b="10795"/>
            <wp:docPr id="16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8"/>
                    <pic:cNvPicPr>
                      <a:picLocks noChangeAspect="1"/>
                    </pic:cNvPicPr>
                  </pic:nvPicPr>
                  <pic:blipFill>
                    <a:blip r:embed="rId71" cstate="print"/>
                    <a:stretch>
                      <a:fillRect/>
                    </a:stretch>
                  </pic:blipFill>
                  <pic:spPr>
                    <a:xfrm>
                      <a:off x="0" y="0"/>
                      <a:ext cx="1327150" cy="313055"/>
                    </a:xfrm>
                    <a:prstGeom prst="rect">
                      <a:avLst/>
                    </a:prstGeom>
                    <a:noFill/>
                    <a:ln w="9525">
                      <a:noFill/>
                    </a:ln>
                  </pic:spPr>
                </pic:pic>
              </a:graphicData>
            </a:graphic>
          </wp:inline>
        </w:drawing>
      </w:r>
    </w:p>
    <w:p>
      <w:pPr>
        <w:pStyle w:val="3"/>
        <w:spacing w:line="360" w:lineRule="auto"/>
        <w:ind w:firstLine="600" w:firstLineChars="250"/>
        <w:rPr>
          <w:sz w:val="24"/>
          <w:szCs w:val="24"/>
        </w:rPr>
      </w:pPr>
      <w:r>
        <w:rPr>
          <w:sz w:val="24"/>
          <w:szCs w:val="24"/>
        </w:rPr>
        <w:t>3、预测结果及分析</w:t>
      </w:r>
    </w:p>
    <w:p>
      <w:pPr>
        <w:ind w:firstLine="480" w:firstLineChars="200"/>
        <w:textAlignment w:val="baseline"/>
        <w:rPr>
          <w:sz w:val="24"/>
          <w:szCs w:val="24"/>
        </w:rPr>
      </w:pPr>
      <w:r>
        <w:rPr>
          <w:sz w:val="24"/>
          <w:szCs w:val="24"/>
        </w:rPr>
        <w:t>将噪声源参数数据代入公式进行计算，可得出本项目厂界环境噪声值，预测结果见下表。</w:t>
      </w:r>
    </w:p>
    <w:p>
      <w:pPr>
        <w:jc w:val="center"/>
        <w:rPr>
          <w:b/>
          <w:bCs/>
          <w:sz w:val="24"/>
          <w:szCs w:val="24"/>
        </w:rPr>
      </w:pPr>
      <w:r>
        <w:rPr>
          <w:b/>
          <w:bCs/>
          <w:sz w:val="24"/>
          <w:szCs w:val="24"/>
        </w:rPr>
        <w:t>表4</w:t>
      </w:r>
      <w:r>
        <w:rPr>
          <w:rFonts w:hint="eastAsia"/>
          <w:b/>
          <w:bCs/>
          <w:sz w:val="24"/>
          <w:szCs w:val="24"/>
        </w:rPr>
        <w:t>-</w:t>
      </w:r>
      <w:r>
        <w:rPr>
          <w:b/>
          <w:bCs/>
          <w:sz w:val="24"/>
          <w:szCs w:val="24"/>
        </w:rPr>
        <w:t>2-</w:t>
      </w:r>
      <w:r>
        <w:rPr>
          <w:rFonts w:hint="eastAsia"/>
          <w:b/>
          <w:bCs/>
          <w:sz w:val="24"/>
          <w:szCs w:val="24"/>
        </w:rPr>
        <w:t>19</w:t>
      </w:r>
      <w:r>
        <w:rPr>
          <w:b/>
          <w:bCs/>
          <w:sz w:val="24"/>
          <w:szCs w:val="24"/>
        </w:rPr>
        <w:t xml:space="preserve">  噪声贡献结果列表</w:t>
      </w:r>
    </w:p>
    <w:tbl>
      <w:tblPr>
        <w:tblStyle w:val="22"/>
        <w:tblW w:w="928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2272"/>
        <w:gridCol w:w="2806"/>
        <w:gridCol w:w="26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1533" w:type="dxa"/>
            <w:vAlign w:val="center"/>
          </w:tcPr>
          <w:p>
            <w:pPr>
              <w:spacing w:line="240" w:lineRule="auto"/>
              <w:jc w:val="center"/>
            </w:pPr>
            <w:r>
              <w:t>序号</w:t>
            </w:r>
          </w:p>
        </w:tc>
        <w:tc>
          <w:tcPr>
            <w:tcW w:w="2272" w:type="dxa"/>
            <w:vAlign w:val="center"/>
          </w:tcPr>
          <w:p>
            <w:pPr>
              <w:spacing w:line="240" w:lineRule="auto"/>
              <w:jc w:val="center"/>
            </w:pPr>
            <w:r>
              <w:t>预测点</w:t>
            </w:r>
          </w:p>
        </w:tc>
        <w:tc>
          <w:tcPr>
            <w:tcW w:w="2806" w:type="dxa"/>
            <w:vAlign w:val="center"/>
          </w:tcPr>
          <w:p>
            <w:pPr>
              <w:spacing w:line="240" w:lineRule="auto"/>
              <w:jc w:val="center"/>
            </w:pPr>
            <w:r>
              <w:t>贡献值dB（A）（昼间）</w:t>
            </w:r>
          </w:p>
        </w:tc>
        <w:tc>
          <w:tcPr>
            <w:tcW w:w="2676" w:type="dxa"/>
            <w:vAlign w:val="center"/>
          </w:tcPr>
          <w:p>
            <w:pPr>
              <w:spacing w:line="240" w:lineRule="auto"/>
              <w:jc w:val="center"/>
            </w:pPr>
            <w: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 w:hRule="atLeast"/>
          <w:jc w:val="center"/>
        </w:trPr>
        <w:tc>
          <w:tcPr>
            <w:tcW w:w="1533" w:type="dxa"/>
            <w:vAlign w:val="center"/>
          </w:tcPr>
          <w:p>
            <w:pPr>
              <w:spacing w:line="240" w:lineRule="auto"/>
              <w:jc w:val="center"/>
            </w:pPr>
            <w:r>
              <w:t>1</w:t>
            </w:r>
          </w:p>
        </w:tc>
        <w:tc>
          <w:tcPr>
            <w:tcW w:w="2272" w:type="dxa"/>
            <w:vAlign w:val="center"/>
          </w:tcPr>
          <w:p>
            <w:pPr>
              <w:spacing w:line="240" w:lineRule="auto"/>
              <w:jc w:val="center"/>
            </w:pPr>
            <w:r>
              <w:t>厂界东</w:t>
            </w:r>
          </w:p>
        </w:tc>
        <w:tc>
          <w:tcPr>
            <w:tcW w:w="2806" w:type="dxa"/>
            <w:vAlign w:val="center"/>
          </w:tcPr>
          <w:p>
            <w:pPr>
              <w:widowControl/>
              <w:spacing w:line="240" w:lineRule="auto"/>
              <w:jc w:val="center"/>
              <w:textAlignment w:val="center"/>
              <w:rPr>
                <w:kern w:val="0"/>
              </w:rPr>
            </w:pPr>
            <w:r>
              <w:rPr>
                <w:kern w:val="0"/>
              </w:rPr>
              <w:t>52.</w:t>
            </w:r>
            <w:r>
              <w:rPr>
                <w:rFonts w:hint="eastAsia"/>
                <w:kern w:val="0"/>
              </w:rPr>
              <w:t>5</w:t>
            </w:r>
          </w:p>
        </w:tc>
        <w:tc>
          <w:tcPr>
            <w:tcW w:w="2676" w:type="dxa"/>
            <w:vAlign w:val="center"/>
          </w:tcPr>
          <w:p>
            <w:pPr>
              <w:spacing w:line="240" w:lineRule="auto"/>
              <w:jc w:val="center"/>
              <w:rPr>
                <w:kern w:val="0"/>
              </w:rPr>
            </w:pPr>
            <w:r>
              <w:rPr>
                <w:kern w:val="0"/>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 w:hRule="atLeast"/>
          <w:jc w:val="center"/>
        </w:trPr>
        <w:tc>
          <w:tcPr>
            <w:tcW w:w="1533" w:type="dxa"/>
            <w:vAlign w:val="center"/>
          </w:tcPr>
          <w:p>
            <w:pPr>
              <w:spacing w:line="240" w:lineRule="auto"/>
              <w:jc w:val="center"/>
            </w:pPr>
            <w:r>
              <w:t>2</w:t>
            </w:r>
          </w:p>
        </w:tc>
        <w:tc>
          <w:tcPr>
            <w:tcW w:w="2272" w:type="dxa"/>
            <w:vAlign w:val="center"/>
          </w:tcPr>
          <w:p>
            <w:pPr>
              <w:spacing w:line="240" w:lineRule="auto"/>
              <w:jc w:val="center"/>
            </w:pPr>
            <w:r>
              <w:t>厂界南</w:t>
            </w:r>
          </w:p>
        </w:tc>
        <w:tc>
          <w:tcPr>
            <w:tcW w:w="2806" w:type="dxa"/>
            <w:vAlign w:val="center"/>
          </w:tcPr>
          <w:p>
            <w:pPr>
              <w:widowControl/>
              <w:spacing w:line="240" w:lineRule="auto"/>
              <w:jc w:val="center"/>
              <w:textAlignment w:val="center"/>
              <w:rPr>
                <w:kern w:val="0"/>
              </w:rPr>
            </w:pPr>
            <w:r>
              <w:rPr>
                <w:kern w:val="0"/>
              </w:rPr>
              <w:t>5</w:t>
            </w:r>
            <w:r>
              <w:rPr>
                <w:rFonts w:hint="eastAsia"/>
                <w:kern w:val="0"/>
                <w:lang w:val="en-US" w:eastAsia="zh-CN"/>
              </w:rPr>
              <w:t>5</w:t>
            </w:r>
            <w:r>
              <w:rPr>
                <w:kern w:val="0"/>
              </w:rPr>
              <w:t>.</w:t>
            </w:r>
            <w:r>
              <w:rPr>
                <w:rFonts w:hint="eastAsia"/>
                <w:kern w:val="0"/>
              </w:rPr>
              <w:t>2</w:t>
            </w:r>
          </w:p>
        </w:tc>
        <w:tc>
          <w:tcPr>
            <w:tcW w:w="2676" w:type="dxa"/>
            <w:vAlign w:val="center"/>
          </w:tcPr>
          <w:p>
            <w:pPr>
              <w:spacing w:line="240" w:lineRule="auto"/>
              <w:jc w:val="center"/>
              <w:rPr>
                <w:kern w:val="0"/>
              </w:rPr>
            </w:pPr>
            <w:r>
              <w:rPr>
                <w:kern w:val="0"/>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 w:hRule="atLeast"/>
          <w:jc w:val="center"/>
        </w:trPr>
        <w:tc>
          <w:tcPr>
            <w:tcW w:w="1533" w:type="dxa"/>
            <w:vAlign w:val="center"/>
          </w:tcPr>
          <w:p>
            <w:pPr>
              <w:spacing w:line="240" w:lineRule="auto"/>
              <w:jc w:val="center"/>
            </w:pPr>
            <w:r>
              <w:t>3</w:t>
            </w:r>
          </w:p>
        </w:tc>
        <w:tc>
          <w:tcPr>
            <w:tcW w:w="2272" w:type="dxa"/>
            <w:vAlign w:val="center"/>
          </w:tcPr>
          <w:p>
            <w:pPr>
              <w:spacing w:line="240" w:lineRule="auto"/>
              <w:jc w:val="center"/>
            </w:pPr>
            <w:r>
              <w:t>厂界西</w:t>
            </w:r>
          </w:p>
        </w:tc>
        <w:tc>
          <w:tcPr>
            <w:tcW w:w="2806" w:type="dxa"/>
            <w:vAlign w:val="center"/>
          </w:tcPr>
          <w:p>
            <w:pPr>
              <w:widowControl/>
              <w:spacing w:line="240" w:lineRule="auto"/>
              <w:jc w:val="center"/>
              <w:textAlignment w:val="center"/>
              <w:rPr>
                <w:kern w:val="0"/>
              </w:rPr>
            </w:pPr>
            <w:r>
              <w:rPr>
                <w:kern w:val="0"/>
              </w:rPr>
              <w:t>5</w:t>
            </w:r>
            <w:r>
              <w:rPr>
                <w:rFonts w:hint="eastAsia"/>
                <w:kern w:val="0"/>
              </w:rPr>
              <w:t>3</w:t>
            </w:r>
            <w:r>
              <w:rPr>
                <w:kern w:val="0"/>
              </w:rPr>
              <w:t>.1</w:t>
            </w:r>
          </w:p>
        </w:tc>
        <w:tc>
          <w:tcPr>
            <w:tcW w:w="2676" w:type="dxa"/>
            <w:vAlign w:val="bottom"/>
          </w:tcPr>
          <w:p>
            <w:pPr>
              <w:spacing w:line="240" w:lineRule="auto"/>
              <w:jc w:val="center"/>
              <w:rPr>
                <w:kern w:val="0"/>
              </w:rPr>
            </w:pPr>
            <w:r>
              <w:rPr>
                <w:kern w:val="0"/>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 w:hRule="atLeast"/>
          <w:jc w:val="center"/>
        </w:trPr>
        <w:tc>
          <w:tcPr>
            <w:tcW w:w="1533" w:type="dxa"/>
            <w:vAlign w:val="center"/>
          </w:tcPr>
          <w:p>
            <w:pPr>
              <w:spacing w:line="240" w:lineRule="auto"/>
              <w:jc w:val="center"/>
            </w:pPr>
            <w:r>
              <w:t>4</w:t>
            </w:r>
          </w:p>
        </w:tc>
        <w:tc>
          <w:tcPr>
            <w:tcW w:w="2272" w:type="dxa"/>
            <w:vAlign w:val="center"/>
          </w:tcPr>
          <w:p>
            <w:pPr>
              <w:spacing w:line="240" w:lineRule="auto"/>
              <w:jc w:val="center"/>
            </w:pPr>
            <w:r>
              <w:t>厂界北</w:t>
            </w:r>
          </w:p>
        </w:tc>
        <w:tc>
          <w:tcPr>
            <w:tcW w:w="2806" w:type="dxa"/>
            <w:vAlign w:val="center"/>
          </w:tcPr>
          <w:p>
            <w:pPr>
              <w:widowControl/>
              <w:spacing w:line="240" w:lineRule="auto"/>
              <w:jc w:val="center"/>
              <w:textAlignment w:val="center"/>
              <w:rPr>
                <w:kern w:val="0"/>
              </w:rPr>
            </w:pPr>
            <w:r>
              <w:rPr>
                <w:kern w:val="0"/>
              </w:rPr>
              <w:t>5</w:t>
            </w:r>
            <w:r>
              <w:rPr>
                <w:rFonts w:hint="eastAsia"/>
                <w:kern w:val="0"/>
                <w:lang w:val="en-US" w:eastAsia="zh-CN"/>
              </w:rPr>
              <w:t>6</w:t>
            </w:r>
            <w:r>
              <w:rPr>
                <w:kern w:val="0"/>
              </w:rPr>
              <w:t>.4</w:t>
            </w:r>
          </w:p>
        </w:tc>
        <w:tc>
          <w:tcPr>
            <w:tcW w:w="2676" w:type="dxa"/>
            <w:vAlign w:val="bottom"/>
          </w:tcPr>
          <w:p>
            <w:pPr>
              <w:spacing w:line="240" w:lineRule="auto"/>
              <w:jc w:val="center"/>
              <w:rPr>
                <w:kern w:val="0"/>
              </w:rPr>
            </w:pPr>
            <w:r>
              <w:rPr>
                <w:kern w:val="0"/>
              </w:rPr>
              <w:t>达标</w:t>
            </w:r>
          </w:p>
        </w:tc>
      </w:tr>
    </w:tbl>
    <w:p>
      <w:pPr>
        <w:ind w:firstLine="480" w:firstLineChars="200"/>
        <w:textAlignment w:val="baseline"/>
        <w:rPr>
          <w:sz w:val="24"/>
        </w:rPr>
      </w:pPr>
      <w:r>
        <w:rPr>
          <w:sz w:val="24"/>
        </w:rPr>
        <w:t>本项目建成投入使用后，噪声源采取隔声、消声及基础减振等措施，加上建筑物阻隔和空间衰减等因素，其噪声可得到有效控制，厂界处噪声贡献值达到《工业企业厂界环境噪声排放标准》（GB12348－2008）</w:t>
      </w:r>
      <w:r>
        <w:rPr>
          <w:rFonts w:hint="eastAsia"/>
          <w:sz w:val="24"/>
          <w:lang w:val="en-US" w:eastAsia="zh-CN"/>
        </w:rPr>
        <w:t>3</w:t>
      </w:r>
      <w:r>
        <w:rPr>
          <w:sz w:val="24"/>
        </w:rPr>
        <w:t>类</w:t>
      </w:r>
      <w:r>
        <w:rPr>
          <w:rFonts w:hint="eastAsia"/>
          <w:sz w:val="24"/>
          <w:lang w:eastAsia="zh-CN"/>
        </w:rPr>
        <w:t>区</w:t>
      </w:r>
      <w:r>
        <w:rPr>
          <w:sz w:val="24"/>
        </w:rPr>
        <w:t>标准的要求。</w:t>
      </w:r>
    </w:p>
    <w:p>
      <w:pPr>
        <w:pStyle w:val="46"/>
        <w:spacing w:before="0"/>
        <w:jc w:val="both"/>
        <w:outlineLvl w:val="9"/>
        <w:rPr>
          <w:color w:val="auto"/>
          <w:lang w:val="en-US"/>
        </w:rPr>
      </w:pPr>
      <w:r>
        <w:rPr>
          <w:color w:val="auto"/>
          <w:lang w:val="en-US"/>
        </w:rPr>
        <w:t>4.2.4 营运期固体废物影响分析</w:t>
      </w:r>
    </w:p>
    <w:p>
      <w:pPr>
        <w:ind w:firstLine="480" w:firstLineChars="200"/>
        <w:rPr>
          <w:sz w:val="24"/>
          <w:szCs w:val="24"/>
        </w:rPr>
      </w:pPr>
      <w:r>
        <w:rPr>
          <w:sz w:val="24"/>
          <w:szCs w:val="24"/>
        </w:rPr>
        <w:t>本项目运营期产生的固体废弃物</w:t>
      </w:r>
      <w:r>
        <w:rPr>
          <w:rFonts w:hint="eastAsia"/>
          <w:sz w:val="24"/>
          <w:szCs w:val="24"/>
          <w:lang w:eastAsia="zh-CN"/>
        </w:rPr>
        <w:t>主要为</w:t>
      </w:r>
      <w:r>
        <w:rPr>
          <w:rFonts w:hint="default" w:ascii="Times New Roman" w:hAnsi="Times New Roman" w:eastAsia="宋体" w:cs="Times New Roman"/>
          <w:sz w:val="24"/>
          <w:szCs w:val="24"/>
        </w:rPr>
        <w:t>一般</w:t>
      </w:r>
      <w:r>
        <w:rPr>
          <w:rFonts w:hint="eastAsia" w:ascii="Times New Roman" w:hAnsi="Times New Roman" w:eastAsia="宋体" w:cs="Times New Roman"/>
          <w:sz w:val="24"/>
          <w:szCs w:val="24"/>
          <w:lang w:eastAsia="zh-CN"/>
        </w:rPr>
        <w:t>工业</w:t>
      </w:r>
      <w:r>
        <w:rPr>
          <w:rFonts w:hint="default" w:ascii="Times New Roman" w:hAnsi="Times New Roman" w:eastAsia="宋体" w:cs="Times New Roman"/>
          <w:sz w:val="24"/>
          <w:szCs w:val="24"/>
        </w:rPr>
        <w:t>固废</w:t>
      </w:r>
      <w:r>
        <w:rPr>
          <w:rFonts w:hint="eastAsia" w:ascii="Times New Roman" w:hAnsi="Times New Roman" w:eastAsia="宋体" w:cs="Times New Roman"/>
          <w:sz w:val="24"/>
          <w:szCs w:val="24"/>
          <w:lang w:eastAsia="zh-CN"/>
        </w:rPr>
        <w:t>、生活垃圾以及水洗添加剂空桶。</w:t>
      </w:r>
    </w:p>
    <w:p>
      <w:pPr>
        <w:ind w:firstLine="523" w:firstLineChars="218"/>
        <w:rPr>
          <w:sz w:val="24"/>
          <w:szCs w:val="24"/>
        </w:rPr>
      </w:pPr>
      <w:r>
        <w:rPr>
          <w:sz w:val="24"/>
          <w:szCs w:val="24"/>
        </w:rPr>
        <w:t>1、生活垃圾</w:t>
      </w:r>
    </w:p>
    <w:p>
      <w:pPr>
        <w:ind w:firstLine="523" w:firstLineChars="218"/>
        <w:rPr>
          <w:sz w:val="24"/>
          <w:szCs w:val="24"/>
        </w:rPr>
      </w:pPr>
      <w:r>
        <w:rPr>
          <w:sz w:val="24"/>
          <w:szCs w:val="24"/>
        </w:rPr>
        <w:t>生活垃圾采用袋装化收集，项目区设垃圾桶，收集的生活垃圾由当地环卫部门清运。</w:t>
      </w:r>
    </w:p>
    <w:p>
      <w:pPr>
        <w:ind w:firstLine="480" w:firstLineChars="200"/>
        <w:rPr>
          <w:sz w:val="24"/>
          <w:szCs w:val="24"/>
        </w:rPr>
      </w:pPr>
      <w:r>
        <w:rPr>
          <w:sz w:val="24"/>
          <w:szCs w:val="24"/>
        </w:rPr>
        <w:t>2、一般工业废物</w:t>
      </w:r>
    </w:p>
    <w:p>
      <w:pPr>
        <w:ind w:firstLine="480" w:firstLineChars="200"/>
        <w:rPr>
          <w:rFonts w:hint="eastAsia" w:eastAsia="宋体"/>
          <w:color w:val="7030A0"/>
          <w:sz w:val="24"/>
          <w:szCs w:val="24"/>
          <w:lang w:eastAsia="zh-CN"/>
        </w:rPr>
      </w:pPr>
      <w:r>
        <w:rPr>
          <w:sz w:val="24"/>
          <w:szCs w:val="24"/>
        </w:rPr>
        <w:t>根据工程分析，项目生产过程中的一般工业废物主要包括</w:t>
      </w:r>
      <w:r>
        <w:rPr>
          <w:rFonts w:hint="default" w:ascii="Times New Roman" w:hAnsi="Times New Roman" w:eastAsia="宋体" w:cs="Times New Roman"/>
          <w:sz w:val="24"/>
          <w:szCs w:val="24"/>
        </w:rPr>
        <w:t>包括倒纱、织片、套口</w:t>
      </w:r>
      <w:r>
        <w:rPr>
          <w:rFonts w:hint="eastAsia" w:cs="Times New Roman"/>
          <w:sz w:val="24"/>
          <w:szCs w:val="24"/>
          <w:lang w:eastAsia="zh-CN"/>
        </w:rPr>
        <w:t>、锁眼钉扣等</w:t>
      </w:r>
      <w:r>
        <w:rPr>
          <w:rFonts w:hint="default" w:ascii="Times New Roman" w:hAnsi="Times New Roman" w:eastAsia="宋体" w:cs="Times New Roman"/>
          <w:sz w:val="24"/>
          <w:szCs w:val="24"/>
        </w:rPr>
        <w:t>工序产生的边角废料</w:t>
      </w:r>
      <w:r>
        <w:rPr>
          <w:rFonts w:hint="eastAsia" w:ascii="Times New Roman" w:hAnsi="Times New Roman" w:cs="Times New Roman"/>
          <w:sz w:val="24"/>
          <w:szCs w:val="24"/>
          <w:lang w:eastAsia="zh-CN"/>
        </w:rPr>
        <w:t>、不合格品、废包装材料以及栅渣污泥</w:t>
      </w:r>
      <w:r>
        <w:rPr>
          <w:rFonts w:hint="eastAsia"/>
          <w:sz w:val="24"/>
          <w:szCs w:val="24"/>
          <w:lang w:eastAsia="zh-CN"/>
        </w:rPr>
        <w:t>。</w:t>
      </w:r>
    </w:p>
    <w:p>
      <w:pPr>
        <w:widowControl/>
        <w:ind w:firstLine="480" w:firstLineChars="200"/>
        <w:rPr>
          <w:bCs/>
          <w:sz w:val="24"/>
          <w:szCs w:val="24"/>
        </w:rPr>
      </w:pPr>
      <w:r>
        <w:rPr>
          <w:sz w:val="24"/>
          <w:szCs w:val="24"/>
        </w:rPr>
        <w:t>根据</w:t>
      </w:r>
      <w:r>
        <w:rPr>
          <w:bCs/>
          <w:sz w:val="24"/>
          <w:szCs w:val="24"/>
        </w:rPr>
        <w:t>《一般工业固体废物贮、处置场污染控制标准》（GB18599- 2001）及其2013年修改单要求，暂存间需做到“防扬散、防流失、防渗漏”</w:t>
      </w:r>
      <w:r>
        <w:rPr>
          <w:rFonts w:hint="eastAsia"/>
          <w:bCs/>
          <w:sz w:val="24"/>
          <w:szCs w:val="24"/>
          <w:lang w:eastAsia="zh-CN"/>
        </w:rPr>
        <w:t>，</w:t>
      </w:r>
      <w:r>
        <w:rPr>
          <w:sz w:val="24"/>
          <w:szCs w:val="24"/>
        </w:rPr>
        <w:t>其中</w:t>
      </w:r>
      <w:r>
        <w:rPr>
          <w:rFonts w:hint="default" w:ascii="Times New Roman" w:hAnsi="Times New Roman" w:eastAsia="宋体" w:cs="Times New Roman"/>
          <w:sz w:val="24"/>
          <w:szCs w:val="24"/>
        </w:rPr>
        <w:t>边角废料</w:t>
      </w:r>
      <w:r>
        <w:rPr>
          <w:rFonts w:hint="eastAsia" w:ascii="Times New Roman" w:hAnsi="Times New Roman" w:cs="Times New Roman"/>
          <w:sz w:val="24"/>
          <w:szCs w:val="24"/>
          <w:lang w:eastAsia="zh-CN"/>
        </w:rPr>
        <w:t>、不合格品、废包装材料经收集后资源外售</w:t>
      </w:r>
      <w:r>
        <w:rPr>
          <w:rFonts w:hint="eastAsia"/>
          <w:sz w:val="24"/>
          <w:szCs w:val="24"/>
        </w:rPr>
        <w:t>；</w:t>
      </w:r>
      <w:r>
        <w:rPr>
          <w:sz w:val="24"/>
          <w:szCs w:val="24"/>
        </w:rPr>
        <w:t>污水处理站</w:t>
      </w:r>
      <w:r>
        <w:rPr>
          <w:rFonts w:hint="eastAsia"/>
          <w:sz w:val="24"/>
          <w:szCs w:val="24"/>
        </w:rPr>
        <w:t>污泥经脱水后和栅渣外运处置。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eastAsia="zh-CN"/>
        </w:rPr>
      </w:pPr>
      <w:bookmarkStart w:id="188" w:name="_Toc532395333"/>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lang w:eastAsia="zh-CN"/>
        </w:rPr>
        <w:t>水洗添加剂空桶</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根据2017年10月1日起实施的《固体废物鉴别标准通则》（GB34330-2017）中的第6.1节以下物质不作为固体废物处理：a）任何不需要修复和加工即可用于其原始用途的物质，或者在产生点经过修复和加工后满足国家、地方制定或行业通行的产品质量标准并且用于其原始用途的物质。则本项目</w:t>
      </w:r>
      <w:r>
        <w:rPr>
          <w:rFonts w:hint="eastAsia" w:ascii="Times New Roman" w:hAnsi="Times New Roman" w:eastAsia="宋体" w:cs="Times New Roman"/>
          <w:sz w:val="24"/>
          <w:szCs w:val="24"/>
          <w:lang w:eastAsia="zh-CN"/>
        </w:rPr>
        <w:t>水洗添加剂空桶</w:t>
      </w:r>
      <w:r>
        <w:rPr>
          <w:rFonts w:hint="default" w:ascii="Times New Roman" w:hAnsi="Times New Roman" w:eastAsia="宋体" w:cs="Times New Roman"/>
          <w:sz w:val="24"/>
          <w:szCs w:val="24"/>
          <w:lang w:eastAsia="zh-CN"/>
        </w:rPr>
        <w:t>由厂家回收用作原始用途时时既不属于固体废物，也不属于危险废物。项目区每次由商家送货上门并把空桶带回回收利用。</w:t>
      </w:r>
    </w:p>
    <w:p>
      <w:pPr>
        <w:pStyle w:val="36"/>
      </w:pPr>
    </w:p>
    <w:p>
      <w:r>
        <w:br w:type="page"/>
      </w:r>
    </w:p>
    <w:p>
      <w:pPr>
        <w:pStyle w:val="5"/>
        <w:jc w:val="center"/>
        <w:rPr>
          <w:rFonts w:eastAsia="黑体"/>
          <w:sz w:val="36"/>
          <w:szCs w:val="36"/>
        </w:rPr>
      </w:pPr>
      <w:bookmarkStart w:id="189" w:name="_Toc7114_WPSOffice_Level1"/>
      <w:r>
        <w:rPr>
          <w:rFonts w:eastAsia="黑体"/>
          <w:sz w:val="36"/>
          <w:szCs w:val="36"/>
        </w:rPr>
        <w:t>第五章 环境风险评价</w:t>
      </w:r>
      <w:bookmarkEnd w:id="188"/>
      <w:bookmarkEnd w:id="189"/>
    </w:p>
    <w:p>
      <w:pPr>
        <w:ind w:firstLine="480" w:firstLineChars="200"/>
        <w:rPr>
          <w:sz w:val="24"/>
          <w:szCs w:val="24"/>
        </w:rPr>
      </w:pPr>
      <w:r>
        <w:rPr>
          <w:sz w:val="24"/>
          <w:szCs w:val="24"/>
        </w:rPr>
        <w:t>环境风险评价是通过对项目建设和运行过程中发生的可预测突发性事件或事故（一般不包括人为破坏及自然灾害）引起有毒有害、易燃易爆等物质泄漏，或突发事件产生的新的有毒有害物质，所造成的对人身安全与环境的影响和损害，进行分析和预测，并提出合理可行的防范，以使建设项目的事故率、损失和环境影响达到可接受水平。</w:t>
      </w:r>
    </w:p>
    <w:p>
      <w:pPr>
        <w:ind w:firstLine="480" w:firstLineChars="200"/>
        <w:rPr>
          <w:sz w:val="24"/>
          <w:szCs w:val="24"/>
        </w:rPr>
      </w:pPr>
      <w:r>
        <w:rPr>
          <w:sz w:val="24"/>
          <w:szCs w:val="24"/>
        </w:rPr>
        <w:t>本次评价根据国家环保部环发[2012]77号文《</w:t>
      </w:r>
      <w:r>
        <w:rPr>
          <w:bCs/>
          <w:sz w:val="24"/>
          <w:szCs w:val="24"/>
        </w:rPr>
        <w:t>关于进一步加强环境影响评价管理防范环境风险的通知》</w:t>
      </w:r>
      <w:r>
        <w:rPr>
          <w:sz w:val="24"/>
          <w:szCs w:val="24"/>
        </w:rPr>
        <w:t>要求，依据《建设项目环境风险评价技术导则》（HJ/T169-2018）、《危险化学品重大危险源辨识》（GB18218－20</w:t>
      </w:r>
      <w:r>
        <w:rPr>
          <w:rFonts w:hint="eastAsia"/>
          <w:sz w:val="24"/>
          <w:szCs w:val="24"/>
        </w:rPr>
        <w:t>18</w:t>
      </w:r>
      <w:r>
        <w:rPr>
          <w:sz w:val="24"/>
          <w:szCs w:val="24"/>
        </w:rPr>
        <w:t>）和《关于切实加强风险防范严格环境影响评价的通知》（环发[2012]98号进行环境风险评价。</w:t>
      </w:r>
    </w:p>
    <w:p>
      <w:pPr>
        <w:adjustRightInd/>
        <w:snapToGrid/>
        <w:rPr>
          <w:b/>
          <w:bCs/>
          <w:sz w:val="24"/>
          <w:szCs w:val="24"/>
        </w:rPr>
      </w:pPr>
      <w:bookmarkStart w:id="190" w:name="_Toc27842_WPSOffice_Level2"/>
      <w:bookmarkStart w:id="191" w:name="_Toc532395334"/>
      <w:r>
        <w:rPr>
          <w:b/>
          <w:bCs/>
          <w:sz w:val="24"/>
          <w:szCs w:val="24"/>
        </w:rPr>
        <w:t>5.1</w:t>
      </w:r>
      <w:r>
        <w:rPr>
          <w:rFonts w:hint="eastAsia"/>
          <w:b/>
          <w:bCs/>
          <w:sz w:val="24"/>
          <w:szCs w:val="24"/>
        </w:rPr>
        <w:t>环境风险评价等级确定</w:t>
      </w:r>
      <w:bookmarkEnd w:id="190"/>
    </w:p>
    <w:p>
      <w:pPr>
        <w:adjustRightInd/>
        <w:snapToGrid/>
        <w:ind w:firstLine="482" w:firstLineChars="200"/>
        <w:rPr>
          <w:b/>
          <w:bCs/>
          <w:sz w:val="24"/>
        </w:rPr>
      </w:pPr>
      <w:r>
        <w:rPr>
          <w:b/>
          <w:bCs/>
          <w:sz w:val="24"/>
          <w:szCs w:val="24"/>
        </w:rPr>
        <w:t>5.1.1</w:t>
      </w:r>
      <w:r>
        <w:rPr>
          <w:rFonts w:hint="eastAsia"/>
          <w:b/>
          <w:bCs/>
          <w:sz w:val="24"/>
        </w:rPr>
        <w:t>环境风险潜势划分</w:t>
      </w:r>
    </w:p>
    <w:p>
      <w:pPr>
        <w:adjustRightInd/>
        <w:snapToGrid/>
        <w:ind w:firstLine="480" w:firstLineChars="200"/>
        <w:rPr>
          <w:kern w:val="0"/>
          <w:sz w:val="24"/>
          <w:szCs w:val="24"/>
        </w:rPr>
      </w:pPr>
      <w:r>
        <w:rPr>
          <w:sz w:val="24"/>
        </w:rPr>
        <w:t>根据《建设项目环境风险评价技术导则》（HJ/T169-2018）</w:t>
      </w:r>
      <w:r>
        <w:rPr>
          <w:rFonts w:hint="eastAsia"/>
          <w:sz w:val="24"/>
        </w:rPr>
        <w:t>附录B确定</w:t>
      </w:r>
      <w:r>
        <w:rPr>
          <w:sz w:val="24"/>
        </w:rPr>
        <w:t>本项目</w:t>
      </w:r>
      <w:r>
        <w:rPr>
          <w:rFonts w:hint="eastAsia"/>
          <w:sz w:val="24"/>
        </w:rPr>
        <w:t>无</w:t>
      </w:r>
      <w:r>
        <w:rPr>
          <w:sz w:val="24"/>
        </w:rPr>
        <w:t>危险物质</w:t>
      </w:r>
      <w:r>
        <w:rPr>
          <w:rFonts w:hint="eastAsia"/>
          <w:sz w:val="24"/>
        </w:rPr>
        <w:t>，</w:t>
      </w:r>
      <w:r>
        <w:rPr>
          <w:kern w:val="0"/>
          <w:sz w:val="24"/>
        </w:rPr>
        <w:t>则</w:t>
      </w:r>
      <w:r>
        <w:rPr>
          <w:sz w:val="24"/>
        </w:rPr>
        <w:t>本</w:t>
      </w:r>
      <w:r>
        <w:rPr>
          <w:kern w:val="0"/>
          <w:sz w:val="24"/>
        </w:rPr>
        <w:t>项目环境风险潜势为Ⅰ。</w:t>
      </w:r>
      <w:r>
        <w:rPr>
          <w:rFonts w:hint="eastAsia"/>
          <w:kern w:val="0"/>
        </w:rPr>
        <w:br w:type="textWrapping"/>
      </w:r>
      <w:bookmarkEnd w:id="191"/>
      <w:bookmarkStart w:id="192" w:name="_Toc532395335"/>
      <w:bookmarkStart w:id="193" w:name="_Toc505071631"/>
      <w:r>
        <w:rPr>
          <w:kern w:val="0"/>
        </w:rPr>
        <w:t xml:space="preserve"> </w:t>
      </w:r>
      <w:r>
        <w:rPr>
          <w:b/>
          <w:bCs/>
          <w:kern w:val="0"/>
        </w:rPr>
        <w:t xml:space="preserve">   </w:t>
      </w:r>
      <w:r>
        <w:rPr>
          <w:b/>
          <w:bCs/>
          <w:kern w:val="0"/>
          <w:sz w:val="24"/>
          <w:szCs w:val="24"/>
        </w:rPr>
        <w:t>5.1.</w:t>
      </w:r>
      <w:r>
        <w:rPr>
          <w:rFonts w:hint="eastAsia"/>
          <w:b/>
          <w:bCs/>
          <w:kern w:val="0"/>
          <w:sz w:val="24"/>
          <w:szCs w:val="24"/>
        </w:rPr>
        <w:t>2</w:t>
      </w:r>
      <w:r>
        <w:rPr>
          <w:b/>
          <w:bCs/>
          <w:kern w:val="0"/>
          <w:sz w:val="24"/>
          <w:szCs w:val="24"/>
        </w:rPr>
        <w:t xml:space="preserve"> 评价</w:t>
      </w:r>
      <w:bookmarkEnd w:id="192"/>
      <w:bookmarkEnd w:id="193"/>
      <w:r>
        <w:rPr>
          <w:rFonts w:hint="eastAsia"/>
          <w:b/>
          <w:bCs/>
          <w:kern w:val="0"/>
          <w:sz w:val="24"/>
          <w:szCs w:val="24"/>
        </w:rPr>
        <w:t>工作等级确定</w:t>
      </w:r>
    </w:p>
    <w:p>
      <w:pPr>
        <w:ind w:firstLine="480" w:firstLineChars="200"/>
        <w:jc w:val="left"/>
        <w:rPr>
          <w:sz w:val="24"/>
        </w:rPr>
      </w:pPr>
      <w:r>
        <w:rPr>
          <w:rFonts w:hint="eastAsia"/>
          <w:sz w:val="24"/>
        </w:rPr>
        <w:t>环境风险评</w:t>
      </w:r>
      <w:r>
        <w:rPr>
          <w:sz w:val="24"/>
        </w:rPr>
        <w:t>价工作等级划分为一级、二级、三级。根据表5</w:t>
      </w:r>
      <w:r>
        <w:rPr>
          <w:rFonts w:hint="eastAsia"/>
          <w:sz w:val="24"/>
          <w:lang w:val="en-US" w:eastAsia="zh-CN"/>
        </w:rPr>
        <w:t>.</w:t>
      </w:r>
      <w:r>
        <w:rPr>
          <w:sz w:val="24"/>
        </w:rPr>
        <w:t>1-1确定本项目环境风险潜势为</w:t>
      </w:r>
      <w:r>
        <w:rPr>
          <w:kern w:val="0"/>
          <w:sz w:val="24"/>
        </w:rPr>
        <w:t>Ⅰ，则评价工作等级为简单分析，具体判定见下表：</w:t>
      </w:r>
    </w:p>
    <w:p>
      <w:pPr>
        <w:pStyle w:val="5"/>
        <w:spacing w:line="480" w:lineRule="exact"/>
        <w:rPr>
          <w:sz w:val="24"/>
          <w:szCs w:val="24"/>
        </w:rPr>
      </w:pPr>
      <w:r>
        <w:rPr>
          <w:sz w:val="24"/>
          <w:szCs w:val="24"/>
        </w:rPr>
        <w:t xml:space="preserve">                           表5.1-1 评价工作等级划分</w:t>
      </w:r>
    </w:p>
    <w:tbl>
      <w:tblPr>
        <w:tblStyle w:val="23"/>
        <w:tblW w:w="928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1857"/>
        <w:gridCol w:w="1858"/>
        <w:gridCol w:w="1857"/>
        <w:gridCol w:w="1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57" w:type="dxa"/>
            <w:tcBorders>
              <w:tl2br w:val="nil"/>
              <w:tr2bl w:val="nil"/>
            </w:tcBorders>
            <w:vAlign w:val="center"/>
          </w:tcPr>
          <w:p>
            <w:pPr>
              <w:pStyle w:val="5"/>
              <w:adjustRightInd/>
              <w:snapToGrid/>
              <w:spacing w:line="240" w:lineRule="auto"/>
              <w:jc w:val="center"/>
              <w:outlineLvl w:val="1"/>
              <w:rPr>
                <w:sz w:val="21"/>
                <w:szCs w:val="21"/>
              </w:rPr>
            </w:pPr>
            <w:r>
              <w:rPr>
                <w:b w:val="0"/>
                <w:bCs w:val="0"/>
                <w:sz w:val="21"/>
                <w:szCs w:val="21"/>
              </w:rPr>
              <w:t>环境风险潜势</w:t>
            </w:r>
          </w:p>
        </w:tc>
        <w:tc>
          <w:tcPr>
            <w:tcW w:w="1857" w:type="dxa"/>
            <w:tcBorders>
              <w:tl2br w:val="nil"/>
              <w:tr2bl w:val="nil"/>
            </w:tcBorders>
            <w:vAlign w:val="center"/>
          </w:tcPr>
          <w:p>
            <w:pPr>
              <w:pStyle w:val="5"/>
              <w:adjustRightInd/>
              <w:snapToGrid/>
              <w:spacing w:line="240" w:lineRule="auto"/>
              <w:jc w:val="center"/>
              <w:outlineLvl w:val="1"/>
              <w:rPr>
                <w:sz w:val="21"/>
                <w:szCs w:val="21"/>
              </w:rPr>
            </w:pPr>
            <w:r>
              <w:rPr>
                <w:b w:val="0"/>
                <w:bCs w:val="0"/>
                <w:sz w:val="21"/>
                <w:szCs w:val="21"/>
              </w:rPr>
              <w:t>IV、IV</w:t>
            </w:r>
            <w:r>
              <w:rPr>
                <w:b w:val="0"/>
                <w:bCs w:val="0"/>
                <w:sz w:val="21"/>
                <w:szCs w:val="21"/>
                <w:vertAlign w:val="superscript"/>
              </w:rPr>
              <w:t>+</w:t>
            </w:r>
          </w:p>
        </w:tc>
        <w:tc>
          <w:tcPr>
            <w:tcW w:w="1858" w:type="dxa"/>
            <w:tcBorders>
              <w:tl2br w:val="nil"/>
              <w:tr2bl w:val="nil"/>
            </w:tcBorders>
            <w:vAlign w:val="center"/>
          </w:tcPr>
          <w:p>
            <w:pPr>
              <w:pStyle w:val="5"/>
              <w:adjustRightInd/>
              <w:snapToGrid/>
              <w:spacing w:line="240" w:lineRule="auto"/>
              <w:jc w:val="center"/>
              <w:outlineLvl w:val="1"/>
              <w:rPr>
                <w:b w:val="0"/>
                <w:bCs w:val="0"/>
                <w:sz w:val="21"/>
                <w:szCs w:val="21"/>
              </w:rPr>
            </w:pPr>
            <w:r>
              <w:rPr>
                <w:b w:val="0"/>
                <w:bCs w:val="0"/>
                <w:sz w:val="21"/>
                <w:szCs w:val="21"/>
              </w:rPr>
              <w:t>III</w:t>
            </w:r>
          </w:p>
        </w:tc>
        <w:tc>
          <w:tcPr>
            <w:tcW w:w="1857" w:type="dxa"/>
            <w:tcBorders>
              <w:tl2br w:val="nil"/>
              <w:tr2bl w:val="nil"/>
            </w:tcBorders>
            <w:shd w:val="clear" w:color="auto" w:fill="auto"/>
            <w:vAlign w:val="center"/>
          </w:tcPr>
          <w:p>
            <w:pPr>
              <w:pStyle w:val="5"/>
              <w:adjustRightInd/>
              <w:snapToGrid/>
              <w:spacing w:line="240" w:lineRule="auto"/>
              <w:jc w:val="center"/>
              <w:outlineLvl w:val="1"/>
              <w:rPr>
                <w:b w:val="0"/>
                <w:bCs w:val="0"/>
                <w:sz w:val="21"/>
                <w:szCs w:val="21"/>
              </w:rPr>
            </w:pPr>
            <w:r>
              <w:rPr>
                <w:b w:val="0"/>
                <w:bCs w:val="0"/>
                <w:sz w:val="21"/>
                <w:szCs w:val="21"/>
              </w:rPr>
              <w:t>II</w:t>
            </w:r>
          </w:p>
        </w:tc>
        <w:tc>
          <w:tcPr>
            <w:tcW w:w="1858" w:type="dxa"/>
            <w:tcBorders>
              <w:tl2br w:val="nil"/>
              <w:tr2bl w:val="nil"/>
            </w:tcBorders>
            <w:shd w:val="clear" w:color="auto" w:fill="D7D7D7" w:themeFill="background1" w:themeFillShade="D8"/>
            <w:vAlign w:val="center"/>
          </w:tcPr>
          <w:p>
            <w:pPr>
              <w:pStyle w:val="5"/>
              <w:adjustRightInd/>
              <w:snapToGrid/>
              <w:spacing w:line="240" w:lineRule="auto"/>
              <w:jc w:val="center"/>
              <w:outlineLvl w:val="1"/>
              <w:rPr>
                <w:b w:val="0"/>
                <w:bCs w:val="0"/>
                <w:sz w:val="21"/>
                <w:szCs w:val="21"/>
              </w:rPr>
            </w:pPr>
            <w:r>
              <w:rPr>
                <w:b w:val="0"/>
                <w:bCs w:val="0"/>
                <w:sz w:val="21"/>
                <w:szCs w:val="21"/>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57" w:type="dxa"/>
            <w:tcBorders>
              <w:tl2br w:val="nil"/>
              <w:tr2bl w:val="nil"/>
            </w:tcBorders>
            <w:vAlign w:val="center"/>
          </w:tcPr>
          <w:p>
            <w:pPr>
              <w:pStyle w:val="5"/>
              <w:adjustRightInd/>
              <w:snapToGrid/>
              <w:spacing w:line="240" w:lineRule="auto"/>
              <w:jc w:val="center"/>
              <w:outlineLvl w:val="1"/>
              <w:rPr>
                <w:sz w:val="21"/>
                <w:szCs w:val="21"/>
              </w:rPr>
            </w:pPr>
            <w:r>
              <w:rPr>
                <w:b w:val="0"/>
                <w:bCs w:val="0"/>
                <w:sz w:val="21"/>
                <w:szCs w:val="21"/>
              </w:rPr>
              <w:t>评价工作等级</w:t>
            </w:r>
          </w:p>
        </w:tc>
        <w:tc>
          <w:tcPr>
            <w:tcW w:w="1857" w:type="dxa"/>
            <w:tcBorders>
              <w:tl2br w:val="nil"/>
              <w:tr2bl w:val="nil"/>
            </w:tcBorders>
            <w:vAlign w:val="center"/>
          </w:tcPr>
          <w:p>
            <w:pPr>
              <w:pStyle w:val="5"/>
              <w:adjustRightInd/>
              <w:snapToGrid/>
              <w:spacing w:line="240" w:lineRule="auto"/>
              <w:jc w:val="center"/>
              <w:outlineLvl w:val="1"/>
              <w:rPr>
                <w:sz w:val="21"/>
                <w:szCs w:val="21"/>
              </w:rPr>
            </w:pPr>
            <w:r>
              <w:rPr>
                <w:sz w:val="21"/>
                <w:szCs w:val="21"/>
              </w:rPr>
              <w:t>一</w:t>
            </w:r>
          </w:p>
        </w:tc>
        <w:tc>
          <w:tcPr>
            <w:tcW w:w="1858" w:type="dxa"/>
            <w:tcBorders>
              <w:tl2br w:val="nil"/>
              <w:tr2bl w:val="nil"/>
            </w:tcBorders>
            <w:vAlign w:val="center"/>
          </w:tcPr>
          <w:p>
            <w:pPr>
              <w:pStyle w:val="5"/>
              <w:adjustRightInd/>
              <w:snapToGrid/>
              <w:spacing w:line="240" w:lineRule="auto"/>
              <w:jc w:val="center"/>
              <w:outlineLvl w:val="1"/>
              <w:rPr>
                <w:sz w:val="21"/>
                <w:szCs w:val="21"/>
              </w:rPr>
            </w:pPr>
            <w:r>
              <w:rPr>
                <w:sz w:val="21"/>
                <w:szCs w:val="21"/>
              </w:rPr>
              <w:t>二</w:t>
            </w:r>
          </w:p>
        </w:tc>
        <w:tc>
          <w:tcPr>
            <w:tcW w:w="1857" w:type="dxa"/>
            <w:tcBorders>
              <w:tl2br w:val="nil"/>
              <w:tr2bl w:val="nil"/>
            </w:tcBorders>
            <w:shd w:val="clear" w:color="auto" w:fill="auto"/>
            <w:vAlign w:val="center"/>
          </w:tcPr>
          <w:p>
            <w:pPr>
              <w:pStyle w:val="5"/>
              <w:adjustRightInd/>
              <w:snapToGrid/>
              <w:spacing w:line="240" w:lineRule="auto"/>
              <w:jc w:val="center"/>
              <w:outlineLvl w:val="1"/>
              <w:rPr>
                <w:sz w:val="21"/>
                <w:szCs w:val="21"/>
              </w:rPr>
            </w:pPr>
            <w:r>
              <w:rPr>
                <w:sz w:val="21"/>
                <w:szCs w:val="21"/>
              </w:rPr>
              <w:t>三</w:t>
            </w:r>
          </w:p>
        </w:tc>
        <w:tc>
          <w:tcPr>
            <w:tcW w:w="1858" w:type="dxa"/>
            <w:tcBorders>
              <w:tl2br w:val="nil"/>
              <w:tr2bl w:val="nil"/>
            </w:tcBorders>
            <w:shd w:val="clear" w:color="auto" w:fill="D7D7D7" w:themeFill="background1" w:themeFillShade="D8"/>
            <w:vAlign w:val="center"/>
          </w:tcPr>
          <w:p>
            <w:pPr>
              <w:pStyle w:val="5"/>
              <w:adjustRightInd/>
              <w:snapToGrid/>
              <w:spacing w:line="240" w:lineRule="auto"/>
              <w:jc w:val="center"/>
              <w:outlineLvl w:val="1"/>
              <w:rPr>
                <w:sz w:val="21"/>
                <w:szCs w:val="21"/>
              </w:rPr>
            </w:pPr>
            <w:r>
              <w:rPr>
                <w:b w:val="0"/>
                <w:bCs w:val="0"/>
                <w:sz w:val="21"/>
                <w:szCs w:val="21"/>
              </w:rPr>
              <w:t>简单分析</w:t>
            </w:r>
          </w:p>
        </w:tc>
      </w:tr>
    </w:tbl>
    <w:p>
      <w:pPr>
        <w:spacing w:line="480" w:lineRule="exact"/>
        <w:rPr>
          <w:b/>
          <w:bCs/>
          <w:sz w:val="24"/>
          <w:szCs w:val="24"/>
        </w:rPr>
      </w:pPr>
      <w:bookmarkStart w:id="194" w:name="_Toc9856_WPSOffice_Level2"/>
      <w:r>
        <w:rPr>
          <w:b/>
          <w:bCs/>
          <w:sz w:val="24"/>
          <w:szCs w:val="24"/>
        </w:rPr>
        <w:t xml:space="preserve">5.2 </w:t>
      </w:r>
      <w:r>
        <w:rPr>
          <w:rFonts w:hint="eastAsia"/>
          <w:b/>
          <w:bCs/>
          <w:sz w:val="24"/>
          <w:szCs w:val="24"/>
        </w:rPr>
        <w:t>简单分析基本内容</w:t>
      </w:r>
      <w:bookmarkEnd w:id="194"/>
    </w:p>
    <w:p>
      <w:pPr>
        <w:ind w:firstLine="482" w:firstLineChars="200"/>
        <w:jc w:val="left"/>
        <w:rPr>
          <w:b/>
          <w:bCs/>
          <w:sz w:val="24"/>
        </w:rPr>
      </w:pPr>
      <w:r>
        <w:rPr>
          <w:b/>
          <w:bCs/>
          <w:sz w:val="24"/>
        </w:rPr>
        <w:t>5.2.1评价依据</w:t>
      </w:r>
    </w:p>
    <w:p>
      <w:pPr>
        <w:ind w:firstLine="480" w:firstLineChars="200"/>
        <w:jc w:val="left"/>
        <w:rPr>
          <w:sz w:val="24"/>
        </w:rPr>
      </w:pPr>
      <w:r>
        <w:rPr>
          <w:rFonts w:hint="eastAsia"/>
          <w:sz w:val="24"/>
        </w:rPr>
        <w:t>根据表5-1-1和表5-1-2确定了本项目评价工作等级为简单分析。</w:t>
      </w:r>
    </w:p>
    <w:p>
      <w:pPr>
        <w:ind w:firstLine="482" w:firstLineChars="200"/>
        <w:jc w:val="left"/>
        <w:rPr>
          <w:b/>
          <w:bCs/>
          <w:sz w:val="24"/>
        </w:rPr>
      </w:pPr>
      <w:r>
        <w:rPr>
          <w:rFonts w:hint="eastAsia"/>
          <w:b/>
          <w:bCs/>
          <w:sz w:val="24"/>
        </w:rPr>
        <w:t>5.2.2环境敏感目标概况</w:t>
      </w:r>
    </w:p>
    <w:p>
      <w:pPr>
        <w:ind w:firstLine="480" w:firstLineChars="200"/>
        <w:rPr>
          <w:sz w:val="24"/>
        </w:rPr>
      </w:pPr>
      <w:r>
        <w:rPr>
          <w:sz w:val="24"/>
        </w:rPr>
        <w:t>项目位于</w:t>
      </w:r>
      <w:r>
        <w:rPr>
          <w:rFonts w:hint="eastAsia"/>
          <w:sz w:val="24"/>
          <w:lang w:eastAsia="zh-CN"/>
        </w:rPr>
        <w:t>六安市经济开发区</w:t>
      </w:r>
      <w:r>
        <w:rPr>
          <w:rFonts w:hint="eastAsia"/>
          <w:sz w:val="24"/>
        </w:rPr>
        <w:t>，评价范围内无生态保护区、自然保护区、风景名胜区、文化遗产保护区及饮用水源保护区等特殊环境敏感目标。</w:t>
      </w:r>
      <w:r>
        <w:rPr>
          <w:sz w:val="24"/>
        </w:rPr>
        <w:t>根据区域环境特点和项目地四周分布情况，本项目主要环境保护目标见表</w:t>
      </w:r>
      <w:r>
        <w:rPr>
          <w:rFonts w:hint="eastAsia"/>
          <w:sz w:val="24"/>
        </w:rPr>
        <w:t>5</w:t>
      </w:r>
      <w:r>
        <w:rPr>
          <w:rFonts w:hint="eastAsia"/>
          <w:sz w:val="24"/>
          <w:lang w:val="en-US" w:eastAsia="zh-CN"/>
        </w:rPr>
        <w:t>.</w:t>
      </w:r>
      <w:r>
        <w:rPr>
          <w:rFonts w:hint="eastAsia"/>
          <w:sz w:val="24"/>
        </w:rPr>
        <w:t>2</w:t>
      </w:r>
      <w:r>
        <w:rPr>
          <w:sz w:val="24"/>
        </w:rPr>
        <w:t>-1。</w:t>
      </w:r>
    </w:p>
    <w:p>
      <w:pPr>
        <w:spacing w:line="240" w:lineRule="auto"/>
        <w:jc w:val="center"/>
        <w:rPr>
          <w:b/>
          <w:sz w:val="24"/>
        </w:rPr>
      </w:pPr>
      <w:r>
        <w:rPr>
          <w:b/>
          <w:sz w:val="24"/>
        </w:rPr>
        <w:t>表</w:t>
      </w:r>
      <w:r>
        <w:rPr>
          <w:rFonts w:hint="eastAsia"/>
          <w:b/>
          <w:sz w:val="24"/>
        </w:rPr>
        <w:t>5</w:t>
      </w:r>
      <w:r>
        <w:rPr>
          <w:rFonts w:hint="eastAsia"/>
          <w:b/>
          <w:sz w:val="24"/>
          <w:lang w:val="en-US" w:eastAsia="zh-CN"/>
        </w:rPr>
        <w:t>.</w:t>
      </w:r>
      <w:r>
        <w:rPr>
          <w:rFonts w:hint="eastAsia"/>
          <w:b/>
          <w:sz w:val="24"/>
        </w:rPr>
        <w:t>2</w:t>
      </w:r>
      <w:r>
        <w:rPr>
          <w:b/>
          <w:sz w:val="24"/>
        </w:rPr>
        <w:t>-1  主要环境保护目标一览表</w:t>
      </w:r>
    </w:p>
    <w:tbl>
      <w:tblPr>
        <w:tblStyle w:val="22"/>
        <w:tblW w:w="928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49"/>
        <w:gridCol w:w="2144"/>
        <w:gridCol w:w="1340"/>
        <w:gridCol w:w="1214"/>
        <w:gridCol w:w="1900"/>
        <w:gridCol w:w="184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类别</w:t>
            </w:r>
          </w:p>
        </w:tc>
        <w:tc>
          <w:tcPr>
            <w:tcW w:w="214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环境敏感点</w:t>
            </w:r>
          </w:p>
        </w:tc>
        <w:tc>
          <w:tcPr>
            <w:tcW w:w="134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方位</w:t>
            </w:r>
          </w:p>
        </w:tc>
        <w:tc>
          <w:tcPr>
            <w:tcW w:w="121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与厂界最近</w:t>
            </w:r>
            <w:r>
              <w:rPr>
                <w:rFonts w:ascii="Times New Roman" w:hAnsi="Times New Roman" w:eastAsia="宋体" w:cs="Times New Roman"/>
                <w:kern w:val="0"/>
                <w:sz w:val="21"/>
                <w:szCs w:val="21"/>
                <w:lang w:val="en-US" w:eastAsia="zh-CN" w:bidi="ar-SA"/>
              </w:rPr>
              <w:t>距离</w:t>
            </w:r>
            <w:r>
              <w:rPr>
                <w:rFonts w:hint="eastAsia" w:ascii="Times New Roman" w:hAnsi="Times New Roman" w:eastAsia="宋体" w:cs="Times New Roman"/>
                <w:kern w:val="0"/>
                <w:sz w:val="21"/>
                <w:szCs w:val="21"/>
                <w:lang w:val="en-US" w:eastAsia="zh-CN" w:bidi="ar-SA"/>
              </w:rPr>
              <w:t>(m)</w:t>
            </w:r>
          </w:p>
        </w:tc>
        <w:tc>
          <w:tcPr>
            <w:tcW w:w="190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规模</w:t>
            </w:r>
          </w:p>
        </w:tc>
        <w:tc>
          <w:tcPr>
            <w:tcW w:w="1841"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环境功能区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90" w:hRule="atLeast"/>
          <w:jc w:val="center"/>
        </w:trPr>
        <w:tc>
          <w:tcPr>
            <w:tcW w:w="849" w:type="dxa"/>
            <w:vMerge w:val="restart"/>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空气环境</w:t>
            </w:r>
          </w:p>
        </w:tc>
        <w:tc>
          <w:tcPr>
            <w:tcW w:w="214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任小庄</w:t>
            </w:r>
          </w:p>
        </w:tc>
        <w:tc>
          <w:tcPr>
            <w:tcW w:w="1340"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EN</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1463</w:t>
            </w:r>
          </w:p>
        </w:tc>
        <w:tc>
          <w:tcPr>
            <w:tcW w:w="1900" w:type="dxa"/>
            <w:tcBorders>
              <w:tl2br w:val="nil"/>
              <w:tr2bl w:val="nil"/>
            </w:tcBorders>
            <w:noWrap w:val="0"/>
            <w:vAlign w:val="center"/>
          </w:tcPr>
          <w:p>
            <w:pPr>
              <w:snapToGrid w:val="0"/>
              <w:spacing w:line="240" w:lineRule="auto"/>
              <w:ind w:firstLine="0" w:firstLineChars="0"/>
              <w:rPr>
                <w:rFonts w:ascii="Times New Roman" w:hAnsi="Times New Roman" w:eastAsia="宋体" w:cs="Times New Roman"/>
                <w:kern w:val="0"/>
                <w:sz w:val="21"/>
                <w:szCs w:val="21"/>
                <w:lang w:val="en-US" w:eastAsia="zh-CN" w:bidi="ar-SA"/>
              </w:rPr>
            </w:pPr>
            <w:r>
              <w:rPr>
                <w:rFonts w:hint="default" w:ascii="Times New Roman" w:hAnsi="Times New Roman" w:cs="Times New Roman"/>
                <w:color w:val="auto"/>
                <w:sz w:val="21"/>
                <w:szCs w:val="21"/>
              </w:rPr>
              <w:t>约</w:t>
            </w:r>
            <w:r>
              <w:rPr>
                <w:rFonts w:hint="eastAsia" w:ascii="Times New Roman" w:hAnsi="Times New Roman" w:cs="Times New Roman"/>
                <w:color w:val="auto"/>
                <w:sz w:val="21"/>
                <w:szCs w:val="21"/>
                <w:lang w:val="en-US" w:eastAsia="zh-CN"/>
              </w:rPr>
              <w:t>25</w:t>
            </w:r>
            <w:r>
              <w:rPr>
                <w:rFonts w:hint="default" w:ascii="Times New Roman" w:hAnsi="Times New Roman" w:cs="Times New Roman"/>
                <w:color w:val="auto"/>
                <w:sz w:val="21"/>
                <w:szCs w:val="21"/>
              </w:rPr>
              <w:t>户，</w:t>
            </w:r>
            <w:r>
              <w:rPr>
                <w:rFonts w:hint="eastAsia" w:ascii="Times New Roman" w:hAnsi="Times New Roman" w:cs="Times New Roman"/>
                <w:color w:val="auto"/>
                <w:sz w:val="21"/>
                <w:szCs w:val="21"/>
                <w:lang w:val="en-US" w:eastAsia="zh-CN"/>
              </w:rPr>
              <w:t>80</w:t>
            </w:r>
            <w:r>
              <w:rPr>
                <w:rFonts w:hint="default" w:ascii="Times New Roman" w:hAnsi="Times New Roman" w:cs="Times New Roman"/>
                <w:color w:val="auto"/>
                <w:sz w:val="21"/>
                <w:szCs w:val="21"/>
              </w:rPr>
              <w:t>人</w:t>
            </w:r>
          </w:p>
        </w:tc>
        <w:tc>
          <w:tcPr>
            <w:tcW w:w="1841" w:type="dxa"/>
            <w:vMerge w:val="restart"/>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ascii="Times New Roman" w:hAnsi="Times New Roman" w:eastAsia="宋体" w:cs="Times New Roman"/>
                <w:bCs/>
                <w:kern w:val="0"/>
                <w:sz w:val="21"/>
                <w:szCs w:val="21"/>
                <w:lang w:val="en-US" w:eastAsia="zh-CN" w:bidi="ar-SA"/>
              </w:rPr>
              <w:t>《环境空气质量标准》（GB3095-2012）</w:t>
            </w:r>
            <w:r>
              <w:rPr>
                <w:rFonts w:hint="eastAsia" w:ascii="Times New Roman" w:hAnsi="Times New Roman" w:eastAsia="宋体" w:cs="Times New Roman"/>
                <w:bCs/>
                <w:kern w:val="0"/>
                <w:sz w:val="21"/>
                <w:szCs w:val="21"/>
                <w:lang w:val="en-US" w:eastAsia="zh-CN" w:bidi="ar-SA"/>
              </w:rPr>
              <w:t>及2018年修改单中</w:t>
            </w:r>
            <w:r>
              <w:rPr>
                <w:rFonts w:ascii="Times New Roman" w:hAnsi="Times New Roman" w:eastAsia="宋体" w:cs="Times New Roman"/>
                <w:bCs/>
                <w:kern w:val="0"/>
                <w:sz w:val="21"/>
                <w:szCs w:val="21"/>
                <w:lang w:val="en-US" w:eastAsia="zh-CN" w:bidi="ar-SA"/>
              </w:rPr>
              <w:t>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c>
          <w:tcPr>
            <w:tcW w:w="214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皋陶村</w:t>
            </w:r>
          </w:p>
        </w:tc>
        <w:tc>
          <w:tcPr>
            <w:tcW w:w="134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ES</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636</w:t>
            </w:r>
          </w:p>
        </w:tc>
        <w:tc>
          <w:tcPr>
            <w:tcW w:w="190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约40户，150人</w:t>
            </w:r>
          </w:p>
        </w:tc>
        <w:tc>
          <w:tcPr>
            <w:tcW w:w="1841"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c>
          <w:tcPr>
            <w:tcW w:w="214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王家圩</w:t>
            </w:r>
          </w:p>
        </w:tc>
        <w:tc>
          <w:tcPr>
            <w:tcW w:w="1340"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S</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1440</w:t>
            </w:r>
          </w:p>
        </w:tc>
        <w:tc>
          <w:tcPr>
            <w:tcW w:w="190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约120户，400人</w:t>
            </w:r>
          </w:p>
        </w:tc>
        <w:tc>
          <w:tcPr>
            <w:tcW w:w="1841"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c>
          <w:tcPr>
            <w:tcW w:w="214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新城春天</w:t>
            </w:r>
          </w:p>
        </w:tc>
        <w:tc>
          <w:tcPr>
            <w:tcW w:w="1340"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WS</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971</w:t>
            </w:r>
          </w:p>
        </w:tc>
        <w:tc>
          <w:tcPr>
            <w:tcW w:w="190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约2000户，6800人</w:t>
            </w:r>
          </w:p>
        </w:tc>
        <w:tc>
          <w:tcPr>
            <w:tcW w:w="1841"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c>
          <w:tcPr>
            <w:tcW w:w="214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六安开发区医院</w:t>
            </w:r>
          </w:p>
        </w:tc>
        <w:tc>
          <w:tcPr>
            <w:tcW w:w="134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WS</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985</w:t>
            </w:r>
          </w:p>
        </w:tc>
        <w:tc>
          <w:tcPr>
            <w:tcW w:w="1900"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约500人</w:t>
            </w:r>
          </w:p>
        </w:tc>
        <w:tc>
          <w:tcPr>
            <w:tcW w:w="1841"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c>
          <w:tcPr>
            <w:tcW w:w="214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东城御景</w:t>
            </w:r>
          </w:p>
        </w:tc>
        <w:tc>
          <w:tcPr>
            <w:tcW w:w="1340"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WS</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622</w:t>
            </w:r>
          </w:p>
        </w:tc>
        <w:tc>
          <w:tcPr>
            <w:tcW w:w="190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约1500户，5000人</w:t>
            </w:r>
          </w:p>
        </w:tc>
        <w:tc>
          <w:tcPr>
            <w:tcW w:w="1841"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c>
          <w:tcPr>
            <w:tcW w:w="214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锦成迎宾府</w:t>
            </w:r>
          </w:p>
        </w:tc>
        <w:tc>
          <w:tcPr>
            <w:tcW w:w="1340"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WN</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1233</w:t>
            </w:r>
          </w:p>
        </w:tc>
        <w:tc>
          <w:tcPr>
            <w:tcW w:w="190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1350户，1500人</w:t>
            </w:r>
          </w:p>
        </w:tc>
        <w:tc>
          <w:tcPr>
            <w:tcW w:w="1841"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c>
          <w:tcPr>
            <w:tcW w:w="2144" w:type="dxa"/>
            <w:tcBorders>
              <w:tl2br w:val="nil"/>
              <w:tr2bl w:val="nil"/>
            </w:tcBorders>
            <w:noWrap w:val="0"/>
            <w:vAlign w:val="center"/>
          </w:tcPr>
          <w:p>
            <w:pPr>
              <w:widowControl w:val="0"/>
              <w:spacing w:line="240" w:lineRule="auto"/>
              <w:ind w:firstLine="420" w:firstLineChars="200"/>
              <w:jc w:val="both"/>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碧桂园陇悦</w:t>
            </w:r>
          </w:p>
        </w:tc>
        <w:tc>
          <w:tcPr>
            <w:tcW w:w="1340" w:type="dxa"/>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WS</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1670</w:t>
            </w:r>
          </w:p>
        </w:tc>
        <w:tc>
          <w:tcPr>
            <w:tcW w:w="1900" w:type="dxa"/>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930户，1600人</w:t>
            </w:r>
          </w:p>
        </w:tc>
        <w:tc>
          <w:tcPr>
            <w:tcW w:w="1841"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c>
          <w:tcPr>
            <w:tcW w:w="2144" w:type="dxa"/>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香榭花城</w:t>
            </w:r>
          </w:p>
        </w:tc>
        <w:tc>
          <w:tcPr>
            <w:tcW w:w="1340" w:type="dxa"/>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WS</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1380</w:t>
            </w:r>
          </w:p>
        </w:tc>
        <w:tc>
          <w:tcPr>
            <w:tcW w:w="1900"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1300户，1580人</w:t>
            </w:r>
          </w:p>
        </w:tc>
        <w:tc>
          <w:tcPr>
            <w:tcW w:w="1841"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c>
          <w:tcPr>
            <w:tcW w:w="2144" w:type="dxa"/>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六安花园小区</w:t>
            </w:r>
          </w:p>
        </w:tc>
        <w:tc>
          <w:tcPr>
            <w:tcW w:w="1340"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WS</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1980</w:t>
            </w:r>
          </w:p>
        </w:tc>
        <w:tc>
          <w:tcPr>
            <w:tcW w:w="1900" w:type="dxa"/>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900户，1200人</w:t>
            </w:r>
          </w:p>
        </w:tc>
        <w:tc>
          <w:tcPr>
            <w:tcW w:w="1841" w:type="dxa"/>
            <w:vMerge w:val="continue"/>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声环境</w:t>
            </w:r>
          </w:p>
        </w:tc>
        <w:tc>
          <w:tcPr>
            <w:tcW w:w="214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项目区</w:t>
            </w:r>
          </w:p>
        </w:tc>
        <w:tc>
          <w:tcPr>
            <w:tcW w:w="134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w:t>
            </w:r>
          </w:p>
        </w:tc>
        <w:tc>
          <w:tcPr>
            <w:tcW w:w="121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1m</w:t>
            </w:r>
          </w:p>
        </w:tc>
        <w:tc>
          <w:tcPr>
            <w:tcW w:w="190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w:t>
            </w:r>
          </w:p>
        </w:tc>
        <w:tc>
          <w:tcPr>
            <w:tcW w:w="1841"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bCs/>
                <w:kern w:val="0"/>
                <w:sz w:val="21"/>
                <w:szCs w:val="21"/>
                <w:lang w:val="en-US" w:eastAsia="zh-CN" w:bidi="ar-SA"/>
              </w:rPr>
              <w:t>《声环境质量标准》（GB 3096-2008）</w:t>
            </w:r>
            <w:r>
              <w:rPr>
                <w:rFonts w:hint="eastAsia" w:ascii="Times New Roman" w:hAnsi="Times New Roman" w:eastAsia="宋体" w:cs="Times New Roman"/>
                <w:kern w:val="0"/>
                <w:sz w:val="21"/>
                <w:szCs w:val="21"/>
                <w:lang w:val="en-US" w:eastAsia="zh-CN" w:bidi="ar-SA"/>
              </w:rPr>
              <w:t>3</w:t>
            </w:r>
            <w:r>
              <w:rPr>
                <w:rFonts w:ascii="Times New Roman" w:hAnsi="Times New Roman" w:eastAsia="宋体" w:cs="Times New Roman"/>
                <w:kern w:val="0"/>
                <w:sz w:val="21"/>
                <w:szCs w:val="21"/>
                <w:lang w:val="en-US" w:eastAsia="zh-CN" w:bidi="ar-SA"/>
              </w:rPr>
              <w:t>类区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90" w:hRule="atLeast"/>
          <w:jc w:val="center"/>
        </w:trPr>
        <w:tc>
          <w:tcPr>
            <w:tcW w:w="849"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地表水</w:t>
            </w:r>
          </w:p>
        </w:tc>
        <w:tc>
          <w:tcPr>
            <w:tcW w:w="214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淠河</w:t>
            </w:r>
          </w:p>
        </w:tc>
        <w:tc>
          <w:tcPr>
            <w:tcW w:w="134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w:t>
            </w:r>
          </w:p>
        </w:tc>
        <w:tc>
          <w:tcPr>
            <w:tcW w:w="1214" w:type="dxa"/>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6631</w:t>
            </w:r>
          </w:p>
        </w:tc>
        <w:tc>
          <w:tcPr>
            <w:tcW w:w="190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中型河流</w:t>
            </w:r>
          </w:p>
        </w:tc>
        <w:tc>
          <w:tcPr>
            <w:tcW w:w="1841"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bCs/>
                <w:kern w:val="0"/>
                <w:sz w:val="21"/>
                <w:szCs w:val="21"/>
                <w:lang w:val="en-US" w:eastAsia="zh-CN" w:bidi="ar-SA"/>
              </w:rPr>
              <w:t>《地表水环境质量标准》（GB3838-2002）</w:t>
            </w:r>
            <w:r>
              <w:rPr>
                <w:rFonts w:hint="eastAsia" w:ascii="Times New Roman" w:hAnsi="Times New Roman" w:eastAsia="宋体" w:cs="Times New Roman"/>
                <w:bCs/>
                <w:kern w:val="0"/>
                <w:sz w:val="21"/>
                <w:szCs w:val="21"/>
                <w:lang w:val="en-US" w:eastAsia="zh-CN" w:bidi="ar-SA"/>
              </w:rPr>
              <w:t>III</w:t>
            </w:r>
            <w:r>
              <w:rPr>
                <w:rFonts w:ascii="Times New Roman" w:hAnsi="Times New Roman" w:eastAsia="宋体" w:cs="Times New Roman"/>
                <w:bCs/>
                <w:kern w:val="0"/>
                <w:sz w:val="21"/>
                <w:szCs w:val="21"/>
                <w:lang w:val="en-US" w:eastAsia="zh-CN" w:bidi="ar-SA"/>
              </w:rPr>
              <w:t>类</w:t>
            </w:r>
            <w:r>
              <w:rPr>
                <w:rFonts w:ascii="Times New Roman" w:hAnsi="Times New Roman" w:eastAsia="宋体" w:cs="Times New Roman"/>
                <w:kern w:val="0"/>
                <w:sz w:val="21"/>
                <w:szCs w:val="21"/>
                <w:lang w:val="en-US" w:eastAsia="zh-CN" w:bidi="ar-SA"/>
              </w:rPr>
              <w:t>水体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849"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地下水</w:t>
            </w:r>
          </w:p>
        </w:tc>
        <w:tc>
          <w:tcPr>
            <w:tcW w:w="214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项目地中心周围6km</w:t>
            </w:r>
            <w:r>
              <w:rPr>
                <w:rFonts w:ascii="Times New Roman" w:hAnsi="Times New Roman" w:eastAsia="宋体" w:cs="Times New Roman"/>
                <w:kern w:val="0"/>
                <w:sz w:val="21"/>
                <w:szCs w:val="21"/>
                <w:vertAlign w:val="superscript"/>
                <w:lang w:val="en-US" w:eastAsia="zh-CN" w:bidi="ar-SA"/>
              </w:rPr>
              <w:t>2</w:t>
            </w:r>
          </w:p>
        </w:tc>
        <w:tc>
          <w:tcPr>
            <w:tcW w:w="134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w:t>
            </w:r>
          </w:p>
        </w:tc>
        <w:tc>
          <w:tcPr>
            <w:tcW w:w="1214"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w:t>
            </w:r>
          </w:p>
        </w:tc>
        <w:tc>
          <w:tcPr>
            <w:tcW w:w="1900"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w:t>
            </w:r>
          </w:p>
        </w:tc>
        <w:tc>
          <w:tcPr>
            <w:tcW w:w="1841" w:type="dxa"/>
            <w:tcBorders>
              <w:tl2br w:val="nil"/>
              <w:tr2bl w:val="nil"/>
            </w:tcBorders>
            <w:noWrap w:val="0"/>
            <w:vAlign w:val="center"/>
          </w:tcPr>
          <w:p>
            <w:pPr>
              <w:widowControl w:val="0"/>
              <w:spacing w:line="240" w:lineRule="auto"/>
              <w:ind w:firstLine="0" w:firstLineChars="0"/>
              <w:jc w:val="center"/>
              <w:rPr>
                <w:rFonts w:ascii="Times New Roman" w:hAnsi="Times New Roman" w:eastAsia="宋体" w:cs="Times New Roman"/>
                <w:bCs/>
                <w:kern w:val="0"/>
                <w:sz w:val="21"/>
                <w:szCs w:val="21"/>
                <w:lang w:val="en-US" w:eastAsia="zh-CN" w:bidi="ar-SA"/>
              </w:rPr>
            </w:pPr>
            <w:r>
              <w:rPr>
                <w:rFonts w:ascii="Times New Roman" w:hAnsi="Times New Roman" w:eastAsia="宋体" w:cs="Times New Roman"/>
                <w:bCs/>
                <w:kern w:val="0"/>
                <w:sz w:val="21"/>
                <w:szCs w:val="21"/>
                <w:lang w:val="en-US" w:eastAsia="zh-CN" w:bidi="ar-SA"/>
              </w:rPr>
              <w:t>《地下水质量标准》（GBT-14848-2017）中的III类标准</w:t>
            </w:r>
          </w:p>
        </w:tc>
      </w:tr>
    </w:tbl>
    <w:p>
      <w:pPr>
        <w:ind w:firstLine="482" w:firstLineChars="200"/>
        <w:jc w:val="left"/>
        <w:rPr>
          <w:b/>
          <w:bCs/>
          <w:sz w:val="24"/>
        </w:rPr>
      </w:pPr>
      <w:r>
        <w:rPr>
          <w:b/>
          <w:bCs/>
          <w:sz w:val="24"/>
        </w:rPr>
        <w:t>5.2.3环境风险识别</w:t>
      </w:r>
    </w:p>
    <w:p>
      <w:pPr>
        <w:ind w:firstLine="480" w:firstLineChars="200"/>
        <w:rPr>
          <w:sz w:val="24"/>
        </w:rPr>
      </w:pPr>
      <w:r>
        <w:rPr>
          <w:bCs/>
          <w:sz w:val="24"/>
        </w:rPr>
        <w:t>根据</w:t>
      </w:r>
      <w:r>
        <w:rPr>
          <w:sz w:val="24"/>
        </w:rPr>
        <w:t>《建设项目环境风险评价技术导则》（HJ/T169-2018）附录B中</w:t>
      </w:r>
      <w:r>
        <w:rPr>
          <w:rFonts w:hint="eastAsia"/>
          <w:sz w:val="24"/>
        </w:rPr>
        <w:t>，本项目不涉及</w:t>
      </w:r>
      <w:r>
        <w:rPr>
          <w:sz w:val="24"/>
        </w:rPr>
        <w:t>危险物质的</w:t>
      </w:r>
      <w:r>
        <w:rPr>
          <w:rFonts w:hint="eastAsia"/>
          <w:sz w:val="24"/>
        </w:rPr>
        <w:t>使用和贮存</w:t>
      </w:r>
      <w:r>
        <w:rPr>
          <w:sz w:val="24"/>
        </w:rPr>
        <w:t>。</w:t>
      </w:r>
    </w:p>
    <w:p>
      <w:pPr>
        <w:ind w:firstLine="482" w:firstLineChars="200"/>
        <w:jc w:val="left"/>
        <w:rPr>
          <w:b/>
          <w:bCs/>
          <w:sz w:val="24"/>
        </w:rPr>
      </w:pPr>
      <w:r>
        <w:rPr>
          <w:b/>
          <w:bCs/>
          <w:sz w:val="24"/>
        </w:rPr>
        <w:t>5.2.</w:t>
      </w:r>
      <w:r>
        <w:rPr>
          <w:rFonts w:hint="eastAsia"/>
          <w:b/>
          <w:bCs/>
          <w:sz w:val="24"/>
        </w:rPr>
        <w:t>4</w:t>
      </w:r>
      <w:r>
        <w:rPr>
          <w:b/>
          <w:bCs/>
          <w:sz w:val="24"/>
        </w:rPr>
        <w:t>环境风险</w:t>
      </w:r>
      <w:r>
        <w:rPr>
          <w:rFonts w:hint="eastAsia"/>
          <w:b/>
          <w:bCs/>
          <w:sz w:val="24"/>
        </w:rPr>
        <w:t>分析</w:t>
      </w:r>
    </w:p>
    <w:p>
      <w:pPr>
        <w:adjustRightInd/>
        <w:snapToGrid/>
        <w:ind w:firstLine="480" w:firstLineChars="200"/>
        <w:rPr>
          <w:sz w:val="24"/>
          <w:szCs w:val="24"/>
        </w:rPr>
      </w:pPr>
      <w:bookmarkStart w:id="195" w:name="_Toc532395336"/>
      <w:bookmarkStart w:id="196" w:name="_Toc505071632"/>
      <w:r>
        <w:rPr>
          <w:sz w:val="24"/>
          <w:szCs w:val="24"/>
        </w:rPr>
        <w:t>本项目风险类型主要为污水处理站事故排放的风险。</w:t>
      </w:r>
      <w:bookmarkEnd w:id="195"/>
      <w:bookmarkEnd w:id="196"/>
      <w:r>
        <w:rPr>
          <w:sz w:val="24"/>
          <w:szCs w:val="24"/>
        </w:rPr>
        <w:t>主要事故风险源及防范重点见下表</w:t>
      </w:r>
      <w:r>
        <w:rPr>
          <w:spacing w:val="1"/>
          <w:sz w:val="24"/>
          <w:szCs w:val="24"/>
        </w:rPr>
        <w:t>。</w:t>
      </w:r>
    </w:p>
    <w:p>
      <w:pPr>
        <w:spacing w:line="480" w:lineRule="exact"/>
        <w:jc w:val="center"/>
        <w:rPr>
          <w:b/>
          <w:bCs/>
          <w:spacing w:val="1"/>
          <w:sz w:val="24"/>
          <w:szCs w:val="24"/>
        </w:rPr>
      </w:pPr>
      <w:bookmarkStart w:id="197" w:name="_Toc27624_WPSOffice_Level2"/>
      <w:bookmarkStart w:id="198" w:name="_Toc5418_WPSOffice_Level2"/>
      <w:bookmarkStart w:id="199" w:name="_Toc29832_WPSOffice_Level2"/>
      <w:bookmarkStart w:id="200" w:name="_Toc3276_WPSOffice_Level2"/>
      <w:r>
        <w:rPr>
          <w:b/>
          <w:bCs/>
          <w:spacing w:val="1"/>
          <w:sz w:val="24"/>
          <w:szCs w:val="24"/>
        </w:rPr>
        <w:t>表5</w:t>
      </w:r>
      <w:r>
        <w:rPr>
          <w:rFonts w:hint="eastAsia"/>
          <w:b/>
          <w:bCs/>
          <w:spacing w:val="1"/>
          <w:sz w:val="24"/>
          <w:szCs w:val="24"/>
          <w:lang w:val="en-US" w:eastAsia="zh-CN"/>
        </w:rPr>
        <w:t>.</w:t>
      </w:r>
      <w:r>
        <w:rPr>
          <w:rFonts w:hint="eastAsia"/>
          <w:b/>
          <w:bCs/>
          <w:spacing w:val="1"/>
          <w:sz w:val="24"/>
          <w:szCs w:val="24"/>
        </w:rPr>
        <w:t>2</w:t>
      </w:r>
      <w:r>
        <w:rPr>
          <w:b/>
          <w:bCs/>
          <w:spacing w:val="1"/>
          <w:sz w:val="24"/>
          <w:szCs w:val="24"/>
        </w:rPr>
        <w:t>-</w:t>
      </w:r>
      <w:r>
        <w:rPr>
          <w:rFonts w:hint="eastAsia"/>
          <w:b/>
          <w:bCs/>
          <w:spacing w:val="1"/>
          <w:sz w:val="24"/>
          <w:szCs w:val="24"/>
        </w:rPr>
        <w:t>2</w:t>
      </w:r>
      <w:r>
        <w:rPr>
          <w:b/>
          <w:bCs/>
          <w:spacing w:val="1"/>
          <w:sz w:val="24"/>
          <w:szCs w:val="24"/>
        </w:rPr>
        <w:t xml:space="preserve">  事故风险源及重点防范措施</w:t>
      </w:r>
      <w:bookmarkEnd w:id="197"/>
      <w:bookmarkEnd w:id="198"/>
      <w:bookmarkEnd w:id="199"/>
      <w:bookmarkEnd w:id="200"/>
    </w:p>
    <w:tbl>
      <w:tblPr>
        <w:tblStyle w:val="22"/>
        <w:tblW w:w="9071"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53"/>
        <w:gridCol w:w="1175"/>
        <w:gridCol w:w="1177"/>
        <w:gridCol w:w="4080"/>
        <w:gridCol w:w="148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1" w:hRule="exact"/>
        </w:trPr>
        <w:tc>
          <w:tcPr>
            <w:tcW w:w="1153" w:type="dxa"/>
            <w:vAlign w:val="center"/>
          </w:tcPr>
          <w:p>
            <w:pPr>
              <w:pStyle w:val="41"/>
              <w:spacing w:line="240" w:lineRule="auto"/>
              <w:jc w:val="center"/>
              <w:rPr>
                <w:sz w:val="21"/>
              </w:rPr>
            </w:pPr>
            <w:r>
              <w:rPr>
                <w:sz w:val="21"/>
              </w:rPr>
              <w:t>风险源</w:t>
            </w:r>
          </w:p>
        </w:tc>
        <w:tc>
          <w:tcPr>
            <w:tcW w:w="1175" w:type="dxa"/>
            <w:vAlign w:val="center"/>
          </w:tcPr>
          <w:p>
            <w:pPr>
              <w:pStyle w:val="41"/>
              <w:spacing w:line="240" w:lineRule="auto"/>
              <w:jc w:val="center"/>
              <w:rPr>
                <w:sz w:val="21"/>
              </w:rPr>
            </w:pPr>
            <w:r>
              <w:rPr>
                <w:sz w:val="21"/>
              </w:rPr>
              <w:t>关键部位</w:t>
            </w:r>
          </w:p>
        </w:tc>
        <w:tc>
          <w:tcPr>
            <w:tcW w:w="1177" w:type="dxa"/>
            <w:vAlign w:val="center"/>
          </w:tcPr>
          <w:p>
            <w:pPr>
              <w:pStyle w:val="41"/>
              <w:spacing w:line="240" w:lineRule="auto"/>
              <w:jc w:val="center"/>
              <w:rPr>
                <w:sz w:val="21"/>
              </w:rPr>
            </w:pPr>
            <w:r>
              <w:rPr>
                <w:sz w:val="21"/>
              </w:rPr>
              <w:t>主要风</w:t>
            </w:r>
          </w:p>
          <w:p>
            <w:pPr>
              <w:pStyle w:val="41"/>
              <w:spacing w:line="240" w:lineRule="auto"/>
              <w:jc w:val="center"/>
              <w:rPr>
                <w:sz w:val="21"/>
              </w:rPr>
            </w:pPr>
            <w:r>
              <w:rPr>
                <w:sz w:val="21"/>
              </w:rPr>
              <w:t>险内容</w:t>
            </w:r>
          </w:p>
        </w:tc>
        <w:tc>
          <w:tcPr>
            <w:tcW w:w="4080" w:type="dxa"/>
            <w:vAlign w:val="center"/>
          </w:tcPr>
          <w:p>
            <w:pPr>
              <w:pStyle w:val="41"/>
              <w:spacing w:line="240" w:lineRule="auto"/>
              <w:jc w:val="center"/>
              <w:rPr>
                <w:sz w:val="21"/>
              </w:rPr>
            </w:pPr>
            <w:r>
              <w:rPr>
                <w:sz w:val="21"/>
              </w:rPr>
              <w:t>应急措施</w:t>
            </w:r>
          </w:p>
        </w:tc>
        <w:tc>
          <w:tcPr>
            <w:tcW w:w="1486" w:type="dxa"/>
            <w:vAlign w:val="center"/>
          </w:tcPr>
          <w:p>
            <w:pPr>
              <w:pStyle w:val="41"/>
              <w:spacing w:line="240" w:lineRule="auto"/>
              <w:jc w:val="center"/>
              <w:rPr>
                <w:sz w:val="21"/>
              </w:rPr>
            </w:pPr>
            <w:r>
              <w:rPr>
                <w:sz w:val="21"/>
              </w:rPr>
              <w:t>应急设施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1166" w:hRule="exact"/>
        </w:trPr>
        <w:tc>
          <w:tcPr>
            <w:tcW w:w="1153" w:type="dxa"/>
            <w:vAlign w:val="center"/>
          </w:tcPr>
          <w:p>
            <w:pPr>
              <w:pStyle w:val="41"/>
              <w:spacing w:line="240" w:lineRule="auto"/>
              <w:jc w:val="center"/>
              <w:rPr>
                <w:sz w:val="21"/>
              </w:rPr>
            </w:pPr>
            <w:r>
              <w:rPr>
                <w:sz w:val="21"/>
              </w:rPr>
              <w:t>污水处理站</w:t>
            </w:r>
          </w:p>
        </w:tc>
        <w:tc>
          <w:tcPr>
            <w:tcW w:w="1175" w:type="dxa"/>
            <w:vAlign w:val="center"/>
          </w:tcPr>
          <w:p>
            <w:pPr>
              <w:pStyle w:val="41"/>
              <w:spacing w:line="240" w:lineRule="auto"/>
              <w:jc w:val="center"/>
              <w:rPr>
                <w:sz w:val="21"/>
              </w:rPr>
            </w:pPr>
            <w:r>
              <w:rPr>
                <w:sz w:val="21"/>
              </w:rPr>
              <w:t>污水处理系统</w:t>
            </w:r>
          </w:p>
        </w:tc>
        <w:tc>
          <w:tcPr>
            <w:tcW w:w="1177" w:type="dxa"/>
            <w:vAlign w:val="center"/>
          </w:tcPr>
          <w:p>
            <w:pPr>
              <w:pStyle w:val="41"/>
              <w:spacing w:line="240" w:lineRule="auto"/>
              <w:jc w:val="center"/>
              <w:rPr>
                <w:sz w:val="21"/>
              </w:rPr>
            </w:pPr>
            <w:r>
              <w:rPr>
                <w:sz w:val="21"/>
              </w:rPr>
              <w:t>废水处理系统事故性排放对周边产生影响</w:t>
            </w:r>
          </w:p>
        </w:tc>
        <w:tc>
          <w:tcPr>
            <w:tcW w:w="4080" w:type="dxa"/>
            <w:vAlign w:val="center"/>
          </w:tcPr>
          <w:p>
            <w:pPr>
              <w:pStyle w:val="41"/>
              <w:spacing w:line="240" w:lineRule="auto"/>
              <w:jc w:val="center"/>
              <w:rPr>
                <w:sz w:val="21"/>
              </w:rPr>
            </w:pPr>
            <w:r>
              <w:rPr>
                <w:sz w:val="21"/>
              </w:rPr>
              <w:t>及时停止生产操作，将污水引入</w:t>
            </w:r>
            <w:r>
              <w:rPr>
                <w:rFonts w:hint="eastAsia"/>
                <w:sz w:val="21"/>
              </w:rPr>
              <w:t>临时</w:t>
            </w:r>
            <w:r>
              <w:rPr>
                <w:sz w:val="21"/>
              </w:rPr>
              <w:t>应急事故池，待修复后再进行生产</w:t>
            </w:r>
          </w:p>
        </w:tc>
        <w:tc>
          <w:tcPr>
            <w:tcW w:w="1486" w:type="dxa"/>
            <w:vAlign w:val="center"/>
          </w:tcPr>
          <w:p>
            <w:pPr>
              <w:pStyle w:val="41"/>
              <w:spacing w:line="240" w:lineRule="auto"/>
              <w:ind w:hanging="210"/>
              <w:jc w:val="center"/>
              <w:rPr>
                <w:sz w:val="21"/>
              </w:rPr>
            </w:pPr>
            <w:r>
              <w:rPr>
                <w:rFonts w:hint="eastAsia"/>
                <w:sz w:val="21"/>
              </w:rPr>
              <w:t xml:space="preserve">   临时</w:t>
            </w:r>
            <w:r>
              <w:rPr>
                <w:sz w:val="21"/>
              </w:rPr>
              <w:t>应急事故池</w:t>
            </w:r>
          </w:p>
        </w:tc>
      </w:tr>
    </w:tbl>
    <w:p>
      <w:pPr>
        <w:pStyle w:val="48"/>
        <w:spacing w:line="360" w:lineRule="auto"/>
        <w:ind w:firstLine="480"/>
        <w:rPr>
          <w:sz w:val="24"/>
          <w:szCs w:val="24"/>
        </w:rPr>
      </w:pPr>
      <w:r>
        <w:rPr>
          <w:sz w:val="24"/>
          <w:szCs w:val="24"/>
        </w:rPr>
        <w:t>根据项目风险源，确定项目可能发生的环境风险事故主要为污水处理站事故排放环境风险、</w:t>
      </w:r>
      <w:r>
        <w:rPr>
          <w:rFonts w:hint="eastAsia"/>
          <w:sz w:val="24"/>
          <w:szCs w:val="24"/>
        </w:rPr>
        <w:t>锅炉</w:t>
      </w:r>
      <w:r>
        <w:rPr>
          <w:sz w:val="24"/>
          <w:szCs w:val="24"/>
        </w:rPr>
        <w:t>爆炸风险</w:t>
      </w:r>
      <w:r>
        <w:rPr>
          <w:rFonts w:hint="eastAsia"/>
          <w:sz w:val="24"/>
          <w:szCs w:val="24"/>
        </w:rPr>
        <w:t>以</w:t>
      </w:r>
      <w:r>
        <w:rPr>
          <w:sz w:val="24"/>
          <w:szCs w:val="24"/>
        </w:rPr>
        <w:t>及疫情爆发的潜在风险，其发生特点及影响分析如下：事故排放主要为污水处理系统故障，造成废水对地表水体造成污染，对水质影响较大。</w:t>
      </w:r>
    </w:p>
    <w:p>
      <w:pPr>
        <w:rPr>
          <w:b/>
          <w:bCs/>
          <w:sz w:val="24"/>
          <w:szCs w:val="24"/>
        </w:rPr>
      </w:pPr>
      <w:bookmarkStart w:id="201" w:name="_Toc27270_WPSOffice_Level2"/>
      <w:r>
        <w:rPr>
          <w:b/>
          <w:bCs/>
          <w:sz w:val="24"/>
          <w:szCs w:val="24"/>
        </w:rPr>
        <w:t>5.</w:t>
      </w:r>
      <w:r>
        <w:rPr>
          <w:rFonts w:hint="eastAsia"/>
          <w:b/>
          <w:bCs/>
          <w:sz w:val="24"/>
          <w:szCs w:val="24"/>
        </w:rPr>
        <w:t>3</w:t>
      </w:r>
      <w:r>
        <w:rPr>
          <w:b/>
          <w:bCs/>
          <w:sz w:val="24"/>
          <w:szCs w:val="24"/>
        </w:rPr>
        <w:t xml:space="preserve"> 风险防范措施</w:t>
      </w:r>
      <w:bookmarkEnd w:id="201"/>
    </w:p>
    <w:p>
      <w:pPr>
        <w:ind w:firstLine="482" w:firstLineChars="200"/>
        <w:rPr>
          <w:b/>
          <w:sz w:val="24"/>
          <w:szCs w:val="24"/>
        </w:rPr>
      </w:pPr>
      <w:bookmarkStart w:id="202" w:name="_Toc388971499"/>
      <w:r>
        <w:rPr>
          <w:b/>
          <w:sz w:val="24"/>
          <w:szCs w:val="24"/>
        </w:rPr>
        <w:t>（1）应对措施</w:t>
      </w:r>
    </w:p>
    <w:p>
      <w:pPr>
        <w:ind w:firstLine="480" w:firstLineChars="200"/>
        <w:rPr>
          <w:sz w:val="24"/>
          <w:szCs w:val="24"/>
        </w:rPr>
      </w:pPr>
      <w:r>
        <w:rPr>
          <w:sz w:val="24"/>
          <w:szCs w:val="24"/>
        </w:rPr>
        <w:t>为了避免污水处理站非正常运行时废水外排，</w:t>
      </w:r>
      <w:r>
        <w:rPr>
          <w:rFonts w:hint="eastAsia"/>
          <w:sz w:val="24"/>
          <w:szCs w:val="24"/>
        </w:rPr>
        <w:t>项目</w:t>
      </w:r>
      <w:r>
        <w:rPr>
          <w:sz w:val="24"/>
          <w:szCs w:val="24"/>
        </w:rPr>
        <w:t>在污水处理站</w:t>
      </w:r>
      <w:r>
        <w:rPr>
          <w:rFonts w:hint="eastAsia"/>
          <w:sz w:val="24"/>
          <w:szCs w:val="24"/>
        </w:rPr>
        <w:t>设计时将调节池尺寸扩大约</w:t>
      </w:r>
      <w:r>
        <w:rPr>
          <w:rFonts w:hint="eastAsia"/>
          <w:sz w:val="24"/>
          <w:szCs w:val="24"/>
          <w:lang w:val="en-US" w:eastAsia="zh-CN"/>
        </w:rPr>
        <w:t>15</w:t>
      </w:r>
      <w:r>
        <w:rPr>
          <w:sz w:val="24"/>
          <w:szCs w:val="24"/>
        </w:rPr>
        <w:t>m</w:t>
      </w:r>
      <w:r>
        <w:rPr>
          <w:sz w:val="24"/>
          <w:szCs w:val="24"/>
          <w:vertAlign w:val="superscript"/>
        </w:rPr>
        <w:t>3</w:t>
      </w:r>
      <w:r>
        <w:rPr>
          <w:rFonts w:hint="eastAsia"/>
          <w:sz w:val="24"/>
          <w:szCs w:val="24"/>
        </w:rPr>
        <w:t>可作为临时</w:t>
      </w:r>
      <w:r>
        <w:rPr>
          <w:sz w:val="24"/>
          <w:szCs w:val="24"/>
        </w:rPr>
        <w:t>事故应急池，第一、有利于进行废水水量、水质调节，确保废水处理稳定运行和达标排放，第二，当发生事故时，可以贮存半天事故废水，保证了进行紧急抢修时间，不需要因停产，而影响生产。同时，企业应配套设置迅速切断事故排水直接外排并使其进入事故池的措施。事故池应采取安全措施，且事故池在平时不得占用，以保证可以随时容纳可能发生的事故废水，收集后的废水送至污水处理厂处理，不得随意排放。</w:t>
      </w:r>
    </w:p>
    <w:p>
      <w:pPr>
        <w:ind w:firstLine="480"/>
        <w:rPr>
          <w:bCs/>
          <w:sz w:val="24"/>
          <w:szCs w:val="24"/>
        </w:rPr>
      </w:pPr>
      <w:r>
        <w:rPr>
          <w:b/>
          <w:bCs/>
          <w:sz w:val="24"/>
          <w:szCs w:val="24"/>
        </w:rPr>
        <w:t>事故池位置合理性分析：</w:t>
      </w:r>
      <w:r>
        <w:rPr>
          <w:bCs/>
          <w:sz w:val="24"/>
          <w:szCs w:val="24"/>
        </w:rPr>
        <w:t>本次评价建议项目</w:t>
      </w:r>
      <w:r>
        <w:rPr>
          <w:rFonts w:hint="eastAsia"/>
          <w:bCs/>
          <w:sz w:val="24"/>
          <w:szCs w:val="24"/>
        </w:rPr>
        <w:t>扩大调节池尺寸，</w:t>
      </w:r>
      <w:r>
        <w:rPr>
          <w:bCs/>
          <w:sz w:val="24"/>
          <w:szCs w:val="24"/>
        </w:rPr>
        <w:t>体积不小于</w:t>
      </w:r>
      <w:r>
        <w:rPr>
          <w:rFonts w:hint="eastAsia"/>
          <w:bCs/>
          <w:sz w:val="24"/>
          <w:szCs w:val="24"/>
          <w:lang w:val="en-US" w:eastAsia="zh-CN"/>
        </w:rPr>
        <w:t>15</w:t>
      </w:r>
      <w:r>
        <w:rPr>
          <w:bCs/>
          <w:sz w:val="24"/>
          <w:szCs w:val="24"/>
        </w:rPr>
        <w:t>m</w:t>
      </w:r>
      <w:r>
        <w:rPr>
          <w:bCs/>
          <w:sz w:val="24"/>
          <w:szCs w:val="24"/>
          <w:vertAlign w:val="superscript"/>
        </w:rPr>
        <w:t>3</w:t>
      </w:r>
      <w:r>
        <w:rPr>
          <w:bCs/>
          <w:sz w:val="24"/>
          <w:szCs w:val="24"/>
        </w:rPr>
        <w:t>。</w:t>
      </w:r>
    </w:p>
    <w:p>
      <w:pPr>
        <w:ind w:firstLine="482" w:firstLineChars="200"/>
        <w:rPr>
          <w:sz w:val="24"/>
          <w:szCs w:val="24"/>
        </w:rPr>
      </w:pPr>
      <w:r>
        <w:rPr>
          <w:b/>
          <w:bCs/>
          <w:sz w:val="24"/>
          <w:szCs w:val="24"/>
        </w:rPr>
        <w:t>事故池截断措施：</w:t>
      </w:r>
      <w:r>
        <w:rPr>
          <w:sz w:val="24"/>
          <w:szCs w:val="24"/>
        </w:rPr>
        <w:t>企业应配套设置迅速切断事故排水直接外排，并使用泵将废水抽入事故池。事故池应采取安全措施，且事故池在平时不得占用，以保证可以随时容纳可能发生的事故废水，收集后的废水在保证不会导致污水站负荷过载的情况下将污水逐步排入污水处理站进行处理。</w:t>
      </w:r>
    </w:p>
    <w:bookmarkEnd w:id="202"/>
    <w:p>
      <w:pPr>
        <w:pStyle w:val="48"/>
        <w:spacing w:line="360" w:lineRule="auto"/>
        <w:ind w:firstLine="241" w:firstLineChars="100"/>
        <w:rPr>
          <w:b/>
          <w:color w:val="000000"/>
          <w:sz w:val="24"/>
          <w:szCs w:val="24"/>
        </w:rPr>
      </w:pPr>
      <w:r>
        <w:rPr>
          <w:b/>
          <w:kern w:val="0"/>
          <w:sz w:val="24"/>
          <w:szCs w:val="24"/>
        </w:rPr>
        <w:t>（2）环境风险应急预案的编制</w:t>
      </w:r>
    </w:p>
    <w:p>
      <w:pPr>
        <w:pStyle w:val="48"/>
        <w:spacing w:line="360" w:lineRule="auto"/>
        <w:ind w:firstLine="360" w:firstLineChars="150"/>
        <w:rPr>
          <w:color w:val="000000"/>
          <w:sz w:val="24"/>
          <w:szCs w:val="24"/>
        </w:rPr>
      </w:pPr>
      <w:r>
        <w:rPr>
          <w:color w:val="000000"/>
          <w:sz w:val="24"/>
          <w:szCs w:val="24"/>
        </w:rPr>
        <w:t>环境风险应急预案是为应对可能发生的紧急情况所做的预先准备，其目的为了发生事故时能以最快的速度发挥最大的效能，有组织、有秩序的实施救援行动，达到尽快控制事态发展，降低事故造成的危害，减少事故损失。事故风险应急预案应该包括以下方面：</w:t>
      </w:r>
    </w:p>
    <w:p>
      <w:pPr>
        <w:pStyle w:val="48"/>
        <w:spacing w:line="360" w:lineRule="auto"/>
        <w:ind w:firstLine="480"/>
        <w:rPr>
          <w:color w:val="000000"/>
          <w:sz w:val="24"/>
          <w:szCs w:val="24"/>
        </w:rPr>
      </w:pPr>
      <w:r>
        <w:rPr>
          <w:color w:val="000000"/>
          <w:sz w:val="24"/>
          <w:szCs w:val="24"/>
        </w:rPr>
        <w:t>①应急准备</w:t>
      </w:r>
    </w:p>
    <w:p>
      <w:pPr>
        <w:pStyle w:val="48"/>
        <w:spacing w:line="360" w:lineRule="auto"/>
        <w:ind w:firstLine="480"/>
        <w:rPr>
          <w:color w:val="000000"/>
          <w:sz w:val="24"/>
          <w:szCs w:val="24"/>
        </w:rPr>
      </w:pPr>
      <w:r>
        <w:rPr>
          <w:color w:val="000000"/>
          <w:sz w:val="24"/>
          <w:szCs w:val="24"/>
        </w:rPr>
        <w:t>a、成立环境应急处理领导小组，由项目区总负责人任组长，主要负环保工作的建设、决策、研究和协调；组员由生产管理、环保管理及事故易发生部门的负责人组成，负责环境事故处理的指挥和调度工作。</w:t>
      </w:r>
    </w:p>
    <w:p>
      <w:pPr>
        <w:pStyle w:val="48"/>
        <w:spacing w:line="360" w:lineRule="auto"/>
        <w:ind w:firstLine="480"/>
        <w:rPr>
          <w:color w:val="000000"/>
          <w:sz w:val="24"/>
          <w:szCs w:val="24"/>
        </w:rPr>
      </w:pPr>
      <w:r>
        <w:rPr>
          <w:color w:val="000000"/>
          <w:sz w:val="24"/>
          <w:szCs w:val="24"/>
        </w:rPr>
        <w:t>b、环境事故易发生部门成立应急队，由负责人负责，工艺、维修、操作岗位人员参加。</w:t>
      </w:r>
    </w:p>
    <w:p>
      <w:pPr>
        <w:pStyle w:val="48"/>
        <w:spacing w:line="360" w:lineRule="auto"/>
        <w:ind w:firstLine="480"/>
        <w:rPr>
          <w:color w:val="000000"/>
          <w:sz w:val="24"/>
          <w:szCs w:val="24"/>
        </w:rPr>
      </w:pPr>
      <w:r>
        <w:rPr>
          <w:color w:val="000000"/>
          <w:sz w:val="24"/>
          <w:szCs w:val="24"/>
        </w:rPr>
        <w:t>c、加强对人员进行有关法律、法规、规章和安全知识、专业技术、职业卫生防护和应急救援知识的培训，并经考核合格，方可上岗作业。将有关安全卫生资料及安全生产知识向职工公开，教育职工识别安全标志、了解安全技术说明书、掌握必要的应急处理方法和自救措施，并经常对职工进行工作场所安全使用化学品的教育和培训。</w:t>
      </w:r>
    </w:p>
    <w:p>
      <w:pPr>
        <w:pStyle w:val="48"/>
        <w:spacing w:line="360" w:lineRule="auto"/>
        <w:ind w:firstLine="480"/>
        <w:rPr>
          <w:color w:val="000000"/>
          <w:sz w:val="24"/>
          <w:szCs w:val="24"/>
        </w:rPr>
      </w:pPr>
      <w:r>
        <w:rPr>
          <w:color w:val="000000"/>
          <w:sz w:val="24"/>
          <w:szCs w:val="24"/>
        </w:rPr>
        <w:t>d、应急队伍必须配备应急器具及劳保用品。应急器具及劳保应在指定地点存放。</w:t>
      </w:r>
    </w:p>
    <w:p>
      <w:pPr>
        <w:pStyle w:val="48"/>
        <w:spacing w:line="360" w:lineRule="auto"/>
        <w:ind w:firstLine="480"/>
        <w:rPr>
          <w:color w:val="000000"/>
          <w:sz w:val="24"/>
          <w:szCs w:val="24"/>
        </w:rPr>
      </w:pPr>
      <w:r>
        <w:rPr>
          <w:color w:val="000000"/>
          <w:sz w:val="24"/>
          <w:szCs w:val="24"/>
        </w:rPr>
        <w:t>e、对应急队员每季进行一次应急培训，使其具备处理环境事故的能力。条件许可应每年进行一次应急处理演习，检验应急准备工作是否完善。</w:t>
      </w:r>
    </w:p>
    <w:p>
      <w:pPr>
        <w:pStyle w:val="48"/>
        <w:spacing w:line="360" w:lineRule="auto"/>
        <w:ind w:firstLine="600" w:firstLineChars="250"/>
        <w:rPr>
          <w:color w:val="000000"/>
          <w:sz w:val="24"/>
          <w:szCs w:val="24"/>
        </w:rPr>
      </w:pPr>
      <w:r>
        <w:rPr>
          <w:color w:val="000000"/>
          <w:sz w:val="24"/>
          <w:szCs w:val="24"/>
        </w:rPr>
        <w:t>②应急预案内容</w:t>
      </w:r>
    </w:p>
    <w:p>
      <w:pPr>
        <w:pStyle w:val="48"/>
        <w:spacing w:line="360" w:lineRule="auto"/>
        <w:ind w:firstLine="480"/>
        <w:rPr>
          <w:color w:val="000000"/>
          <w:sz w:val="24"/>
          <w:szCs w:val="24"/>
        </w:rPr>
      </w:pPr>
      <w:r>
        <w:rPr>
          <w:color w:val="000000"/>
          <w:sz w:val="24"/>
          <w:szCs w:val="24"/>
        </w:rPr>
        <w:t>组织制定醒目预防灾难性数故的管理制度和技术措施，明确应急处理要求；组织训练本单位的灾害性事故的救援队伍，配备必要的防护、救援器材和设备；明确项目应急处理现场指挥机构及相关系统，明确责任范围，确保指挥到位和畅通；保证通讯，及时上报和联系；物质部门要确保自救的需要；组织好现场善后计划措施，同时对事故现场做进一步的安全检查，以防止污染扩大和事故的进一步引发。并分析事故原因，总结教训，改进措施，写出事故报告给相关主管部门。建设单位已根据具体生产情况，制定紧急事件预防、处置预案，并在生产管理中贯彻实施。</w:t>
      </w:r>
    </w:p>
    <w:p>
      <w:pPr>
        <w:pStyle w:val="5"/>
        <w:rPr>
          <w:sz w:val="24"/>
          <w:szCs w:val="24"/>
        </w:rPr>
      </w:pPr>
      <w:bookmarkStart w:id="203" w:name="_Toc532395338"/>
      <w:bookmarkStart w:id="204" w:name="_Toc24481_WPSOffice_Level2"/>
      <w:r>
        <w:rPr>
          <w:sz w:val="24"/>
          <w:szCs w:val="24"/>
        </w:rPr>
        <w:t>5.</w:t>
      </w:r>
      <w:r>
        <w:rPr>
          <w:rFonts w:hint="eastAsia"/>
          <w:sz w:val="24"/>
          <w:szCs w:val="24"/>
        </w:rPr>
        <w:t>4</w:t>
      </w:r>
      <w:r>
        <w:rPr>
          <w:sz w:val="24"/>
          <w:szCs w:val="24"/>
        </w:rPr>
        <w:t xml:space="preserve"> 环境风险评价结论</w:t>
      </w:r>
      <w:bookmarkEnd w:id="203"/>
      <w:bookmarkEnd w:id="204"/>
    </w:p>
    <w:p>
      <w:pPr>
        <w:ind w:firstLine="480" w:firstLineChars="200"/>
        <w:rPr>
          <w:sz w:val="24"/>
          <w:szCs w:val="24"/>
        </w:rPr>
      </w:pPr>
      <w:bookmarkStart w:id="205" w:name="_Toc8590_WPSOffice_Level2"/>
      <w:r>
        <w:rPr>
          <w:sz w:val="24"/>
          <w:szCs w:val="24"/>
        </w:rPr>
        <w:t>项目</w:t>
      </w:r>
      <w:r>
        <w:rPr>
          <w:rFonts w:hint="eastAsia"/>
          <w:sz w:val="24"/>
          <w:szCs w:val="24"/>
          <w:lang w:eastAsia="zh-CN"/>
        </w:rPr>
        <w:t>不涉及</w:t>
      </w:r>
      <w:r>
        <w:rPr>
          <w:sz w:val="24"/>
          <w:szCs w:val="24"/>
        </w:rPr>
        <w:t>危险物质储存，</w:t>
      </w:r>
      <w:r>
        <w:rPr>
          <w:rFonts w:hint="eastAsia"/>
          <w:sz w:val="24"/>
          <w:szCs w:val="24"/>
        </w:rPr>
        <w:t>环境风险潜势为</w:t>
      </w:r>
      <w:r>
        <w:rPr>
          <w:kern w:val="0"/>
          <w:sz w:val="24"/>
          <w:szCs w:val="24"/>
        </w:rPr>
        <w:t>Ⅰ</w:t>
      </w:r>
      <w:r>
        <w:rPr>
          <w:sz w:val="24"/>
          <w:szCs w:val="24"/>
        </w:rPr>
        <w:t>。项目在采取本报告中提出的风险防范和管理措施的基础上，可以认为本项目风险值水平较低，环境风险是可防控的。</w:t>
      </w:r>
    </w:p>
    <w:p>
      <w:pPr>
        <w:spacing w:line="240" w:lineRule="auto"/>
        <w:ind w:firstLine="482"/>
        <w:jc w:val="center"/>
        <w:rPr>
          <w:b/>
          <w:bCs/>
          <w:sz w:val="24"/>
          <w:szCs w:val="24"/>
        </w:rPr>
      </w:pPr>
      <w:r>
        <w:rPr>
          <w:b/>
          <w:bCs/>
          <w:sz w:val="24"/>
          <w:szCs w:val="24"/>
        </w:rPr>
        <w:t>表5</w:t>
      </w:r>
      <w:r>
        <w:rPr>
          <w:rFonts w:hint="eastAsia"/>
          <w:b/>
          <w:bCs/>
          <w:sz w:val="24"/>
          <w:szCs w:val="24"/>
          <w:lang w:val="en-US" w:eastAsia="zh-CN"/>
        </w:rPr>
        <w:t>.</w:t>
      </w:r>
      <w:r>
        <w:rPr>
          <w:rFonts w:hint="eastAsia"/>
          <w:b/>
          <w:bCs/>
          <w:sz w:val="24"/>
          <w:szCs w:val="24"/>
        </w:rPr>
        <w:t>4</w:t>
      </w:r>
      <w:r>
        <w:rPr>
          <w:b/>
          <w:bCs/>
          <w:sz w:val="24"/>
          <w:szCs w:val="24"/>
        </w:rPr>
        <w:t>-1 建设项目环境风险简单分析内容表</w:t>
      </w:r>
      <w:bookmarkEnd w:id="205"/>
    </w:p>
    <w:tbl>
      <w:tblPr>
        <w:tblStyle w:val="23"/>
        <w:tblW w:w="928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75"/>
        <w:gridCol w:w="1335"/>
        <w:gridCol w:w="1560"/>
        <w:gridCol w:w="1373"/>
        <w:gridCol w:w="28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175" w:type="dxa"/>
            <w:tcBorders>
              <w:tl2br w:val="nil"/>
              <w:tr2bl w:val="nil"/>
            </w:tcBorders>
            <w:vAlign w:val="center"/>
          </w:tcPr>
          <w:p>
            <w:pPr>
              <w:pStyle w:val="16"/>
              <w:spacing w:line="240" w:lineRule="auto"/>
              <w:jc w:val="center"/>
              <w:rPr>
                <w:sz w:val="21"/>
                <w:szCs w:val="21"/>
              </w:rPr>
            </w:pPr>
            <w:r>
              <w:rPr>
                <w:sz w:val="21"/>
                <w:szCs w:val="21"/>
              </w:rPr>
              <w:t>建设项目名称</w:t>
            </w:r>
          </w:p>
        </w:tc>
        <w:tc>
          <w:tcPr>
            <w:tcW w:w="7112" w:type="dxa"/>
            <w:gridSpan w:val="4"/>
            <w:tcBorders>
              <w:tl2br w:val="nil"/>
              <w:tr2bl w:val="nil"/>
            </w:tcBorders>
            <w:vAlign w:val="center"/>
          </w:tcPr>
          <w:p>
            <w:pPr>
              <w:pStyle w:val="16"/>
              <w:spacing w:line="240" w:lineRule="auto"/>
              <w:jc w:val="center"/>
              <w:rPr>
                <w:rFonts w:hint="default" w:eastAsia="宋体"/>
                <w:sz w:val="21"/>
                <w:szCs w:val="21"/>
                <w:lang w:val="en-US" w:eastAsia="zh-CN"/>
              </w:rPr>
            </w:pPr>
            <w:r>
              <w:rPr>
                <w:rFonts w:hint="eastAsia"/>
                <w:sz w:val="21"/>
                <w:szCs w:val="21"/>
                <w:lang w:eastAsia="zh-CN"/>
              </w:rPr>
              <w:t>年产</w:t>
            </w:r>
            <w:r>
              <w:rPr>
                <w:rFonts w:hint="eastAsia"/>
                <w:sz w:val="21"/>
                <w:szCs w:val="21"/>
                <w:lang w:val="en-US" w:eastAsia="zh-CN"/>
              </w:rPr>
              <w:t>150万件职工编制生产项目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75" w:type="dxa"/>
            <w:tcBorders>
              <w:tl2br w:val="nil"/>
              <w:tr2bl w:val="nil"/>
            </w:tcBorders>
            <w:vAlign w:val="center"/>
          </w:tcPr>
          <w:p>
            <w:pPr>
              <w:pStyle w:val="16"/>
              <w:spacing w:line="240" w:lineRule="auto"/>
              <w:jc w:val="center"/>
              <w:rPr>
                <w:sz w:val="21"/>
                <w:szCs w:val="21"/>
              </w:rPr>
            </w:pPr>
            <w:r>
              <w:rPr>
                <w:sz w:val="21"/>
                <w:szCs w:val="21"/>
              </w:rPr>
              <w:t>建设地点</w:t>
            </w:r>
          </w:p>
        </w:tc>
        <w:tc>
          <w:tcPr>
            <w:tcW w:w="7112" w:type="dxa"/>
            <w:gridSpan w:val="4"/>
            <w:tcBorders>
              <w:tl2br w:val="nil"/>
              <w:tr2bl w:val="nil"/>
            </w:tcBorders>
            <w:vAlign w:val="center"/>
          </w:tcPr>
          <w:p>
            <w:pPr>
              <w:pStyle w:val="16"/>
              <w:spacing w:line="240" w:lineRule="auto"/>
              <w:jc w:val="center"/>
              <w:rPr>
                <w:rFonts w:hint="eastAsia" w:eastAsia="宋体"/>
                <w:sz w:val="21"/>
                <w:szCs w:val="21"/>
                <w:lang w:eastAsia="zh-CN"/>
              </w:rPr>
            </w:pPr>
            <w:r>
              <w:rPr>
                <w:rFonts w:hint="eastAsia"/>
                <w:sz w:val="21"/>
                <w:szCs w:val="21"/>
                <w:lang w:eastAsia="zh-CN"/>
              </w:rPr>
              <w:t>六安凯旭服饰有限公司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75" w:type="dxa"/>
            <w:tcBorders>
              <w:tl2br w:val="nil"/>
              <w:tr2bl w:val="nil"/>
            </w:tcBorders>
            <w:vAlign w:val="center"/>
          </w:tcPr>
          <w:p>
            <w:pPr>
              <w:pStyle w:val="16"/>
              <w:spacing w:line="240" w:lineRule="auto"/>
              <w:jc w:val="center"/>
              <w:rPr>
                <w:sz w:val="21"/>
                <w:szCs w:val="21"/>
              </w:rPr>
            </w:pPr>
            <w:r>
              <w:rPr>
                <w:sz w:val="21"/>
                <w:szCs w:val="21"/>
              </w:rPr>
              <w:t>地理坐标</w:t>
            </w:r>
          </w:p>
        </w:tc>
        <w:tc>
          <w:tcPr>
            <w:tcW w:w="1335" w:type="dxa"/>
            <w:tcBorders>
              <w:tl2br w:val="nil"/>
              <w:tr2bl w:val="nil"/>
            </w:tcBorders>
            <w:vAlign w:val="center"/>
          </w:tcPr>
          <w:p>
            <w:pPr>
              <w:pStyle w:val="16"/>
              <w:spacing w:line="240" w:lineRule="auto"/>
              <w:jc w:val="center"/>
              <w:rPr>
                <w:sz w:val="21"/>
                <w:szCs w:val="21"/>
              </w:rPr>
            </w:pPr>
            <w:r>
              <w:rPr>
                <w:sz w:val="21"/>
                <w:szCs w:val="21"/>
              </w:rPr>
              <w:t>经度</w:t>
            </w:r>
          </w:p>
        </w:tc>
        <w:tc>
          <w:tcPr>
            <w:tcW w:w="1560" w:type="dxa"/>
            <w:tcBorders>
              <w:tl2br w:val="nil"/>
              <w:tr2bl w:val="nil"/>
            </w:tcBorders>
            <w:vAlign w:val="center"/>
          </w:tcPr>
          <w:p>
            <w:pPr>
              <w:pStyle w:val="16"/>
              <w:spacing w:line="240" w:lineRule="auto"/>
              <w:jc w:val="center"/>
              <w:rPr>
                <w:sz w:val="21"/>
                <w:szCs w:val="21"/>
              </w:rPr>
            </w:pPr>
            <w:r>
              <w:rPr>
                <w:color w:val="000000" w:themeColor="text1"/>
                <w:sz w:val="21"/>
                <w:szCs w:val="21"/>
                <w14:textFill>
                  <w14:solidFill>
                    <w14:schemeClr w14:val="tx1"/>
                  </w14:solidFill>
                </w14:textFill>
              </w:rPr>
              <w:t>11</w:t>
            </w:r>
            <w:r>
              <w:rPr>
                <w:rFonts w:hint="eastAsia"/>
                <w:color w:val="000000" w:themeColor="text1"/>
                <w:sz w:val="21"/>
                <w:szCs w:val="21"/>
                <w:lang w:val="en-US" w:eastAsia="zh-CN"/>
                <w14:textFill>
                  <w14:solidFill>
                    <w14:schemeClr w14:val="tx1"/>
                  </w14:solidFill>
                </w14:textFill>
              </w:rPr>
              <w:t>7</w:t>
            </w:r>
            <w:r>
              <w:rPr>
                <w:color w:val="000000" w:themeColor="text1"/>
                <w:sz w:val="21"/>
                <w:szCs w:val="21"/>
                <w14:textFill>
                  <w14:solidFill>
                    <w14:schemeClr w14:val="tx1"/>
                  </w14:solidFill>
                </w14:textFill>
              </w:rPr>
              <w:t>.446787°E</w:t>
            </w:r>
          </w:p>
        </w:tc>
        <w:tc>
          <w:tcPr>
            <w:tcW w:w="1373" w:type="dxa"/>
            <w:tcBorders>
              <w:tl2br w:val="nil"/>
              <w:tr2bl w:val="nil"/>
            </w:tcBorders>
            <w:vAlign w:val="center"/>
          </w:tcPr>
          <w:p>
            <w:pPr>
              <w:pStyle w:val="16"/>
              <w:spacing w:line="240" w:lineRule="auto"/>
              <w:jc w:val="center"/>
              <w:rPr>
                <w:sz w:val="21"/>
                <w:szCs w:val="21"/>
              </w:rPr>
            </w:pPr>
            <w:r>
              <w:rPr>
                <w:sz w:val="21"/>
                <w:szCs w:val="21"/>
              </w:rPr>
              <w:t>纬度</w:t>
            </w:r>
          </w:p>
        </w:tc>
        <w:tc>
          <w:tcPr>
            <w:tcW w:w="2844" w:type="dxa"/>
            <w:tcBorders>
              <w:tl2br w:val="nil"/>
              <w:tr2bl w:val="nil"/>
            </w:tcBorders>
            <w:vAlign w:val="center"/>
          </w:tcPr>
          <w:p>
            <w:pPr>
              <w:pStyle w:val="16"/>
              <w:spacing w:line="240" w:lineRule="auto"/>
              <w:jc w:val="center"/>
              <w:rPr>
                <w:sz w:val="21"/>
                <w:szCs w:val="21"/>
              </w:rPr>
            </w:pPr>
            <w:r>
              <w:rPr>
                <w:color w:val="000000" w:themeColor="text1"/>
                <w:sz w:val="21"/>
                <w:szCs w:val="21"/>
                <w14:textFill>
                  <w14:solidFill>
                    <w14:schemeClr w14:val="tx1"/>
                  </w14:solidFill>
                </w14:textFill>
              </w:rPr>
              <w:t>31.749484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75" w:type="dxa"/>
            <w:tcBorders>
              <w:tl2br w:val="nil"/>
              <w:tr2bl w:val="nil"/>
            </w:tcBorders>
            <w:vAlign w:val="center"/>
          </w:tcPr>
          <w:p>
            <w:pPr>
              <w:pStyle w:val="16"/>
              <w:spacing w:line="240" w:lineRule="auto"/>
              <w:jc w:val="center"/>
              <w:rPr>
                <w:sz w:val="21"/>
                <w:szCs w:val="21"/>
              </w:rPr>
            </w:pPr>
            <w:r>
              <w:rPr>
                <w:sz w:val="21"/>
                <w:szCs w:val="21"/>
              </w:rPr>
              <w:t>主要危险物质及分布</w:t>
            </w:r>
          </w:p>
        </w:tc>
        <w:tc>
          <w:tcPr>
            <w:tcW w:w="7112" w:type="dxa"/>
            <w:gridSpan w:val="4"/>
            <w:tcBorders>
              <w:tl2br w:val="nil"/>
              <w:tr2bl w:val="nil"/>
            </w:tcBorders>
            <w:vAlign w:val="center"/>
          </w:tcPr>
          <w:p>
            <w:pPr>
              <w:pStyle w:val="16"/>
              <w:tabs>
                <w:tab w:val="clear" w:pos="4153"/>
                <w:tab w:val="clear" w:pos="8306"/>
              </w:tabs>
              <w:autoSpaceDE w:val="0"/>
              <w:adjustRightInd/>
              <w:spacing w:line="240" w:lineRule="auto"/>
              <w:rPr>
                <w:sz w:val="21"/>
                <w:szCs w:val="21"/>
              </w:rPr>
            </w:pPr>
            <w:r>
              <w:rPr>
                <w:sz w:val="21"/>
                <w:szCs w:val="21"/>
              </w:rPr>
              <w:t>（1）本项目生产过程无危险化学品产生；</w:t>
            </w:r>
          </w:p>
          <w:p>
            <w:pPr>
              <w:pStyle w:val="16"/>
              <w:tabs>
                <w:tab w:val="clear" w:pos="4153"/>
                <w:tab w:val="clear" w:pos="8306"/>
              </w:tabs>
              <w:autoSpaceDE w:val="0"/>
              <w:adjustRightInd/>
              <w:spacing w:line="240" w:lineRule="auto"/>
              <w:rPr>
                <w:sz w:val="21"/>
                <w:szCs w:val="21"/>
              </w:rPr>
            </w:pPr>
            <w:r>
              <w:rPr>
                <w:sz w:val="21"/>
                <w:szCs w:val="21"/>
              </w:rPr>
              <w:t>（2）风险识别及分布：</w:t>
            </w:r>
          </w:p>
          <w:p>
            <w:pPr>
              <w:spacing w:line="240" w:lineRule="auto"/>
              <w:jc w:val="left"/>
              <w:rPr>
                <w:sz w:val="28"/>
                <w:szCs w:val="28"/>
              </w:rPr>
            </w:pPr>
            <w:r>
              <w:t>污水处理站事故性排放风险，主要体现在废水处理系统事故性排放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75" w:type="dxa"/>
            <w:tcBorders>
              <w:tl2br w:val="nil"/>
              <w:tr2bl w:val="nil"/>
            </w:tcBorders>
            <w:vAlign w:val="center"/>
          </w:tcPr>
          <w:p>
            <w:pPr>
              <w:pStyle w:val="16"/>
              <w:spacing w:line="240" w:lineRule="auto"/>
              <w:jc w:val="center"/>
              <w:rPr>
                <w:sz w:val="21"/>
                <w:szCs w:val="21"/>
              </w:rPr>
            </w:pPr>
            <w:r>
              <w:rPr>
                <w:sz w:val="21"/>
                <w:szCs w:val="21"/>
              </w:rPr>
              <w:t>环境影响途经及危害后果（大气、地表水、地下水等）</w:t>
            </w:r>
          </w:p>
        </w:tc>
        <w:tc>
          <w:tcPr>
            <w:tcW w:w="7112" w:type="dxa"/>
            <w:gridSpan w:val="4"/>
            <w:tcBorders>
              <w:tl2br w:val="nil"/>
              <w:tr2bl w:val="nil"/>
            </w:tcBorders>
            <w:vAlign w:val="center"/>
          </w:tcPr>
          <w:p>
            <w:pPr>
              <w:pStyle w:val="69"/>
              <w:widowControl w:val="0"/>
              <w:jc w:val="center"/>
              <w:rPr>
                <w:rFonts w:ascii="Times New Roman" w:hAnsi="Times New Roman" w:cs="Times New Roman"/>
              </w:rPr>
            </w:pPr>
            <w:r>
              <w:rPr>
                <w:rFonts w:ascii="Times New Roman" w:hAnsi="Times New Roman" w:cs="Times New Roman"/>
              </w:rPr>
              <w:t>在枯水季节，当项目废水事故排放达不到污水厂接管标准时，继而会造成排放废水COD、氨氮浓度超过了相应的标准，对</w:t>
            </w:r>
            <w:r>
              <w:rPr>
                <w:rFonts w:hint="eastAsia" w:ascii="Times New Roman" w:hAnsi="Times New Roman" w:cs="Times New Roman"/>
                <w:lang w:eastAsia="zh-CN"/>
              </w:rPr>
              <w:t>淠河</w:t>
            </w:r>
            <w:r>
              <w:rPr>
                <w:rFonts w:ascii="Times New Roman" w:hAnsi="Times New Roman" w:cs="Times New Roman"/>
              </w:rPr>
              <w:t>的水质造成严重的不良影响且会通过各种途径对土壤、地下水以及地表水体造成污染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75" w:type="dxa"/>
            <w:tcBorders>
              <w:tl2br w:val="nil"/>
              <w:tr2bl w:val="nil"/>
            </w:tcBorders>
            <w:vAlign w:val="center"/>
          </w:tcPr>
          <w:p>
            <w:pPr>
              <w:pStyle w:val="16"/>
              <w:spacing w:line="240" w:lineRule="auto"/>
              <w:jc w:val="center"/>
              <w:rPr>
                <w:sz w:val="21"/>
                <w:szCs w:val="21"/>
              </w:rPr>
            </w:pPr>
            <w:r>
              <w:rPr>
                <w:sz w:val="21"/>
                <w:szCs w:val="21"/>
              </w:rPr>
              <w:t>风险防范措施要求</w:t>
            </w:r>
          </w:p>
        </w:tc>
        <w:tc>
          <w:tcPr>
            <w:tcW w:w="7112" w:type="dxa"/>
            <w:gridSpan w:val="4"/>
            <w:tcBorders>
              <w:tl2br w:val="nil"/>
              <w:tr2bl w:val="nil"/>
            </w:tcBorders>
            <w:vAlign w:val="center"/>
          </w:tcPr>
          <w:p>
            <w:pPr>
              <w:pStyle w:val="64"/>
              <w:spacing w:line="240" w:lineRule="auto"/>
              <w:ind w:firstLine="0"/>
              <w:jc w:val="center"/>
            </w:pPr>
            <w:r>
              <w:t>①配套设置迅速切断事故排水直接外排并使其进入事故池的措施。事故池应采取安全措施，且事故池在平时不得占用，以保证可以随时容纳可能发生的事故废水，收集后的废水使用槽罐车送至污水处理厂处理，不得随意排放。</w:t>
            </w:r>
          </w:p>
          <w:p>
            <w:pPr>
              <w:pStyle w:val="64"/>
              <w:spacing w:line="240" w:lineRule="auto"/>
              <w:ind w:firstLine="0"/>
              <w:jc w:val="center"/>
            </w:pPr>
            <w:r>
              <w:t>②编制突发环境事件应急预案：制定风险事故应急预案的目的是为了在发生风险事故时，能以最快的速度发挥最大的效能，有序的实施救援，尽快控制事态的发展，降低事故造成的危害，减少事故造成的损失。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287" w:type="dxa"/>
            <w:gridSpan w:val="5"/>
            <w:tcBorders>
              <w:tl2br w:val="nil"/>
              <w:tr2bl w:val="nil"/>
            </w:tcBorders>
            <w:vAlign w:val="center"/>
          </w:tcPr>
          <w:p>
            <w:pPr>
              <w:pStyle w:val="16"/>
              <w:spacing w:line="240" w:lineRule="auto"/>
              <w:jc w:val="both"/>
              <w:rPr>
                <w:sz w:val="21"/>
                <w:szCs w:val="21"/>
              </w:rPr>
            </w:pPr>
            <w:r>
              <w:rPr>
                <w:sz w:val="21"/>
                <w:szCs w:val="21"/>
              </w:rPr>
              <w:t>填表说明（列出项目相关信息及评价说明）：</w:t>
            </w:r>
          </w:p>
          <w:p>
            <w:pPr>
              <w:pStyle w:val="64"/>
              <w:spacing w:line="240" w:lineRule="auto"/>
              <w:ind w:firstLine="0"/>
              <w:jc w:val="center"/>
            </w:pPr>
            <w:r>
              <w:t>本次评价根据国家环保部环发[2012]77号文《关于进一步加强环境影响评价管理防范环境风险的通知》要求，依据《建设项目环境风险评价技术导则》（HJ169－2018）、《危险化学品重大危险源辨识》（GB18218－2009）和《关于切实加强风险防范严格环境影响评价的通知》（环发[2012]98号）进行环境风险评价。</w:t>
            </w:r>
          </w:p>
        </w:tc>
      </w:tr>
    </w:tbl>
    <w:p>
      <w:pPr>
        <w:ind w:firstLine="480" w:firstLineChars="200"/>
        <w:rPr>
          <w:color w:val="000000"/>
          <w:sz w:val="24"/>
          <w:szCs w:val="24"/>
        </w:rPr>
      </w:pPr>
    </w:p>
    <w:p>
      <w:pPr>
        <w:pStyle w:val="2"/>
        <w:ind w:firstLine="0" w:firstLineChars="0"/>
        <w:sectPr>
          <w:headerReference r:id="rId15" w:type="default"/>
          <w:pgSz w:w="11907" w:h="16840"/>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pStyle w:val="5"/>
        <w:ind w:firstLine="1807" w:firstLineChars="500"/>
        <w:rPr>
          <w:rFonts w:eastAsia="黑体"/>
          <w:sz w:val="36"/>
          <w:szCs w:val="36"/>
        </w:rPr>
      </w:pPr>
      <w:bookmarkStart w:id="206" w:name="_Toc532395339"/>
      <w:bookmarkStart w:id="207" w:name="_Toc32069_WPSOffice_Level1"/>
      <w:r>
        <w:rPr>
          <w:rFonts w:eastAsia="黑体"/>
          <w:sz w:val="36"/>
          <w:szCs w:val="36"/>
        </w:rPr>
        <w:t>第六章 环境保护措施及其可行性论证</w:t>
      </w:r>
      <w:bookmarkEnd w:id="206"/>
      <w:bookmarkEnd w:id="207"/>
    </w:p>
    <w:p>
      <w:pPr>
        <w:pStyle w:val="5"/>
        <w:rPr>
          <w:sz w:val="24"/>
          <w:szCs w:val="24"/>
        </w:rPr>
      </w:pPr>
      <w:bookmarkStart w:id="208" w:name="_Toc15861_WPSOffice_Level2"/>
      <w:bookmarkStart w:id="209" w:name="_Toc532395340"/>
      <w:r>
        <w:rPr>
          <w:sz w:val="24"/>
          <w:szCs w:val="24"/>
        </w:rPr>
        <w:t>6.1 施工期污染防治措施</w:t>
      </w:r>
      <w:bookmarkEnd w:id="208"/>
      <w:bookmarkEnd w:id="209"/>
    </w:p>
    <w:p>
      <w:pPr>
        <w:autoSpaceDE w:val="0"/>
        <w:autoSpaceDN w:val="0"/>
        <w:ind w:firstLine="482" w:firstLineChars="200"/>
        <w:rPr>
          <w:b/>
          <w:bCs/>
          <w:sz w:val="24"/>
          <w:szCs w:val="24"/>
        </w:rPr>
      </w:pPr>
      <w:r>
        <w:rPr>
          <w:b/>
          <w:bCs/>
          <w:sz w:val="24"/>
          <w:szCs w:val="24"/>
        </w:rPr>
        <w:t>1、大气污染防治措施</w:t>
      </w:r>
    </w:p>
    <w:p>
      <w:pPr>
        <w:autoSpaceDE w:val="0"/>
        <w:autoSpaceDN w:val="0"/>
        <w:ind w:firstLine="480" w:firstLineChars="200"/>
        <w:rPr>
          <w:sz w:val="24"/>
          <w:szCs w:val="24"/>
          <w:lang w:val="zh-CN"/>
        </w:rPr>
      </w:pPr>
      <w:r>
        <w:rPr>
          <w:sz w:val="24"/>
          <w:szCs w:val="24"/>
          <w:lang w:val="zh-CN"/>
        </w:rPr>
        <w:t>施工期间对大气环境的影响主要表现为施工期扬尘与运输扬尘以及装修过程中的有机气体污染。其中扬尘最为关注，其要产生在以下环节：</w:t>
      </w:r>
    </w:p>
    <w:p>
      <w:pPr>
        <w:ind w:firstLine="480" w:firstLineChars="200"/>
        <w:rPr>
          <w:sz w:val="24"/>
          <w:szCs w:val="24"/>
        </w:rPr>
      </w:pPr>
      <w:r>
        <w:rPr>
          <w:sz w:val="24"/>
          <w:szCs w:val="24"/>
        </w:rPr>
        <w:t>①土方挖掘和现场堆放扬尘；</w:t>
      </w:r>
    </w:p>
    <w:p>
      <w:pPr>
        <w:ind w:firstLine="480" w:firstLineChars="200"/>
        <w:rPr>
          <w:sz w:val="24"/>
          <w:szCs w:val="24"/>
        </w:rPr>
      </w:pPr>
      <w:r>
        <w:rPr>
          <w:sz w:val="24"/>
          <w:szCs w:val="24"/>
        </w:rPr>
        <w:t>②搅拌水泥沙浆扬尘；</w:t>
      </w:r>
    </w:p>
    <w:p>
      <w:pPr>
        <w:ind w:firstLine="480" w:firstLineChars="200"/>
        <w:rPr>
          <w:sz w:val="24"/>
          <w:szCs w:val="24"/>
        </w:rPr>
      </w:pPr>
      <w:r>
        <w:rPr>
          <w:sz w:val="24"/>
          <w:szCs w:val="24"/>
        </w:rPr>
        <w:t>③建筑材料（白灰、水泥、砂子、石子和砖等）的搬运及堆放扬尘；</w:t>
      </w:r>
    </w:p>
    <w:p>
      <w:pPr>
        <w:ind w:firstLine="480" w:firstLineChars="200"/>
        <w:rPr>
          <w:sz w:val="24"/>
          <w:szCs w:val="24"/>
        </w:rPr>
      </w:pPr>
      <w:r>
        <w:rPr>
          <w:sz w:val="24"/>
          <w:szCs w:val="24"/>
        </w:rPr>
        <w:t>④施工垃圾的清理及堆放扬尘；</w:t>
      </w:r>
    </w:p>
    <w:p>
      <w:pPr>
        <w:autoSpaceDE w:val="0"/>
        <w:autoSpaceDN w:val="0"/>
        <w:ind w:firstLine="480" w:firstLineChars="200"/>
        <w:rPr>
          <w:sz w:val="24"/>
          <w:szCs w:val="24"/>
          <w:lang w:val="zh-CN"/>
        </w:rPr>
      </w:pPr>
      <w:r>
        <w:rPr>
          <w:sz w:val="24"/>
          <w:szCs w:val="24"/>
        </w:rPr>
        <w:t>⑤物料运输车辆造成的道路扬尘（包括施工区内和施工区外道路扬尘）。</w:t>
      </w:r>
    </w:p>
    <w:p>
      <w:pPr>
        <w:ind w:firstLine="480" w:firstLineChars="200"/>
        <w:rPr>
          <w:b/>
          <w:sz w:val="24"/>
          <w:szCs w:val="24"/>
        </w:rPr>
      </w:pPr>
      <w:r>
        <w:rPr>
          <w:sz w:val="24"/>
          <w:szCs w:val="24"/>
        </w:rPr>
        <w:t>（1）扬尘污染</w:t>
      </w:r>
    </w:p>
    <w:p>
      <w:pPr>
        <w:pStyle w:val="73"/>
        <w:ind w:firstLine="480" w:firstLineChars="200"/>
        <w:rPr>
          <w:sz w:val="24"/>
          <w:szCs w:val="24"/>
        </w:rPr>
      </w:pPr>
      <w:r>
        <w:rPr>
          <w:sz w:val="24"/>
          <w:szCs w:val="24"/>
        </w:rPr>
        <w:t>在不同气象条件下，施工场地扬尘影响分析结果表明：在一般气象条件下，建筑工地下风向TSP浓度为上风向对照点的2.0～2.5倍。如果基本上不采取防护措施，300m以内将会受到扬尘影响；采用一般的防护措施，150m内会有影响；在做好施工期扬尘的防护措施下施工，下风向50m处的TSP浓度小于0.3mg/m</w:t>
      </w:r>
      <w:r>
        <w:rPr>
          <w:sz w:val="24"/>
          <w:szCs w:val="24"/>
          <w:vertAlign w:val="superscript"/>
        </w:rPr>
        <w:t>3</w:t>
      </w:r>
      <w:r>
        <w:rPr>
          <w:sz w:val="24"/>
          <w:szCs w:val="24"/>
        </w:rPr>
        <w:t>，符合《环境空气质量标准》（GB3095-2012）二级标准的要求。</w:t>
      </w:r>
    </w:p>
    <w:p>
      <w:pPr>
        <w:ind w:firstLine="480" w:firstLineChars="200"/>
        <w:rPr>
          <w:sz w:val="24"/>
          <w:szCs w:val="24"/>
          <w:lang w:val="zh-CN"/>
        </w:rPr>
      </w:pPr>
      <w:r>
        <w:rPr>
          <w:sz w:val="24"/>
          <w:szCs w:val="24"/>
          <w:lang w:val="zh-CN"/>
        </w:rPr>
        <w:t>项目施工采用商用混凝土，施工所需要的混凝土通过混凝土搅拌运输车从厂家直接运输到工地，因此本项目不存在搅拌混凝土扬尘影响。</w:t>
      </w:r>
    </w:p>
    <w:p>
      <w:pPr>
        <w:ind w:firstLine="480" w:firstLineChars="200"/>
        <w:rPr>
          <w:sz w:val="24"/>
          <w:szCs w:val="24"/>
          <w:lang w:val="zh-CN"/>
        </w:rPr>
      </w:pPr>
      <w:r>
        <w:rPr>
          <w:sz w:val="24"/>
          <w:szCs w:val="24"/>
          <w:lang w:val="zh-CN"/>
        </w:rPr>
        <w:t>工地道路扬尘强度与道路路面有关，颗粒物浓度最低的是水泥地面，其次是坚硬的土路，再次是一般土路，浓度最高的是浮土多的土路，由于以上路面的不同，其颗粒物浓度监测值比值依次为1:1.17:2.06:2.29，其超标倍数依次为2.9、3.6、7.1和8.0。在尘源30m以内颗粒物浓度均为上风向对照点2倍以上，其影响范围主要是道路两侧各50m的区域。</w:t>
      </w:r>
    </w:p>
    <w:p>
      <w:pPr>
        <w:ind w:firstLine="480" w:firstLineChars="200"/>
        <w:rPr>
          <w:sz w:val="24"/>
          <w:szCs w:val="24"/>
        </w:rPr>
      </w:pPr>
      <w:r>
        <w:rPr>
          <w:sz w:val="24"/>
          <w:szCs w:val="24"/>
          <w:lang w:val="zh-CN"/>
        </w:rPr>
        <w:t>总的来说，建筑工地扬尘对大气的影响范围主要在工地围墙外100m以内。由于距离的不同，其污染影响程度亦不同。在扬尘点下风向0～50m为重污染带，50～100m为较重污染带，100～200m为轻污染带，200m以外对大气影响甚微，</w:t>
      </w:r>
      <w:r>
        <w:rPr>
          <w:sz w:val="24"/>
          <w:szCs w:val="24"/>
        </w:rPr>
        <w:t>由于项目周边有居民住宅、行政办公单位分布，因此在不采取相应污染防治措施的情况下，将对其造成较大影响。</w:t>
      </w:r>
    </w:p>
    <w:p>
      <w:pPr>
        <w:ind w:firstLine="480" w:firstLineChars="200"/>
        <w:rPr>
          <w:sz w:val="24"/>
          <w:szCs w:val="24"/>
        </w:rPr>
      </w:pPr>
      <w:r>
        <w:rPr>
          <w:sz w:val="24"/>
          <w:szCs w:val="24"/>
        </w:rPr>
        <w:t>（2）机械设备废气</w:t>
      </w:r>
    </w:p>
    <w:p>
      <w:pPr>
        <w:ind w:firstLine="480" w:firstLineChars="200"/>
        <w:rPr>
          <w:sz w:val="24"/>
          <w:szCs w:val="24"/>
        </w:rPr>
      </w:pPr>
      <w:r>
        <w:rPr>
          <w:sz w:val="24"/>
          <w:szCs w:val="24"/>
        </w:rPr>
        <w:t>项目在建设施工过程中</w:t>
      </w:r>
      <w:r>
        <w:rPr>
          <w:sz w:val="24"/>
          <w:szCs w:val="24"/>
          <w:lang w:val="zh-CN"/>
        </w:rPr>
        <w:t>施工车辆、挖土机等因燃油产生的二氧化硫、氮氧化物、一氧化碳、烃类、TSP等空气污染物</w:t>
      </w:r>
      <w:r>
        <w:rPr>
          <w:sz w:val="24"/>
          <w:szCs w:val="24"/>
        </w:rPr>
        <w:t>对项目区域环境空气也会产生一定影响，但由于施工中燃油设备的使用率不高，</w:t>
      </w:r>
      <w:r>
        <w:rPr>
          <w:sz w:val="24"/>
          <w:szCs w:val="24"/>
          <w:lang w:val="zh-CN"/>
        </w:rPr>
        <w:t>此类污染物排放量不大，且表现为间续特征，可以预见，</w:t>
      </w:r>
      <w:r>
        <w:rPr>
          <w:sz w:val="24"/>
          <w:szCs w:val="24"/>
        </w:rPr>
        <w:t>燃油废气对区域大气环境的影响甚微。</w:t>
      </w:r>
    </w:p>
    <w:p>
      <w:pPr>
        <w:ind w:firstLine="480" w:firstLineChars="200"/>
        <w:rPr>
          <w:sz w:val="24"/>
          <w:szCs w:val="24"/>
        </w:rPr>
      </w:pPr>
      <w:r>
        <w:rPr>
          <w:sz w:val="24"/>
          <w:szCs w:val="24"/>
        </w:rPr>
        <w:t>（3）装修废气</w:t>
      </w:r>
    </w:p>
    <w:p>
      <w:pPr>
        <w:ind w:firstLine="480" w:firstLineChars="200"/>
        <w:rPr>
          <w:sz w:val="24"/>
          <w:szCs w:val="24"/>
        </w:rPr>
      </w:pPr>
      <w:r>
        <w:rPr>
          <w:sz w:val="24"/>
          <w:szCs w:val="24"/>
        </w:rPr>
        <w:t>项目装修阶段时间跨度较大，</w:t>
      </w:r>
      <w:r>
        <w:rPr>
          <w:sz w:val="24"/>
          <w:szCs w:val="24"/>
          <w:lang w:val="zh-CN"/>
        </w:rPr>
        <w:t>装修有机废气主要来源于装修过程中所使用的油漆、溶剂、板材、胶类，由于装修时采用的三合板和油漆中含有的甲醛、甲苯、二甲苯等有毒有害物质挥发时间较长且有损于人体身体健康，因此，在装修期间各住户应加强室内的通风换气，装修结束以后，应每天进行通风换气。</w:t>
      </w:r>
    </w:p>
    <w:p>
      <w:pPr>
        <w:autoSpaceDE w:val="0"/>
        <w:autoSpaceDN w:val="0"/>
        <w:ind w:firstLine="480" w:firstLineChars="200"/>
        <w:rPr>
          <w:bCs/>
          <w:sz w:val="24"/>
          <w:szCs w:val="24"/>
        </w:rPr>
      </w:pPr>
      <w:r>
        <w:rPr>
          <w:bCs/>
          <w:sz w:val="24"/>
          <w:szCs w:val="24"/>
        </w:rPr>
        <w:t>依据《中华人民共和国大气污染防治法》、《金寨县大气污染防治行动计划实施细则》和《安徽省建筑工程施工扬尘污染防治规定》，为进一步做好当前大气污染防治工作，施工期严格按照七个“百分百”扬尘整治标准，即建筑施工工地周边100%围挡、易扬尘物料及裸露土地100%覆盖、出入车辆100%冲洗、现场道路100%硬化、拆迁及保洁100%湿法作业、渣土车辆100%密闭运输和现场非作业区域100%绿化，从严监管建筑施工扬尘。为强化扬尘污染防治责任，严格实行网络化管理，建设单位应严格落实下列大气污染防治措施，尽量减少施工期废气对周边居民生活、行政办公活动等的影响。</w:t>
      </w:r>
    </w:p>
    <w:p>
      <w:pPr>
        <w:autoSpaceDE w:val="0"/>
        <w:autoSpaceDN w:val="0"/>
        <w:spacing w:line="240" w:lineRule="auto"/>
        <w:jc w:val="center"/>
        <w:rPr>
          <w:b/>
          <w:bCs/>
          <w:sz w:val="24"/>
          <w:szCs w:val="24"/>
        </w:rPr>
      </w:pPr>
      <w:r>
        <w:rPr>
          <w:b/>
          <w:bCs/>
          <w:sz w:val="24"/>
          <w:szCs w:val="24"/>
        </w:rPr>
        <w:t>表6</w:t>
      </w:r>
      <w:r>
        <w:rPr>
          <w:rFonts w:hint="eastAsia"/>
          <w:b/>
          <w:bCs/>
          <w:sz w:val="24"/>
          <w:szCs w:val="24"/>
          <w:lang w:val="en-US" w:eastAsia="zh-CN"/>
        </w:rPr>
        <w:t>.</w:t>
      </w:r>
      <w:r>
        <w:rPr>
          <w:b/>
          <w:bCs/>
          <w:sz w:val="24"/>
          <w:szCs w:val="24"/>
        </w:rPr>
        <w:t>1-1  施工期</w:t>
      </w:r>
      <w:r>
        <w:rPr>
          <w:b/>
          <w:sz w:val="24"/>
          <w:szCs w:val="24"/>
        </w:rPr>
        <w:t>大气污染防治措施一览表</w:t>
      </w:r>
    </w:p>
    <w:tbl>
      <w:tblPr>
        <w:tblStyle w:val="22"/>
        <w:tblW w:w="944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81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tcBorders>
              <w:tl2br w:val="nil"/>
              <w:tr2bl w:val="nil"/>
            </w:tcBorders>
            <w:vAlign w:val="center"/>
          </w:tcPr>
          <w:p>
            <w:pPr>
              <w:autoSpaceDE w:val="0"/>
              <w:autoSpaceDN w:val="0"/>
              <w:spacing w:line="240" w:lineRule="auto"/>
              <w:jc w:val="center"/>
              <w:rPr>
                <w:b/>
                <w:bCs/>
              </w:rPr>
            </w:pPr>
            <w:r>
              <w:rPr>
                <w:b/>
                <w:bCs/>
              </w:rPr>
              <w:t>控制措施</w:t>
            </w:r>
          </w:p>
        </w:tc>
        <w:tc>
          <w:tcPr>
            <w:tcW w:w="8194" w:type="dxa"/>
            <w:tcBorders>
              <w:tl2br w:val="nil"/>
              <w:tr2bl w:val="nil"/>
            </w:tcBorders>
            <w:vAlign w:val="center"/>
          </w:tcPr>
          <w:p>
            <w:pPr>
              <w:autoSpaceDE w:val="0"/>
              <w:autoSpaceDN w:val="0"/>
              <w:spacing w:line="240" w:lineRule="auto"/>
              <w:jc w:val="center"/>
              <w:rPr>
                <w:b/>
                <w:bCs/>
              </w:rPr>
            </w:pPr>
            <w:r>
              <w:rPr>
                <w:b/>
                <w:bCs/>
              </w:rPr>
              <w:t>具体实施内容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tcBorders>
              <w:tl2br w:val="nil"/>
              <w:tr2bl w:val="nil"/>
            </w:tcBorders>
            <w:vAlign w:val="center"/>
          </w:tcPr>
          <w:p>
            <w:pPr>
              <w:autoSpaceDE w:val="0"/>
              <w:autoSpaceDN w:val="0"/>
              <w:spacing w:line="240" w:lineRule="auto"/>
              <w:jc w:val="center"/>
              <w:rPr>
                <w:b/>
                <w:bCs/>
              </w:rPr>
            </w:pPr>
            <w:r>
              <w:rPr>
                <w:b/>
                <w:bCs/>
              </w:rPr>
              <w:t>封闭围挡</w:t>
            </w:r>
          </w:p>
        </w:tc>
        <w:tc>
          <w:tcPr>
            <w:tcW w:w="8194" w:type="dxa"/>
            <w:tcBorders>
              <w:tl2br w:val="nil"/>
              <w:tr2bl w:val="nil"/>
            </w:tcBorders>
            <w:vAlign w:val="center"/>
          </w:tcPr>
          <w:p>
            <w:pPr>
              <w:autoSpaceDE w:val="0"/>
              <w:autoSpaceDN w:val="0"/>
              <w:spacing w:line="240" w:lineRule="auto"/>
              <w:jc w:val="left"/>
              <w:rPr>
                <w:b/>
                <w:bCs/>
                <w:spacing w:val="-8"/>
              </w:rPr>
            </w:pPr>
            <w:r>
              <w:rPr>
                <w:bCs/>
                <w:spacing w:val="-8"/>
              </w:rPr>
              <w:t>主干道围挡2.5米，次干道围挡1.8米；围挡底端应设置防溢座，围挡之间及围挡与防溢座之间无缝隙。对于特殊地点无法设置围挡、围栏及防溢座的，应设警示牌。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tcBorders>
              <w:tl2br w:val="nil"/>
              <w:tr2bl w:val="nil"/>
            </w:tcBorders>
            <w:vAlign w:val="center"/>
          </w:tcPr>
          <w:p>
            <w:pPr>
              <w:autoSpaceDE w:val="0"/>
              <w:autoSpaceDN w:val="0"/>
              <w:spacing w:line="240" w:lineRule="auto"/>
              <w:jc w:val="center"/>
              <w:rPr>
                <w:b/>
                <w:bCs/>
              </w:rPr>
            </w:pPr>
            <w:r>
              <w:rPr>
                <w:b/>
                <w:bCs/>
              </w:rPr>
              <w:t>施工工地道路硬化</w:t>
            </w:r>
          </w:p>
        </w:tc>
        <w:tc>
          <w:tcPr>
            <w:tcW w:w="8194" w:type="dxa"/>
            <w:tcBorders>
              <w:tl2br w:val="nil"/>
              <w:tr2bl w:val="nil"/>
            </w:tcBorders>
            <w:vAlign w:val="center"/>
          </w:tcPr>
          <w:p>
            <w:pPr>
              <w:autoSpaceDE w:val="0"/>
              <w:autoSpaceDN w:val="0"/>
              <w:spacing w:line="240" w:lineRule="auto"/>
              <w:jc w:val="left"/>
              <w:rPr>
                <w:bCs/>
              </w:rPr>
            </w:pPr>
            <w:r>
              <w:rPr>
                <w:bCs/>
              </w:rPr>
              <w:t>工地出口应采取铺设水泥混凝土或铺设沥青混凝土，并辅以洒水、喷洒抑尘剂等有效的防尘措施，保持路面清洁，防止机动车扬尘。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restart"/>
            <w:tcBorders>
              <w:tl2br w:val="nil"/>
              <w:tr2bl w:val="nil"/>
            </w:tcBorders>
            <w:vAlign w:val="center"/>
          </w:tcPr>
          <w:p>
            <w:pPr>
              <w:autoSpaceDE w:val="0"/>
              <w:autoSpaceDN w:val="0"/>
              <w:spacing w:line="240" w:lineRule="auto"/>
              <w:jc w:val="center"/>
              <w:rPr>
                <w:b/>
                <w:bCs/>
              </w:rPr>
            </w:pPr>
            <w:r>
              <w:rPr>
                <w:b/>
                <w:bCs/>
              </w:rPr>
              <w:t>材料堆放遮盖措施</w:t>
            </w:r>
          </w:p>
        </w:tc>
        <w:tc>
          <w:tcPr>
            <w:tcW w:w="8194" w:type="dxa"/>
            <w:tcBorders>
              <w:tl2br w:val="nil"/>
              <w:tr2bl w:val="nil"/>
            </w:tcBorders>
            <w:vAlign w:val="center"/>
          </w:tcPr>
          <w:p>
            <w:pPr>
              <w:autoSpaceDE w:val="0"/>
              <w:autoSpaceDN w:val="0"/>
              <w:spacing w:line="240" w:lineRule="auto"/>
              <w:jc w:val="left"/>
              <w:rPr>
                <w:bCs/>
              </w:rPr>
            </w:pPr>
            <w:r>
              <w:rPr>
                <w:bCs/>
              </w:rPr>
              <w:t>A.施工工程中产生的弃土、弃料及其他建筑垃圾，应及时清运。若在工地内堆置超过一周的，则应采取覆盖防尘布、防尘网、定期喷洒抑尘剂、定期喷水压尘等有效防尘措施，防止风蚀起尘及水蚀迁移。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continue"/>
            <w:tcBorders>
              <w:tl2br w:val="nil"/>
              <w:tr2bl w:val="nil"/>
            </w:tcBorders>
            <w:vAlign w:val="center"/>
          </w:tcPr>
          <w:p>
            <w:pPr>
              <w:autoSpaceDE w:val="0"/>
              <w:autoSpaceDN w:val="0"/>
              <w:spacing w:line="240" w:lineRule="auto"/>
              <w:jc w:val="center"/>
              <w:rPr>
                <w:b/>
                <w:bCs/>
              </w:rPr>
            </w:pPr>
          </w:p>
        </w:tc>
        <w:tc>
          <w:tcPr>
            <w:tcW w:w="8194" w:type="dxa"/>
            <w:tcBorders>
              <w:tl2br w:val="nil"/>
              <w:tr2bl w:val="nil"/>
            </w:tcBorders>
            <w:vAlign w:val="center"/>
          </w:tcPr>
          <w:p>
            <w:pPr>
              <w:autoSpaceDE w:val="0"/>
              <w:autoSpaceDN w:val="0"/>
              <w:spacing w:line="240" w:lineRule="auto"/>
              <w:jc w:val="left"/>
              <w:rPr>
                <w:bCs/>
              </w:rPr>
            </w:pPr>
            <w:r>
              <w:rPr>
                <w:bCs/>
              </w:rPr>
              <w:t>B.施工过程中使用水泥、石灰、砂石、涂料、铺装材料等易产生扬尘的建筑材料，应采取：密闭存储、设置围挡或堆砌围墙、采用防尘布苫盖等防尘措施。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tcBorders>
              <w:tl2br w:val="nil"/>
              <w:tr2bl w:val="nil"/>
            </w:tcBorders>
            <w:vAlign w:val="center"/>
          </w:tcPr>
          <w:p>
            <w:pPr>
              <w:autoSpaceDE w:val="0"/>
              <w:autoSpaceDN w:val="0"/>
              <w:spacing w:line="240" w:lineRule="auto"/>
              <w:jc w:val="center"/>
              <w:rPr>
                <w:b/>
                <w:bCs/>
              </w:rPr>
            </w:pPr>
            <w:r>
              <w:rPr>
                <w:b/>
                <w:bCs/>
              </w:rPr>
              <w:t>进出车辆冲洗措施</w:t>
            </w:r>
          </w:p>
        </w:tc>
        <w:tc>
          <w:tcPr>
            <w:tcW w:w="8194" w:type="dxa"/>
            <w:tcBorders>
              <w:tl2br w:val="nil"/>
              <w:tr2bl w:val="nil"/>
            </w:tcBorders>
            <w:vAlign w:val="center"/>
          </w:tcPr>
          <w:p>
            <w:pPr>
              <w:autoSpaceDE w:val="0"/>
              <w:autoSpaceDN w:val="0"/>
              <w:spacing w:line="240" w:lineRule="auto"/>
              <w:jc w:val="left"/>
              <w:rPr>
                <w:bCs/>
              </w:rPr>
            </w:pPr>
            <w:r>
              <w:rPr>
                <w:bCs/>
              </w:rPr>
              <w:t>设置洗车平台，完善排水设施，防止泥土粘带。施工期间，应在物料、渣土、垃圾运输车辆的出口内侧设置洗车平台，车辆驶离工地前，应在洗车平台清洗轮胎及车身，不得带泥上路。洗车平台四周应设置防溢座、废水导流渠、废水收集池、沉砂池及其它防治设施，收集洗车、施工以及降水过程中产生的废水和泥浆。工地出口处铺装道路上可见粘带泥土不得超过 10 米，并应及时清扫冲洗。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restart"/>
            <w:tcBorders>
              <w:tl2br w:val="nil"/>
              <w:tr2bl w:val="nil"/>
            </w:tcBorders>
            <w:vAlign w:val="center"/>
          </w:tcPr>
          <w:p>
            <w:pPr>
              <w:autoSpaceDE w:val="0"/>
              <w:autoSpaceDN w:val="0"/>
              <w:spacing w:line="240" w:lineRule="auto"/>
              <w:jc w:val="center"/>
              <w:rPr>
                <w:b/>
                <w:bCs/>
              </w:rPr>
            </w:pPr>
            <w:r>
              <w:rPr>
                <w:b/>
                <w:bCs/>
              </w:rPr>
              <w:t>工程立面围护措施</w:t>
            </w:r>
          </w:p>
        </w:tc>
        <w:tc>
          <w:tcPr>
            <w:tcW w:w="8194" w:type="dxa"/>
            <w:tcBorders>
              <w:tl2br w:val="nil"/>
              <w:tr2bl w:val="nil"/>
            </w:tcBorders>
            <w:vAlign w:val="center"/>
          </w:tcPr>
          <w:p>
            <w:pPr>
              <w:autoSpaceDE w:val="0"/>
              <w:autoSpaceDN w:val="0"/>
              <w:spacing w:line="240" w:lineRule="auto"/>
              <w:jc w:val="left"/>
              <w:rPr>
                <w:bCs/>
              </w:rPr>
            </w:pPr>
            <w:r>
              <w:rPr>
                <w:bCs/>
              </w:rPr>
              <w:t>A.施工期间，应在工地建筑结构脚手架外侧设置有效抑尘的密目防尘网（不低于 2000 目/100 厘米 2）或防尘布。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continue"/>
            <w:tcBorders>
              <w:tl2br w:val="nil"/>
              <w:tr2bl w:val="nil"/>
            </w:tcBorders>
            <w:vAlign w:val="center"/>
          </w:tcPr>
          <w:p>
            <w:pPr>
              <w:autoSpaceDE w:val="0"/>
              <w:autoSpaceDN w:val="0"/>
              <w:spacing w:line="240" w:lineRule="auto"/>
              <w:jc w:val="center"/>
              <w:rPr>
                <w:b/>
                <w:bCs/>
              </w:rPr>
            </w:pPr>
          </w:p>
        </w:tc>
        <w:tc>
          <w:tcPr>
            <w:tcW w:w="8194" w:type="dxa"/>
            <w:tcBorders>
              <w:tl2br w:val="nil"/>
              <w:tr2bl w:val="nil"/>
            </w:tcBorders>
            <w:vAlign w:val="center"/>
          </w:tcPr>
          <w:p>
            <w:pPr>
              <w:autoSpaceDE w:val="0"/>
              <w:autoSpaceDN w:val="0"/>
              <w:spacing w:line="240" w:lineRule="auto"/>
              <w:jc w:val="left"/>
              <w:rPr>
                <w:bCs/>
              </w:rPr>
            </w:pPr>
            <w:r>
              <w:rPr>
                <w:bCs/>
              </w:rPr>
              <w:t>B.对于工地内裸露地面，应采取覆盖防尘布、防尘网或铺设礁渣、细石或其他功能相当的材料或植被绿化、晴朗天气视情况每周等时间隔洒水二至七次，扬尘严重时应加大洒水等防尘措施。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continue"/>
            <w:tcBorders>
              <w:tl2br w:val="nil"/>
              <w:tr2bl w:val="nil"/>
            </w:tcBorders>
            <w:vAlign w:val="center"/>
          </w:tcPr>
          <w:p>
            <w:pPr>
              <w:autoSpaceDE w:val="0"/>
              <w:autoSpaceDN w:val="0"/>
              <w:spacing w:line="240" w:lineRule="auto"/>
              <w:jc w:val="center"/>
              <w:rPr>
                <w:b/>
                <w:bCs/>
              </w:rPr>
            </w:pPr>
          </w:p>
        </w:tc>
        <w:tc>
          <w:tcPr>
            <w:tcW w:w="8194" w:type="dxa"/>
            <w:tcBorders>
              <w:tl2br w:val="nil"/>
              <w:tr2bl w:val="nil"/>
            </w:tcBorders>
            <w:vAlign w:val="center"/>
          </w:tcPr>
          <w:p>
            <w:pPr>
              <w:autoSpaceDE w:val="0"/>
              <w:autoSpaceDN w:val="0"/>
              <w:spacing w:line="240" w:lineRule="auto"/>
              <w:jc w:val="left"/>
              <w:rPr>
                <w:bCs/>
              </w:rPr>
            </w:pPr>
            <w:r>
              <w:rPr>
                <w:bCs/>
              </w:rPr>
              <w:t>C.土方工程遇干燥、易起尘的土方工程作业时，应辅以洒水压尘，尽量缩短起尘操作时间。遇到四级或四级以上大风天气，停止土方作业，作业处覆以防尘网。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restart"/>
            <w:tcBorders>
              <w:tl2br w:val="nil"/>
              <w:tr2bl w:val="nil"/>
            </w:tcBorders>
            <w:vAlign w:val="center"/>
          </w:tcPr>
          <w:p>
            <w:pPr>
              <w:autoSpaceDE w:val="0"/>
              <w:autoSpaceDN w:val="0"/>
              <w:spacing w:line="240" w:lineRule="auto"/>
              <w:jc w:val="center"/>
              <w:rPr>
                <w:b/>
                <w:bCs/>
              </w:rPr>
            </w:pPr>
            <w:r>
              <w:rPr>
                <w:b/>
              </w:rPr>
              <w:t>建筑垃圾清运措施</w:t>
            </w:r>
          </w:p>
        </w:tc>
        <w:tc>
          <w:tcPr>
            <w:tcW w:w="8194" w:type="dxa"/>
            <w:tcBorders>
              <w:tl2br w:val="nil"/>
              <w:tr2bl w:val="nil"/>
            </w:tcBorders>
            <w:vAlign w:val="center"/>
          </w:tcPr>
          <w:p>
            <w:pPr>
              <w:autoSpaceDE w:val="0"/>
              <w:autoSpaceDN w:val="0"/>
              <w:spacing w:line="240" w:lineRule="auto"/>
              <w:jc w:val="left"/>
              <w:rPr>
                <w:bCs/>
              </w:rPr>
            </w:pPr>
            <w:r>
              <w:rPr>
                <w:bCs/>
              </w:rPr>
              <w:t>A.进出工地的物料、渣土、垃圾运输车辆的防尘措施、运输路线和时间。进出工地的物料、渣土、垃圾运输车辆，应尽可能采用密闭车斗，并保证物料不遗撒外漏。若无密闭车斗，物料、垃圾、渣土的装载高度不得超过车辆槽帮上沿，车斗应用苫布遮盖严实。苫布边缘至少要遮住槽帮上沿以下 15 厘米，保证物料、渣土、垃圾等不露出。车辆应按照批准的路线和时间进行物料、渣土、垃圾的运输。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continue"/>
            <w:tcBorders>
              <w:tl2br w:val="nil"/>
              <w:tr2bl w:val="nil"/>
            </w:tcBorders>
            <w:vAlign w:val="center"/>
          </w:tcPr>
          <w:p>
            <w:pPr>
              <w:autoSpaceDE w:val="0"/>
              <w:autoSpaceDN w:val="0"/>
              <w:spacing w:line="240" w:lineRule="auto"/>
              <w:jc w:val="center"/>
              <w:rPr>
                <w:b/>
              </w:rPr>
            </w:pPr>
          </w:p>
        </w:tc>
        <w:tc>
          <w:tcPr>
            <w:tcW w:w="8194" w:type="dxa"/>
            <w:tcBorders>
              <w:tl2br w:val="nil"/>
              <w:tr2bl w:val="nil"/>
            </w:tcBorders>
            <w:vAlign w:val="center"/>
          </w:tcPr>
          <w:p>
            <w:pPr>
              <w:autoSpaceDE w:val="0"/>
              <w:autoSpaceDN w:val="0"/>
              <w:spacing w:line="240" w:lineRule="auto"/>
              <w:jc w:val="left"/>
              <w:rPr>
                <w:bCs/>
              </w:rPr>
            </w:pPr>
            <w:r>
              <w:rPr>
                <w:bCs/>
              </w:rPr>
              <w:t>B.施工工地道路积尘清洁措施。可采用吸尘或水冲洗的方法清洁施工工地道路积尘，不得在未实施洒水等抑尘措施情况下进行直接清扫。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continue"/>
            <w:tcBorders>
              <w:tl2br w:val="nil"/>
              <w:tr2bl w:val="nil"/>
            </w:tcBorders>
            <w:vAlign w:val="center"/>
          </w:tcPr>
          <w:p>
            <w:pPr>
              <w:autoSpaceDE w:val="0"/>
              <w:autoSpaceDN w:val="0"/>
              <w:spacing w:line="240" w:lineRule="auto"/>
              <w:jc w:val="center"/>
              <w:rPr>
                <w:b/>
              </w:rPr>
            </w:pPr>
          </w:p>
        </w:tc>
        <w:tc>
          <w:tcPr>
            <w:tcW w:w="8194" w:type="dxa"/>
            <w:tcBorders>
              <w:tl2br w:val="nil"/>
              <w:tr2bl w:val="nil"/>
            </w:tcBorders>
            <w:vAlign w:val="center"/>
          </w:tcPr>
          <w:p>
            <w:pPr>
              <w:autoSpaceDE w:val="0"/>
              <w:autoSpaceDN w:val="0"/>
              <w:spacing w:line="240" w:lineRule="auto"/>
              <w:jc w:val="left"/>
              <w:rPr>
                <w:bCs/>
              </w:rPr>
            </w:pPr>
            <w:r>
              <w:rPr>
                <w:bCs/>
              </w:rPr>
              <w:t>C.施工期间需使用混凝土时，可使用预拌商品混凝土或者进行密闭搅拌并配备防尘除尘装置，不得现场露天搅拌混凝土、消化石灰及拌石灰土等。尽量采用石材、木制等成品或半成品，实施装配式施工。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continue"/>
            <w:tcBorders>
              <w:tl2br w:val="nil"/>
              <w:tr2bl w:val="nil"/>
            </w:tcBorders>
            <w:vAlign w:val="center"/>
          </w:tcPr>
          <w:p>
            <w:pPr>
              <w:autoSpaceDE w:val="0"/>
              <w:autoSpaceDN w:val="0"/>
              <w:spacing w:line="240" w:lineRule="auto"/>
              <w:jc w:val="center"/>
              <w:rPr>
                <w:b/>
              </w:rPr>
            </w:pPr>
          </w:p>
        </w:tc>
        <w:tc>
          <w:tcPr>
            <w:tcW w:w="8194" w:type="dxa"/>
            <w:tcBorders>
              <w:tl2br w:val="nil"/>
              <w:tr2bl w:val="nil"/>
            </w:tcBorders>
            <w:vAlign w:val="center"/>
          </w:tcPr>
          <w:p>
            <w:pPr>
              <w:autoSpaceDE w:val="0"/>
              <w:autoSpaceDN w:val="0"/>
              <w:spacing w:line="240" w:lineRule="auto"/>
              <w:jc w:val="left"/>
              <w:rPr>
                <w:bCs/>
              </w:rPr>
            </w:pPr>
            <w:r>
              <w:rPr>
                <w:bCs/>
              </w:rPr>
              <w:t>D.施工期间，工地内从建筑上层将具有粉尘逸散性的物料、渣土或废弃物输送至地面或地下楼层时，可从电梯孔道、建筑内部管道或密闭输送管道输送，或者打包装框搬运，不得凌空抛撒。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continue"/>
            <w:tcBorders>
              <w:tl2br w:val="nil"/>
              <w:tr2bl w:val="nil"/>
            </w:tcBorders>
            <w:vAlign w:val="center"/>
          </w:tcPr>
          <w:p>
            <w:pPr>
              <w:autoSpaceDE w:val="0"/>
              <w:autoSpaceDN w:val="0"/>
              <w:spacing w:line="240" w:lineRule="auto"/>
              <w:jc w:val="center"/>
              <w:rPr>
                <w:b/>
              </w:rPr>
            </w:pPr>
          </w:p>
        </w:tc>
        <w:tc>
          <w:tcPr>
            <w:tcW w:w="8194" w:type="dxa"/>
            <w:tcBorders>
              <w:tl2br w:val="nil"/>
              <w:tr2bl w:val="nil"/>
            </w:tcBorders>
            <w:vAlign w:val="center"/>
          </w:tcPr>
          <w:p>
            <w:pPr>
              <w:autoSpaceDE w:val="0"/>
              <w:autoSpaceDN w:val="0"/>
              <w:spacing w:line="240" w:lineRule="auto"/>
              <w:jc w:val="left"/>
              <w:rPr>
                <w:bCs/>
              </w:rPr>
            </w:pPr>
            <w:r>
              <w:rPr>
                <w:bCs/>
              </w:rPr>
              <w:t>E.工地应有专人负责逸散性材料、垃圾、渣土、裸地等密闭、覆盖、洒水作业以及车辆清洗作业等，并记录扬尘控制措施的实施情况。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continue"/>
            <w:tcBorders>
              <w:tl2br w:val="nil"/>
              <w:tr2bl w:val="nil"/>
            </w:tcBorders>
            <w:vAlign w:val="center"/>
          </w:tcPr>
          <w:p>
            <w:pPr>
              <w:autoSpaceDE w:val="0"/>
              <w:autoSpaceDN w:val="0"/>
              <w:spacing w:line="240" w:lineRule="auto"/>
              <w:jc w:val="center"/>
              <w:rPr>
                <w:b/>
              </w:rPr>
            </w:pPr>
          </w:p>
        </w:tc>
        <w:tc>
          <w:tcPr>
            <w:tcW w:w="8194" w:type="dxa"/>
            <w:tcBorders>
              <w:tl2br w:val="nil"/>
              <w:tr2bl w:val="nil"/>
            </w:tcBorders>
            <w:vAlign w:val="center"/>
          </w:tcPr>
          <w:p>
            <w:pPr>
              <w:autoSpaceDE w:val="0"/>
              <w:autoSpaceDN w:val="0"/>
              <w:spacing w:line="240" w:lineRule="auto"/>
              <w:jc w:val="left"/>
              <w:rPr>
                <w:bCs/>
              </w:rPr>
            </w:pPr>
            <w:r>
              <w:rPr>
                <w:bCs/>
              </w:rPr>
              <w:t>F.施工单位保洁责任区的范围应根据施工扬尘影响情况确定，一般设在施工工地周围 20 米范围内。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restart"/>
            <w:tcBorders>
              <w:tl2br w:val="nil"/>
              <w:tr2bl w:val="nil"/>
            </w:tcBorders>
            <w:vAlign w:val="center"/>
          </w:tcPr>
          <w:p>
            <w:pPr>
              <w:autoSpaceDE w:val="0"/>
              <w:autoSpaceDN w:val="0"/>
              <w:spacing w:line="240" w:lineRule="auto"/>
              <w:jc w:val="center"/>
              <w:rPr>
                <w:b/>
              </w:rPr>
            </w:pPr>
            <w:r>
              <w:rPr>
                <w:b/>
              </w:rPr>
              <w:t>装修材料环保措施</w:t>
            </w:r>
          </w:p>
        </w:tc>
        <w:tc>
          <w:tcPr>
            <w:tcW w:w="8194" w:type="dxa"/>
            <w:tcBorders>
              <w:tl2br w:val="nil"/>
              <w:tr2bl w:val="nil"/>
            </w:tcBorders>
            <w:vAlign w:val="center"/>
          </w:tcPr>
          <w:p>
            <w:pPr>
              <w:autoSpaceDE w:val="0"/>
              <w:autoSpaceDN w:val="0"/>
              <w:spacing w:line="240" w:lineRule="auto"/>
              <w:jc w:val="left"/>
              <w:rPr>
                <w:b/>
                <w:bCs/>
              </w:rPr>
            </w:pPr>
            <w:r>
              <w:rPr>
                <w:bCs/>
              </w:rPr>
              <w:t>A.施工阶段采用砂、石、砖、水泥、商品混凝土、预制构件和新型墙体材料等，其放射性指标限量应符合标准要求，涂料胶粘剂、阻燃剂、防水剂、防腐剂等总挥发性有机化合物（TVOC）和游离甲醛含量应符合规定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continue"/>
            <w:tcBorders>
              <w:tl2br w:val="nil"/>
              <w:tr2bl w:val="nil"/>
            </w:tcBorders>
            <w:vAlign w:val="center"/>
          </w:tcPr>
          <w:p>
            <w:pPr>
              <w:autoSpaceDE w:val="0"/>
              <w:autoSpaceDN w:val="0"/>
              <w:spacing w:line="240" w:lineRule="auto"/>
              <w:jc w:val="center"/>
              <w:rPr>
                <w:b/>
              </w:rPr>
            </w:pPr>
          </w:p>
        </w:tc>
        <w:tc>
          <w:tcPr>
            <w:tcW w:w="8194" w:type="dxa"/>
            <w:tcBorders>
              <w:tl2br w:val="nil"/>
              <w:tr2bl w:val="nil"/>
            </w:tcBorders>
            <w:vAlign w:val="center"/>
          </w:tcPr>
          <w:p>
            <w:pPr>
              <w:autoSpaceDE w:val="0"/>
              <w:autoSpaceDN w:val="0"/>
              <w:spacing w:line="240" w:lineRule="auto"/>
              <w:jc w:val="left"/>
              <w:rPr>
                <w:b/>
                <w:bCs/>
              </w:rPr>
            </w:pPr>
            <w:r>
              <w:t>B.</w:t>
            </w:r>
            <w:r>
              <w:rPr>
                <w:bCs/>
              </w:rPr>
              <w:t>进行室内装修时，应采用无污染的“绿色装修材料”和“生态装修材料”，使其对人类的生存空间、生活环境无污染。</w:t>
            </w:r>
          </w:p>
        </w:tc>
      </w:tr>
    </w:tbl>
    <w:p>
      <w:pPr>
        <w:ind w:firstLine="480" w:firstLineChars="200"/>
        <w:rPr>
          <w:sz w:val="24"/>
          <w:szCs w:val="24"/>
        </w:rPr>
      </w:pPr>
      <w:r>
        <w:rPr>
          <w:sz w:val="24"/>
          <w:szCs w:val="24"/>
        </w:rPr>
        <w:t>在严格落实以上措施后，施工期产生的大气污染将得到有效控制，对施工人员以及周边居民的影响基本在人们可接受范围之内，对区域大气环境影响不大。此外，施工期大气环境影响是暂时的、局部的，随着工程的建成完工而消失。</w:t>
      </w:r>
    </w:p>
    <w:p>
      <w:pPr>
        <w:ind w:firstLine="482" w:firstLineChars="200"/>
        <w:rPr>
          <w:b/>
          <w:sz w:val="24"/>
          <w:szCs w:val="24"/>
        </w:rPr>
      </w:pPr>
      <w:r>
        <w:rPr>
          <w:b/>
          <w:sz w:val="24"/>
          <w:szCs w:val="24"/>
        </w:rPr>
        <w:t>2、 施工期声环境影响分析</w:t>
      </w:r>
    </w:p>
    <w:p>
      <w:pPr>
        <w:autoSpaceDE w:val="0"/>
        <w:autoSpaceDN w:val="0"/>
        <w:ind w:firstLine="480" w:firstLineChars="200"/>
        <w:rPr>
          <w:sz w:val="24"/>
          <w:szCs w:val="24"/>
          <w:lang w:val="zh-CN"/>
        </w:rPr>
      </w:pPr>
      <w:r>
        <w:rPr>
          <w:sz w:val="24"/>
          <w:szCs w:val="24"/>
          <w:lang w:val="zh-CN"/>
        </w:rPr>
        <w:t>①施工期噪声特点</w:t>
      </w:r>
    </w:p>
    <w:p>
      <w:pPr>
        <w:autoSpaceDE w:val="0"/>
        <w:autoSpaceDN w:val="0"/>
        <w:ind w:firstLine="480" w:firstLineChars="200"/>
        <w:rPr>
          <w:sz w:val="24"/>
          <w:szCs w:val="24"/>
          <w:lang w:val="zh-CN"/>
        </w:rPr>
      </w:pPr>
      <w:r>
        <w:rPr>
          <w:sz w:val="24"/>
          <w:szCs w:val="24"/>
          <w:lang w:val="zh-CN"/>
        </w:rPr>
        <w:t>施工期的噪声污染特点是随着施工阶段的不同，噪声源将发生明显的变化，噪声影响程度也有所不同。高噪声施工机械相对集中于土方期和结构期，施工时间也相对较长。施工期声源都在室外，影响范围较远，装修期大部分声源在室内，有墙壁阻隔降噪。综合分析，施工噪声具有阶段性、临时性和不固定性，不同的施工设备产生的噪声不同，在多台机械设备同时作业时，各台设备产生的噪声会产生叠加。</w:t>
      </w:r>
    </w:p>
    <w:p>
      <w:pPr>
        <w:autoSpaceDE w:val="0"/>
        <w:autoSpaceDN w:val="0"/>
        <w:ind w:firstLine="480" w:firstLineChars="200"/>
        <w:rPr>
          <w:sz w:val="24"/>
          <w:szCs w:val="24"/>
          <w:lang w:val="zh-CN"/>
        </w:rPr>
      </w:pPr>
      <w:r>
        <w:rPr>
          <w:sz w:val="24"/>
          <w:szCs w:val="24"/>
          <w:lang w:val="zh-CN"/>
        </w:rPr>
        <w:t>②噪声预测模式</w:t>
      </w:r>
    </w:p>
    <w:p>
      <w:pPr>
        <w:tabs>
          <w:tab w:val="left" w:pos="540"/>
        </w:tabs>
        <w:autoSpaceDE w:val="0"/>
        <w:autoSpaceDN w:val="0"/>
        <w:ind w:firstLine="480" w:firstLineChars="200"/>
        <w:rPr>
          <w:sz w:val="24"/>
          <w:szCs w:val="24"/>
          <w:lang w:val="zh-CN"/>
        </w:rPr>
      </w:pPr>
      <w:r>
        <w:rPr>
          <w:sz w:val="24"/>
          <w:szCs w:val="24"/>
          <w:lang w:val="zh-CN"/>
        </w:rPr>
        <w:t>点声源选用半自由场点声源几何发散衰减公式和多点源相互叠加公式。</w:t>
      </w:r>
    </w:p>
    <w:p>
      <w:pPr>
        <w:autoSpaceDE w:val="0"/>
        <w:autoSpaceDN w:val="0"/>
        <w:ind w:firstLine="480" w:firstLineChars="200"/>
        <w:rPr>
          <w:sz w:val="24"/>
          <w:szCs w:val="24"/>
          <w:lang w:val="zh-CN"/>
        </w:rPr>
      </w:pPr>
      <w:r>
        <w:rPr>
          <w:sz w:val="24"/>
          <w:szCs w:val="24"/>
        </w:rPr>
        <w:t>A.</w:t>
      </w:r>
      <w:r>
        <w:rPr>
          <w:sz w:val="24"/>
          <w:szCs w:val="24"/>
          <w:lang w:val="zh-CN"/>
        </w:rPr>
        <w:t>点声源几何发散衰减模式</w:t>
      </w:r>
    </w:p>
    <w:p>
      <w:pPr>
        <w:autoSpaceDE w:val="0"/>
        <w:autoSpaceDN w:val="0"/>
        <w:ind w:firstLine="480" w:firstLineChars="200"/>
        <w:rPr>
          <w:sz w:val="24"/>
          <w:szCs w:val="24"/>
          <w:lang w:val="zh-CN"/>
        </w:rPr>
      </w:pPr>
      <w:r>
        <w:rPr>
          <w:sz w:val="24"/>
          <w:szCs w:val="24"/>
          <w:lang w:val="zh-CN"/>
        </w:rPr>
        <w:t>鉴于空气吸收引起的衰减很小，且频率、空气相对湿度等因素具有较大的不确定性，所以不考虑空气吸收引起的衰减。在本次预测中，主要考虑几何发散衰减。每个点源对预测点的声级L</w:t>
      </w:r>
      <w:r>
        <w:rPr>
          <w:sz w:val="24"/>
          <w:szCs w:val="24"/>
          <w:vertAlign w:val="subscript"/>
          <w:lang w:val="zh-CN"/>
        </w:rPr>
        <w:t>P</w:t>
      </w:r>
      <w:r>
        <w:rPr>
          <w:sz w:val="24"/>
          <w:szCs w:val="24"/>
          <w:lang w:val="zh-CN"/>
        </w:rPr>
        <w:t>按下式计算：</w:t>
      </w:r>
    </w:p>
    <w:p>
      <w:pPr>
        <w:autoSpaceDE w:val="0"/>
        <w:autoSpaceDN w:val="0"/>
        <w:spacing w:line="480" w:lineRule="exact"/>
        <w:jc w:val="center"/>
        <w:rPr>
          <w:lang w:val="zh-CN"/>
        </w:rPr>
      </w:pPr>
      <w:r>
        <w:rPr>
          <w:lang w:val="zh-CN"/>
        </w:rPr>
        <w:t>L</w:t>
      </w:r>
      <w:r>
        <w:rPr>
          <w:vertAlign w:val="subscript"/>
          <w:lang w:val="zh-CN"/>
        </w:rPr>
        <w:t>P</w:t>
      </w:r>
      <w:r>
        <w:rPr>
          <w:lang w:val="zh-CN"/>
        </w:rPr>
        <w:t xml:space="preserve"> = L</w:t>
      </w:r>
      <w:r>
        <w:rPr>
          <w:vertAlign w:val="subscript"/>
          <w:lang w:val="zh-CN"/>
        </w:rPr>
        <w:t>P0</w:t>
      </w:r>
      <w:r>
        <w:rPr>
          <w:lang w:val="zh-CN"/>
        </w:rPr>
        <w:t xml:space="preserve"> —20Lg（r/r</w:t>
      </w:r>
      <w:r>
        <w:rPr>
          <w:vertAlign w:val="subscript"/>
          <w:lang w:val="zh-CN"/>
        </w:rPr>
        <w:t>0</w:t>
      </w:r>
      <w:r>
        <w:rPr>
          <w:lang w:val="zh-CN"/>
        </w:rPr>
        <w:t>）—△L</w:t>
      </w:r>
    </w:p>
    <w:p>
      <w:pPr>
        <w:autoSpaceDE w:val="0"/>
        <w:autoSpaceDN w:val="0"/>
        <w:ind w:firstLine="480" w:firstLineChars="200"/>
        <w:rPr>
          <w:sz w:val="24"/>
          <w:szCs w:val="24"/>
          <w:lang w:val="zh-CN"/>
        </w:rPr>
      </w:pPr>
      <w:r>
        <w:rPr>
          <w:sz w:val="24"/>
          <w:szCs w:val="24"/>
          <w:lang w:val="zh-CN"/>
        </w:rPr>
        <w:t>式中 ： L</w:t>
      </w:r>
      <w:r>
        <w:rPr>
          <w:sz w:val="24"/>
          <w:szCs w:val="24"/>
          <w:vertAlign w:val="subscript"/>
          <w:lang w:val="zh-CN"/>
        </w:rPr>
        <w:t>P</w:t>
      </w:r>
      <w:r>
        <w:rPr>
          <w:sz w:val="24"/>
          <w:szCs w:val="24"/>
          <w:lang w:val="zh-CN"/>
        </w:rPr>
        <w:t xml:space="preserve"> ——距离声源r处的声级dB（A）；</w:t>
      </w:r>
    </w:p>
    <w:p>
      <w:pPr>
        <w:autoSpaceDE w:val="0"/>
        <w:autoSpaceDN w:val="0"/>
        <w:ind w:firstLine="480" w:firstLineChars="200"/>
        <w:rPr>
          <w:sz w:val="24"/>
          <w:szCs w:val="24"/>
          <w:lang w:val="zh-CN"/>
        </w:rPr>
      </w:pPr>
      <w:r>
        <w:rPr>
          <w:sz w:val="24"/>
          <w:szCs w:val="24"/>
          <w:lang w:val="zh-CN"/>
        </w:rPr>
        <w:t>L</w:t>
      </w:r>
      <w:r>
        <w:rPr>
          <w:sz w:val="24"/>
          <w:szCs w:val="24"/>
          <w:vertAlign w:val="subscript"/>
          <w:lang w:val="zh-CN"/>
        </w:rPr>
        <w:t xml:space="preserve">P0 </w:t>
      </w:r>
      <w:r>
        <w:rPr>
          <w:sz w:val="24"/>
          <w:szCs w:val="24"/>
          <w:lang w:val="zh-CN"/>
        </w:rPr>
        <w:t>——距离声源r</w:t>
      </w:r>
      <w:r>
        <w:rPr>
          <w:sz w:val="24"/>
          <w:szCs w:val="24"/>
          <w:vertAlign w:val="subscript"/>
          <w:lang w:val="zh-CN"/>
        </w:rPr>
        <w:t>0</w:t>
      </w:r>
      <w:r>
        <w:rPr>
          <w:sz w:val="24"/>
          <w:szCs w:val="24"/>
          <w:lang w:val="zh-CN"/>
        </w:rPr>
        <w:t>处的声级dB（A）；</w:t>
      </w:r>
    </w:p>
    <w:p>
      <w:pPr>
        <w:autoSpaceDE w:val="0"/>
        <w:autoSpaceDN w:val="0"/>
        <w:ind w:firstLine="480" w:firstLineChars="200"/>
        <w:rPr>
          <w:sz w:val="24"/>
          <w:szCs w:val="24"/>
          <w:lang w:val="zh-CN"/>
        </w:rPr>
      </w:pPr>
      <w:r>
        <w:rPr>
          <w:sz w:val="24"/>
          <w:szCs w:val="24"/>
          <w:lang w:val="zh-CN"/>
        </w:rPr>
        <w:t>r  ——预测点与声源之间的距离，m；</w:t>
      </w:r>
    </w:p>
    <w:p>
      <w:pPr>
        <w:autoSpaceDE w:val="0"/>
        <w:autoSpaceDN w:val="0"/>
        <w:ind w:firstLine="480" w:firstLineChars="200"/>
        <w:rPr>
          <w:sz w:val="24"/>
          <w:szCs w:val="24"/>
          <w:lang w:val="zh-CN"/>
        </w:rPr>
      </w:pPr>
      <w:r>
        <w:rPr>
          <w:sz w:val="24"/>
          <w:szCs w:val="24"/>
          <w:lang w:val="zh-CN"/>
        </w:rPr>
        <w:t>r</w:t>
      </w:r>
      <w:r>
        <w:rPr>
          <w:sz w:val="24"/>
          <w:szCs w:val="24"/>
          <w:vertAlign w:val="subscript"/>
          <w:lang w:val="zh-CN"/>
        </w:rPr>
        <w:t xml:space="preserve">0  </w:t>
      </w:r>
      <w:r>
        <w:rPr>
          <w:sz w:val="24"/>
          <w:szCs w:val="24"/>
          <w:lang w:val="zh-CN"/>
        </w:rPr>
        <w:t>——参考处与声源之间的距离，m；</w:t>
      </w:r>
    </w:p>
    <w:p>
      <w:pPr>
        <w:autoSpaceDE w:val="0"/>
        <w:autoSpaceDN w:val="0"/>
        <w:ind w:firstLine="480" w:firstLineChars="200"/>
        <w:rPr>
          <w:sz w:val="24"/>
          <w:szCs w:val="24"/>
          <w:lang w:val="zh-CN"/>
        </w:rPr>
      </w:pPr>
      <w:r>
        <w:rPr>
          <w:sz w:val="24"/>
          <w:szCs w:val="24"/>
          <w:lang w:val="zh-CN"/>
        </w:rPr>
        <w:t>△L——声屏障等引起的噪声衰减量dB（A）。</w:t>
      </w:r>
    </w:p>
    <w:p>
      <w:pPr>
        <w:autoSpaceDE w:val="0"/>
        <w:autoSpaceDN w:val="0"/>
        <w:ind w:firstLine="480" w:firstLineChars="200"/>
        <w:rPr>
          <w:sz w:val="24"/>
          <w:szCs w:val="24"/>
          <w:lang w:val="zh-CN"/>
        </w:rPr>
      </w:pPr>
      <w:r>
        <w:rPr>
          <w:sz w:val="24"/>
          <w:szCs w:val="24"/>
        </w:rPr>
        <w:t>B.</w:t>
      </w:r>
      <w:r>
        <w:rPr>
          <w:sz w:val="24"/>
          <w:szCs w:val="24"/>
          <w:lang w:val="zh-CN"/>
        </w:rPr>
        <w:t>多点源声级迭加模式</w:t>
      </w:r>
    </w:p>
    <w:p>
      <w:pPr>
        <w:autoSpaceDE w:val="0"/>
        <w:autoSpaceDN w:val="0"/>
        <w:ind w:firstLine="480" w:firstLineChars="200"/>
        <w:rPr>
          <w:sz w:val="24"/>
          <w:szCs w:val="24"/>
          <w:lang w:val="zh-CN"/>
        </w:rPr>
      </w:pPr>
      <w:r>
        <w:rPr>
          <w:sz w:val="24"/>
          <w:szCs w:val="24"/>
          <w:lang w:val="zh-CN"/>
        </w:rPr>
        <w:t>多个点源在预测点产生的总等效声级[L</w:t>
      </w:r>
      <w:r>
        <w:rPr>
          <w:sz w:val="24"/>
          <w:szCs w:val="24"/>
          <w:vertAlign w:val="subscript"/>
          <w:lang w:val="zh-CN"/>
        </w:rPr>
        <w:t>eq</w:t>
      </w:r>
      <w:r>
        <w:rPr>
          <w:sz w:val="24"/>
          <w:szCs w:val="24"/>
          <w:lang w:val="zh-CN"/>
        </w:rPr>
        <w:t>（总）]采用以下计算公式：</w:t>
      </w:r>
    </w:p>
    <w:p>
      <w:pPr>
        <w:autoSpaceDE w:val="0"/>
        <w:autoSpaceDN w:val="0"/>
        <w:ind w:firstLine="480" w:firstLineChars="200"/>
        <w:jc w:val="center"/>
        <w:rPr>
          <w:sz w:val="24"/>
          <w:szCs w:val="24"/>
        </w:rPr>
      </w:pPr>
      <w:r>
        <w:rPr>
          <w:sz w:val="24"/>
          <w:szCs w:val="24"/>
        </w:rPr>
        <w:t>L</w:t>
      </w:r>
      <w:r>
        <w:rPr>
          <w:sz w:val="24"/>
          <w:szCs w:val="24"/>
          <w:vertAlign w:val="subscript"/>
        </w:rPr>
        <w:t>eq</w:t>
      </w:r>
      <w:r>
        <w:rPr>
          <w:sz w:val="24"/>
          <w:szCs w:val="24"/>
        </w:rPr>
        <w:t>=10Lg[</w:t>
      </w:r>
      <w:r>
        <w:rPr>
          <w:position w:val="-28"/>
          <w:sz w:val="24"/>
          <w:szCs w:val="24"/>
        </w:rPr>
        <w:object>
          <v:shape id="_x0000_i1047" o:spt="75" type="#_x0000_t75" style="height:37.85pt;width:13.55pt;" o:ole="t" filled="f" o:preferrelative="t" stroked="f" coordsize="21600,21600">
            <v:path/>
            <v:fill on="f" focussize="0,0"/>
            <v:stroke on="f" joinstyle="miter"/>
            <v:imagedata r:id="rId30" o:title=""/>
            <o:lock v:ext="edit" aspectratio="t"/>
            <w10:wrap type="none"/>
            <w10:anchorlock/>
          </v:shape>
          <o:OLEObject Type="Embed" ProgID="Equation.3" ShapeID="_x0000_i1047" DrawAspect="Content" ObjectID="_1468075747" r:id="rId72">
            <o:LockedField>false</o:LockedField>
          </o:OLEObject>
        </w:object>
      </w:r>
      <w:r>
        <w:rPr>
          <w:sz w:val="24"/>
          <w:szCs w:val="24"/>
        </w:rPr>
        <w:t>10</w:t>
      </w:r>
      <w:r>
        <w:rPr>
          <w:sz w:val="24"/>
          <w:szCs w:val="24"/>
          <w:vertAlign w:val="superscript"/>
        </w:rPr>
        <w:t>0.1Leqi</w:t>
      </w:r>
      <w:r>
        <w:rPr>
          <w:sz w:val="24"/>
          <w:szCs w:val="24"/>
        </w:rPr>
        <w:t>]</w:t>
      </w:r>
    </w:p>
    <w:p>
      <w:pPr>
        <w:autoSpaceDE w:val="0"/>
        <w:autoSpaceDN w:val="0"/>
        <w:ind w:firstLine="480" w:firstLineChars="200"/>
        <w:rPr>
          <w:sz w:val="24"/>
          <w:szCs w:val="24"/>
          <w:lang w:val="zh-CN"/>
        </w:rPr>
      </w:pPr>
      <w:r>
        <w:rPr>
          <w:sz w:val="24"/>
          <w:szCs w:val="24"/>
          <w:lang w:val="zh-CN"/>
        </w:rPr>
        <w:t xml:space="preserve"> 式中：L</w:t>
      </w:r>
      <w:r>
        <w:rPr>
          <w:sz w:val="24"/>
          <w:szCs w:val="24"/>
          <w:vertAlign w:val="subscript"/>
          <w:lang w:val="zh-CN"/>
        </w:rPr>
        <w:t>eq</w:t>
      </w:r>
      <w:r>
        <w:rPr>
          <w:sz w:val="24"/>
          <w:szCs w:val="24"/>
          <w:lang w:val="zh-CN"/>
        </w:rPr>
        <w:t>（总）——预测点的总等效声级dB（A）；</w:t>
      </w:r>
    </w:p>
    <w:p>
      <w:pPr>
        <w:autoSpaceDE w:val="0"/>
        <w:autoSpaceDN w:val="0"/>
        <w:ind w:firstLine="480" w:firstLineChars="200"/>
        <w:rPr>
          <w:sz w:val="24"/>
          <w:szCs w:val="24"/>
          <w:lang w:val="zh-CN"/>
        </w:rPr>
      </w:pPr>
      <w:r>
        <w:rPr>
          <w:sz w:val="24"/>
          <w:szCs w:val="24"/>
          <w:lang w:val="zh-CN"/>
        </w:rPr>
        <w:t>L</w:t>
      </w:r>
      <w:r>
        <w:rPr>
          <w:sz w:val="24"/>
          <w:szCs w:val="24"/>
          <w:vertAlign w:val="subscript"/>
          <w:lang w:val="zh-CN"/>
        </w:rPr>
        <w:t>eqi</w:t>
      </w:r>
      <w:r>
        <w:rPr>
          <w:sz w:val="24"/>
          <w:szCs w:val="24"/>
          <w:lang w:val="zh-CN"/>
        </w:rPr>
        <w:t>——第i个声源对某个预测点的等效声级dB（A）；</w:t>
      </w:r>
    </w:p>
    <w:p>
      <w:pPr>
        <w:autoSpaceDE w:val="0"/>
        <w:autoSpaceDN w:val="0"/>
        <w:ind w:firstLine="480" w:firstLineChars="200"/>
        <w:rPr>
          <w:sz w:val="24"/>
          <w:szCs w:val="24"/>
          <w:lang w:val="zh-CN"/>
        </w:rPr>
      </w:pPr>
      <w:r>
        <w:rPr>
          <w:sz w:val="24"/>
          <w:szCs w:val="24"/>
          <w:lang w:val="zh-CN"/>
        </w:rPr>
        <w:t>n——噪声源数。</w:t>
      </w:r>
    </w:p>
    <w:p>
      <w:pPr>
        <w:pStyle w:val="13"/>
        <w:ind w:firstLine="480" w:firstLineChars="200"/>
        <w:rPr>
          <w:rFonts w:ascii="Times New Roman" w:hAnsi="Times New Roman"/>
          <w:sz w:val="24"/>
          <w:szCs w:val="24"/>
        </w:rPr>
      </w:pPr>
      <w:r>
        <w:rPr>
          <w:rFonts w:ascii="Times New Roman" w:hAnsi="Times New Roman"/>
          <w:sz w:val="24"/>
          <w:szCs w:val="24"/>
        </w:rPr>
        <w:t>C.主要噪声源强</w:t>
      </w:r>
    </w:p>
    <w:p>
      <w:pPr>
        <w:pStyle w:val="13"/>
        <w:spacing w:line="480" w:lineRule="exact"/>
        <w:ind w:firstLine="482" w:firstLineChars="200"/>
        <w:jc w:val="center"/>
        <w:rPr>
          <w:rFonts w:ascii="Times New Roman" w:hAnsi="Times New Roman"/>
          <w:b/>
          <w:sz w:val="24"/>
        </w:rPr>
      </w:pPr>
      <w:r>
        <w:rPr>
          <w:rFonts w:ascii="Times New Roman" w:hAnsi="Times New Roman"/>
          <w:b/>
          <w:sz w:val="24"/>
        </w:rPr>
        <w:t xml:space="preserve">                表6</w:t>
      </w:r>
      <w:r>
        <w:rPr>
          <w:rFonts w:hint="eastAsia" w:ascii="Times New Roman" w:hAnsi="Times New Roman"/>
          <w:b/>
          <w:sz w:val="24"/>
          <w:lang w:val="en-US" w:eastAsia="zh-CN"/>
        </w:rPr>
        <w:t>.</w:t>
      </w:r>
      <w:r>
        <w:rPr>
          <w:rFonts w:ascii="Times New Roman" w:hAnsi="Times New Roman"/>
          <w:b/>
          <w:sz w:val="24"/>
        </w:rPr>
        <w:t xml:space="preserve">2-2  建筑施工机械噪声声级       </w:t>
      </w:r>
      <w:r>
        <w:rPr>
          <w:rFonts w:ascii="Times New Roman" w:hAnsi="Times New Roman"/>
          <w:bCs/>
          <w:sz w:val="24"/>
        </w:rPr>
        <w:t xml:space="preserve">       单位：dB（A）</w:t>
      </w:r>
    </w:p>
    <w:tbl>
      <w:tblPr>
        <w:tblStyle w:val="22"/>
        <w:tblW w:w="8635"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964"/>
        <w:gridCol w:w="3107"/>
        <w:gridCol w:w="256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97" w:hRule="exact"/>
          <w:jc w:val="center"/>
        </w:trPr>
        <w:tc>
          <w:tcPr>
            <w:tcW w:w="2964" w:type="dxa"/>
            <w:tcBorders>
              <w:tl2br w:val="nil"/>
              <w:tr2bl w:val="nil"/>
            </w:tcBorders>
            <w:vAlign w:val="center"/>
          </w:tcPr>
          <w:p>
            <w:pPr>
              <w:autoSpaceDE w:val="0"/>
              <w:autoSpaceDN w:val="0"/>
              <w:spacing w:line="240" w:lineRule="auto"/>
              <w:jc w:val="center"/>
              <w:rPr>
                <w:lang w:val="zh-CN"/>
              </w:rPr>
            </w:pPr>
            <w:r>
              <w:rPr>
                <w:lang w:val="zh-CN"/>
              </w:rPr>
              <w:t>设备名称</w:t>
            </w:r>
          </w:p>
        </w:tc>
        <w:tc>
          <w:tcPr>
            <w:tcW w:w="3107" w:type="dxa"/>
            <w:tcBorders>
              <w:tl2br w:val="nil"/>
              <w:tr2bl w:val="nil"/>
            </w:tcBorders>
            <w:vAlign w:val="center"/>
          </w:tcPr>
          <w:p>
            <w:pPr>
              <w:autoSpaceDE w:val="0"/>
              <w:autoSpaceDN w:val="0"/>
              <w:spacing w:line="240" w:lineRule="auto"/>
              <w:jc w:val="center"/>
              <w:rPr>
                <w:lang w:val="zh-CN"/>
              </w:rPr>
            </w:pPr>
            <w:r>
              <w:rPr>
                <w:lang w:val="zh-CN"/>
              </w:rPr>
              <w:t>声级/距离[dB（A）/m]</w:t>
            </w:r>
          </w:p>
        </w:tc>
        <w:tc>
          <w:tcPr>
            <w:tcW w:w="2564" w:type="dxa"/>
            <w:tcBorders>
              <w:tl2br w:val="nil"/>
              <w:tr2bl w:val="nil"/>
            </w:tcBorders>
            <w:vAlign w:val="center"/>
          </w:tcPr>
          <w:p>
            <w:pPr>
              <w:autoSpaceDE w:val="0"/>
              <w:autoSpaceDN w:val="0"/>
              <w:spacing w:line="240" w:lineRule="auto"/>
              <w:jc w:val="center"/>
              <w:rPr>
                <w:lang w:val="zh-CN"/>
              </w:rPr>
            </w:pPr>
            <w:r>
              <w:rPr>
                <w:lang w:val="zh-CN"/>
              </w:rPr>
              <w:t>指向性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20" w:hRule="exact"/>
          <w:jc w:val="center"/>
        </w:trPr>
        <w:tc>
          <w:tcPr>
            <w:tcW w:w="2964" w:type="dxa"/>
            <w:tcBorders>
              <w:tl2br w:val="nil"/>
              <w:tr2bl w:val="nil"/>
            </w:tcBorders>
            <w:vAlign w:val="center"/>
          </w:tcPr>
          <w:p>
            <w:pPr>
              <w:autoSpaceDE w:val="0"/>
              <w:autoSpaceDN w:val="0"/>
              <w:spacing w:line="240" w:lineRule="auto"/>
              <w:jc w:val="center"/>
            </w:pPr>
            <w:r>
              <w:t>190</w:t>
            </w:r>
            <w:r>
              <w:rPr>
                <w:lang w:val="zh-CN"/>
              </w:rPr>
              <w:t>翻斗车</w:t>
            </w:r>
          </w:p>
        </w:tc>
        <w:tc>
          <w:tcPr>
            <w:tcW w:w="3107" w:type="dxa"/>
            <w:tcBorders>
              <w:tl2br w:val="nil"/>
              <w:tr2bl w:val="nil"/>
            </w:tcBorders>
            <w:vAlign w:val="center"/>
          </w:tcPr>
          <w:p>
            <w:pPr>
              <w:autoSpaceDE w:val="0"/>
              <w:autoSpaceDN w:val="0"/>
              <w:spacing w:line="240" w:lineRule="auto"/>
              <w:jc w:val="center"/>
            </w:pPr>
            <w:r>
              <w:t>82.0/5</w:t>
            </w:r>
          </w:p>
        </w:tc>
        <w:tc>
          <w:tcPr>
            <w:tcW w:w="2564" w:type="dxa"/>
            <w:tcBorders>
              <w:tl2br w:val="nil"/>
              <w:tr2bl w:val="nil"/>
            </w:tcBorders>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12" w:hRule="exact"/>
          <w:jc w:val="center"/>
        </w:trPr>
        <w:tc>
          <w:tcPr>
            <w:tcW w:w="2964" w:type="dxa"/>
            <w:tcBorders>
              <w:tl2br w:val="nil"/>
              <w:tr2bl w:val="nil"/>
            </w:tcBorders>
            <w:vAlign w:val="center"/>
          </w:tcPr>
          <w:p>
            <w:pPr>
              <w:autoSpaceDE w:val="0"/>
              <w:autoSpaceDN w:val="0"/>
              <w:spacing w:line="240" w:lineRule="auto"/>
              <w:jc w:val="center"/>
            </w:pPr>
            <w:r>
              <w:t>ZL—90</w:t>
            </w:r>
            <w:r>
              <w:rPr>
                <w:lang w:val="zh-CN"/>
              </w:rPr>
              <w:t>装载机</w:t>
            </w:r>
          </w:p>
        </w:tc>
        <w:tc>
          <w:tcPr>
            <w:tcW w:w="3107" w:type="dxa"/>
            <w:tcBorders>
              <w:tl2br w:val="nil"/>
              <w:tr2bl w:val="nil"/>
            </w:tcBorders>
            <w:vAlign w:val="center"/>
          </w:tcPr>
          <w:p>
            <w:pPr>
              <w:autoSpaceDE w:val="0"/>
              <w:autoSpaceDN w:val="0"/>
              <w:spacing w:line="240" w:lineRule="auto"/>
              <w:jc w:val="center"/>
            </w:pPr>
            <w:r>
              <w:t>82.0/5</w:t>
            </w:r>
          </w:p>
        </w:tc>
        <w:tc>
          <w:tcPr>
            <w:tcW w:w="2564" w:type="dxa"/>
            <w:tcBorders>
              <w:tl2br w:val="nil"/>
              <w:tr2bl w:val="nil"/>
            </w:tcBorders>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01" w:hRule="exact"/>
          <w:jc w:val="center"/>
        </w:trPr>
        <w:tc>
          <w:tcPr>
            <w:tcW w:w="2964" w:type="dxa"/>
            <w:tcBorders>
              <w:tl2br w:val="nil"/>
              <w:tr2bl w:val="nil"/>
            </w:tcBorders>
            <w:vAlign w:val="center"/>
          </w:tcPr>
          <w:p>
            <w:pPr>
              <w:autoSpaceDE w:val="0"/>
              <w:autoSpaceDN w:val="0"/>
              <w:spacing w:line="240" w:lineRule="auto"/>
              <w:jc w:val="center"/>
            </w:pPr>
            <w:r>
              <w:t>75</w:t>
            </w:r>
            <w:r>
              <w:rPr>
                <w:lang w:val="zh-CN"/>
              </w:rPr>
              <w:t>马力推土机</w:t>
            </w:r>
          </w:p>
        </w:tc>
        <w:tc>
          <w:tcPr>
            <w:tcW w:w="3107" w:type="dxa"/>
            <w:tcBorders>
              <w:tl2br w:val="nil"/>
              <w:tr2bl w:val="nil"/>
            </w:tcBorders>
            <w:vAlign w:val="center"/>
          </w:tcPr>
          <w:p>
            <w:pPr>
              <w:autoSpaceDE w:val="0"/>
              <w:autoSpaceDN w:val="0"/>
              <w:spacing w:line="240" w:lineRule="auto"/>
              <w:jc w:val="center"/>
            </w:pPr>
            <w:r>
              <w:t>86.0/5</w:t>
            </w:r>
          </w:p>
        </w:tc>
        <w:tc>
          <w:tcPr>
            <w:tcW w:w="2564" w:type="dxa"/>
            <w:tcBorders>
              <w:tl2br w:val="nil"/>
              <w:tr2bl w:val="nil"/>
            </w:tcBorders>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97" w:hRule="exact"/>
          <w:jc w:val="center"/>
        </w:trPr>
        <w:tc>
          <w:tcPr>
            <w:tcW w:w="2964" w:type="dxa"/>
            <w:tcBorders>
              <w:tl2br w:val="nil"/>
              <w:tr2bl w:val="nil"/>
            </w:tcBorders>
            <w:vAlign w:val="center"/>
          </w:tcPr>
          <w:p>
            <w:pPr>
              <w:autoSpaceDE w:val="0"/>
              <w:autoSpaceDN w:val="0"/>
              <w:spacing w:line="240" w:lineRule="auto"/>
              <w:jc w:val="center"/>
            </w:pPr>
            <w:r>
              <w:t>UB1232</w:t>
            </w:r>
            <w:r>
              <w:rPr>
                <w:lang w:val="zh-CN"/>
              </w:rPr>
              <w:t>挖掘机</w:t>
            </w:r>
          </w:p>
        </w:tc>
        <w:tc>
          <w:tcPr>
            <w:tcW w:w="3107" w:type="dxa"/>
            <w:tcBorders>
              <w:tl2br w:val="nil"/>
              <w:tr2bl w:val="nil"/>
            </w:tcBorders>
            <w:vAlign w:val="center"/>
          </w:tcPr>
          <w:p>
            <w:pPr>
              <w:autoSpaceDE w:val="0"/>
              <w:autoSpaceDN w:val="0"/>
              <w:spacing w:line="240" w:lineRule="auto"/>
              <w:jc w:val="center"/>
            </w:pPr>
            <w:r>
              <w:t>84.0/5</w:t>
            </w:r>
          </w:p>
        </w:tc>
        <w:tc>
          <w:tcPr>
            <w:tcW w:w="2564" w:type="dxa"/>
            <w:tcBorders>
              <w:tl2br w:val="nil"/>
              <w:tr2bl w:val="nil"/>
            </w:tcBorders>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98" w:hRule="exact"/>
          <w:jc w:val="center"/>
        </w:trPr>
        <w:tc>
          <w:tcPr>
            <w:tcW w:w="2964" w:type="dxa"/>
            <w:tcBorders>
              <w:tl2br w:val="nil"/>
              <w:tr2bl w:val="nil"/>
            </w:tcBorders>
            <w:vAlign w:val="center"/>
          </w:tcPr>
          <w:p>
            <w:pPr>
              <w:autoSpaceDE w:val="0"/>
              <w:autoSpaceDN w:val="0"/>
              <w:spacing w:line="240" w:lineRule="auto"/>
              <w:jc w:val="center"/>
            </w:pPr>
            <w:r>
              <w:t>Py160A</w:t>
            </w:r>
            <w:r>
              <w:rPr>
                <w:lang w:val="zh-CN"/>
              </w:rPr>
              <w:t>平地机</w:t>
            </w:r>
          </w:p>
        </w:tc>
        <w:tc>
          <w:tcPr>
            <w:tcW w:w="3107" w:type="dxa"/>
            <w:tcBorders>
              <w:tl2br w:val="nil"/>
              <w:tr2bl w:val="nil"/>
            </w:tcBorders>
            <w:vAlign w:val="center"/>
          </w:tcPr>
          <w:p>
            <w:pPr>
              <w:autoSpaceDE w:val="0"/>
              <w:autoSpaceDN w:val="0"/>
              <w:spacing w:line="240" w:lineRule="auto"/>
              <w:jc w:val="center"/>
            </w:pPr>
            <w:r>
              <w:t>87.0/5</w:t>
            </w:r>
          </w:p>
        </w:tc>
        <w:tc>
          <w:tcPr>
            <w:tcW w:w="2564" w:type="dxa"/>
            <w:tcBorders>
              <w:tl2br w:val="nil"/>
              <w:tr2bl w:val="nil"/>
            </w:tcBorders>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99" w:hRule="exact"/>
          <w:jc w:val="center"/>
        </w:trPr>
        <w:tc>
          <w:tcPr>
            <w:tcW w:w="2964" w:type="dxa"/>
            <w:tcBorders>
              <w:tl2br w:val="nil"/>
              <w:tr2bl w:val="nil"/>
            </w:tcBorders>
            <w:vAlign w:val="center"/>
          </w:tcPr>
          <w:p>
            <w:pPr>
              <w:autoSpaceDE w:val="0"/>
              <w:autoSpaceDN w:val="0"/>
              <w:spacing w:line="240" w:lineRule="auto"/>
              <w:jc w:val="center"/>
            </w:pPr>
            <w:r>
              <w:t>静压式打桩机</w:t>
            </w:r>
          </w:p>
        </w:tc>
        <w:tc>
          <w:tcPr>
            <w:tcW w:w="3107" w:type="dxa"/>
            <w:tcBorders>
              <w:tl2br w:val="nil"/>
              <w:tr2bl w:val="nil"/>
            </w:tcBorders>
            <w:vAlign w:val="center"/>
          </w:tcPr>
          <w:p>
            <w:pPr>
              <w:autoSpaceDE w:val="0"/>
              <w:autoSpaceDN w:val="0"/>
              <w:spacing w:line="240" w:lineRule="auto"/>
              <w:jc w:val="center"/>
            </w:pPr>
            <w:r>
              <w:t>90.0/5</w:t>
            </w:r>
          </w:p>
        </w:tc>
        <w:tc>
          <w:tcPr>
            <w:tcW w:w="2564" w:type="dxa"/>
            <w:tcBorders>
              <w:tl2br w:val="nil"/>
              <w:tr2bl w:val="nil"/>
            </w:tcBorders>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91" w:hRule="exact"/>
          <w:jc w:val="center"/>
        </w:trPr>
        <w:tc>
          <w:tcPr>
            <w:tcW w:w="2964" w:type="dxa"/>
            <w:tcBorders>
              <w:tl2br w:val="nil"/>
              <w:tr2bl w:val="nil"/>
            </w:tcBorders>
            <w:vAlign w:val="center"/>
          </w:tcPr>
          <w:p>
            <w:pPr>
              <w:autoSpaceDE w:val="0"/>
              <w:autoSpaceDN w:val="0"/>
              <w:spacing w:line="240" w:lineRule="auto"/>
              <w:jc w:val="center"/>
            </w:pPr>
            <w:r>
              <w:t>振捣棒</w:t>
            </w:r>
          </w:p>
        </w:tc>
        <w:tc>
          <w:tcPr>
            <w:tcW w:w="3107" w:type="dxa"/>
            <w:tcBorders>
              <w:tl2br w:val="nil"/>
              <w:tr2bl w:val="nil"/>
            </w:tcBorders>
            <w:vAlign w:val="center"/>
          </w:tcPr>
          <w:p>
            <w:pPr>
              <w:autoSpaceDE w:val="0"/>
              <w:autoSpaceDN w:val="0"/>
              <w:spacing w:line="240" w:lineRule="auto"/>
              <w:jc w:val="center"/>
            </w:pPr>
            <w:r>
              <w:t>82.0/5</w:t>
            </w:r>
          </w:p>
        </w:tc>
        <w:tc>
          <w:tcPr>
            <w:tcW w:w="2564" w:type="dxa"/>
            <w:tcBorders>
              <w:tl2br w:val="nil"/>
              <w:tr2bl w:val="nil"/>
            </w:tcBorders>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97" w:hRule="exact"/>
          <w:jc w:val="center"/>
        </w:trPr>
        <w:tc>
          <w:tcPr>
            <w:tcW w:w="2964" w:type="dxa"/>
            <w:tcBorders>
              <w:tl2br w:val="nil"/>
              <w:tr2bl w:val="nil"/>
            </w:tcBorders>
            <w:vAlign w:val="center"/>
          </w:tcPr>
          <w:p>
            <w:pPr>
              <w:autoSpaceDE w:val="0"/>
              <w:autoSpaceDN w:val="0"/>
              <w:spacing w:line="240" w:lineRule="auto"/>
              <w:jc w:val="center"/>
            </w:pPr>
            <w:r>
              <w:t>砼输送泵</w:t>
            </w:r>
          </w:p>
        </w:tc>
        <w:tc>
          <w:tcPr>
            <w:tcW w:w="3107" w:type="dxa"/>
            <w:tcBorders>
              <w:tl2br w:val="nil"/>
              <w:tr2bl w:val="nil"/>
            </w:tcBorders>
            <w:vAlign w:val="center"/>
          </w:tcPr>
          <w:p>
            <w:pPr>
              <w:autoSpaceDE w:val="0"/>
              <w:autoSpaceDN w:val="0"/>
              <w:spacing w:line="240" w:lineRule="auto"/>
              <w:jc w:val="center"/>
            </w:pPr>
            <w:r>
              <w:t>87.0/5</w:t>
            </w:r>
          </w:p>
        </w:tc>
        <w:tc>
          <w:tcPr>
            <w:tcW w:w="2564" w:type="dxa"/>
            <w:tcBorders>
              <w:tl2br w:val="nil"/>
              <w:tr2bl w:val="nil"/>
            </w:tcBorders>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59" w:hRule="exact"/>
          <w:jc w:val="center"/>
        </w:trPr>
        <w:tc>
          <w:tcPr>
            <w:tcW w:w="2964" w:type="dxa"/>
            <w:tcBorders>
              <w:tl2br w:val="nil"/>
              <w:tr2bl w:val="nil"/>
            </w:tcBorders>
            <w:vAlign w:val="center"/>
          </w:tcPr>
          <w:p>
            <w:pPr>
              <w:autoSpaceDE w:val="0"/>
              <w:autoSpaceDN w:val="0"/>
              <w:spacing w:line="240" w:lineRule="auto"/>
              <w:jc w:val="center"/>
            </w:pPr>
            <w:r>
              <w:t>切割机</w:t>
            </w:r>
          </w:p>
        </w:tc>
        <w:tc>
          <w:tcPr>
            <w:tcW w:w="3107" w:type="dxa"/>
            <w:tcBorders>
              <w:tl2br w:val="nil"/>
              <w:tr2bl w:val="nil"/>
            </w:tcBorders>
            <w:vAlign w:val="center"/>
          </w:tcPr>
          <w:p>
            <w:pPr>
              <w:autoSpaceDE w:val="0"/>
              <w:autoSpaceDN w:val="0"/>
              <w:spacing w:line="240" w:lineRule="auto"/>
              <w:jc w:val="center"/>
            </w:pPr>
            <w:r>
              <w:t>82.0/5</w:t>
            </w:r>
          </w:p>
        </w:tc>
        <w:tc>
          <w:tcPr>
            <w:tcW w:w="2564" w:type="dxa"/>
            <w:tcBorders>
              <w:tl2br w:val="nil"/>
              <w:tr2bl w:val="nil"/>
            </w:tcBorders>
            <w:vAlign w:val="center"/>
          </w:tcPr>
          <w:p>
            <w:pPr>
              <w:autoSpaceDE w:val="0"/>
              <w:autoSpaceDN w:val="0"/>
              <w:spacing w:line="240" w:lineRule="auto"/>
              <w:jc w:val="center"/>
              <w:rPr>
                <w:lang w:val="zh-CN"/>
              </w:rPr>
            </w:pPr>
            <w:r>
              <w:rPr>
                <w:lang w:val="zh-CN"/>
              </w:rPr>
              <w:t>有指向性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06" w:hRule="exact"/>
          <w:jc w:val="center"/>
        </w:trPr>
        <w:tc>
          <w:tcPr>
            <w:tcW w:w="2964" w:type="dxa"/>
            <w:tcBorders>
              <w:tl2br w:val="nil"/>
              <w:tr2bl w:val="nil"/>
            </w:tcBorders>
            <w:vAlign w:val="center"/>
          </w:tcPr>
          <w:p>
            <w:pPr>
              <w:autoSpaceDE w:val="0"/>
              <w:autoSpaceDN w:val="0"/>
              <w:spacing w:line="240" w:lineRule="auto"/>
              <w:jc w:val="center"/>
            </w:pPr>
            <w:r>
              <w:t>磨石机</w:t>
            </w:r>
          </w:p>
        </w:tc>
        <w:tc>
          <w:tcPr>
            <w:tcW w:w="3107" w:type="dxa"/>
            <w:tcBorders>
              <w:tl2br w:val="nil"/>
              <w:tr2bl w:val="nil"/>
            </w:tcBorders>
            <w:vAlign w:val="center"/>
          </w:tcPr>
          <w:p>
            <w:pPr>
              <w:autoSpaceDE w:val="0"/>
              <w:autoSpaceDN w:val="0"/>
              <w:spacing w:line="240" w:lineRule="auto"/>
              <w:jc w:val="center"/>
            </w:pPr>
            <w:r>
              <w:t>82.0/5</w:t>
            </w:r>
          </w:p>
        </w:tc>
        <w:tc>
          <w:tcPr>
            <w:tcW w:w="2564" w:type="dxa"/>
            <w:tcBorders>
              <w:tl2br w:val="nil"/>
              <w:tr2bl w:val="nil"/>
            </w:tcBorders>
            <w:vAlign w:val="center"/>
          </w:tcPr>
          <w:p>
            <w:pPr>
              <w:autoSpaceDE w:val="0"/>
              <w:autoSpaceDN w:val="0"/>
              <w:spacing w:line="240" w:lineRule="auto"/>
              <w:jc w:val="center"/>
              <w:rPr>
                <w:lang w:val="zh-CN"/>
              </w:rPr>
            </w:pPr>
            <w:r>
              <w:rPr>
                <w:lang w:val="zh-CN"/>
              </w:rPr>
              <w:t>无</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99" w:hRule="exact"/>
          <w:jc w:val="center"/>
        </w:trPr>
        <w:tc>
          <w:tcPr>
            <w:tcW w:w="2964" w:type="dxa"/>
            <w:tcBorders>
              <w:tl2br w:val="nil"/>
              <w:tr2bl w:val="nil"/>
            </w:tcBorders>
            <w:vAlign w:val="center"/>
          </w:tcPr>
          <w:p>
            <w:pPr>
              <w:autoSpaceDE w:val="0"/>
              <w:autoSpaceDN w:val="0"/>
              <w:spacing w:line="240" w:lineRule="auto"/>
              <w:jc w:val="center"/>
            </w:pPr>
            <w:r>
              <w:t>砂轮锯</w:t>
            </w:r>
          </w:p>
        </w:tc>
        <w:tc>
          <w:tcPr>
            <w:tcW w:w="3107" w:type="dxa"/>
            <w:tcBorders>
              <w:tl2br w:val="nil"/>
              <w:tr2bl w:val="nil"/>
            </w:tcBorders>
            <w:vAlign w:val="center"/>
          </w:tcPr>
          <w:p>
            <w:pPr>
              <w:autoSpaceDE w:val="0"/>
              <w:autoSpaceDN w:val="0"/>
              <w:spacing w:line="240" w:lineRule="auto"/>
              <w:jc w:val="center"/>
            </w:pPr>
            <w:r>
              <w:t>82.0/5</w:t>
            </w:r>
          </w:p>
        </w:tc>
        <w:tc>
          <w:tcPr>
            <w:tcW w:w="2564" w:type="dxa"/>
            <w:tcBorders>
              <w:tl2br w:val="nil"/>
              <w:tr2bl w:val="nil"/>
            </w:tcBorders>
            <w:vAlign w:val="center"/>
          </w:tcPr>
          <w:p>
            <w:pPr>
              <w:autoSpaceDE w:val="0"/>
              <w:autoSpaceDN w:val="0"/>
              <w:spacing w:line="240" w:lineRule="auto"/>
              <w:jc w:val="center"/>
              <w:rPr>
                <w:lang w:val="zh-CN"/>
              </w:rPr>
            </w:pPr>
            <w:r>
              <w:rPr>
                <w:lang w:val="zh-CN"/>
              </w:rPr>
              <w:t>有指向性</w:t>
            </w:r>
          </w:p>
        </w:tc>
      </w:tr>
    </w:tbl>
    <w:p>
      <w:pPr>
        <w:autoSpaceDE w:val="0"/>
        <w:autoSpaceDN w:val="0"/>
        <w:rPr>
          <w:sz w:val="24"/>
          <w:szCs w:val="24"/>
          <w:lang w:val="zh-CN"/>
        </w:rPr>
      </w:pPr>
      <w:r>
        <w:rPr>
          <w:sz w:val="24"/>
          <w:szCs w:val="24"/>
          <w:lang w:val="zh-CN"/>
        </w:rPr>
        <w:t>③施工场界噪声预测</w:t>
      </w:r>
    </w:p>
    <w:p>
      <w:pPr>
        <w:autoSpaceDE w:val="0"/>
        <w:autoSpaceDN w:val="0"/>
        <w:ind w:firstLine="480" w:firstLineChars="200"/>
        <w:rPr>
          <w:sz w:val="24"/>
          <w:szCs w:val="24"/>
          <w:lang w:val="zh-CN"/>
        </w:rPr>
      </w:pPr>
      <w:r>
        <w:rPr>
          <w:sz w:val="24"/>
          <w:szCs w:val="24"/>
          <w:lang w:val="zh-CN"/>
        </w:rPr>
        <w:t>为了解施工期主要施工设备的噪声贡献值，本次预测选取施工期主要施工机械及各施工阶段常用组合，设定在对周边环境最为不利的位置预测噪声贡献值。施工期主要强噪声源距场界不同距离时的噪声预测值详见下表。</w:t>
      </w:r>
    </w:p>
    <w:p>
      <w:pPr>
        <w:autoSpaceDE w:val="0"/>
        <w:autoSpaceDN w:val="0"/>
        <w:ind w:firstLine="482"/>
        <w:jc w:val="right"/>
        <w:rPr>
          <w:b/>
          <w:sz w:val="24"/>
          <w:szCs w:val="24"/>
        </w:rPr>
      </w:pPr>
      <w:r>
        <w:rPr>
          <w:b/>
          <w:sz w:val="24"/>
          <w:szCs w:val="24"/>
        </w:rPr>
        <w:t xml:space="preserve">  </w:t>
      </w:r>
    </w:p>
    <w:p>
      <w:pPr>
        <w:autoSpaceDE w:val="0"/>
        <w:autoSpaceDN w:val="0"/>
        <w:ind w:firstLine="482"/>
        <w:jc w:val="right"/>
        <w:rPr>
          <w:b/>
          <w:sz w:val="24"/>
          <w:szCs w:val="24"/>
        </w:rPr>
      </w:pPr>
    </w:p>
    <w:p>
      <w:pPr>
        <w:autoSpaceDE w:val="0"/>
        <w:autoSpaceDN w:val="0"/>
        <w:spacing w:line="240" w:lineRule="auto"/>
        <w:ind w:firstLine="482"/>
        <w:jc w:val="right"/>
        <w:rPr>
          <w:bCs/>
          <w:sz w:val="28"/>
          <w:szCs w:val="28"/>
          <w:lang w:val="zh-CN"/>
        </w:rPr>
      </w:pPr>
      <w:r>
        <w:rPr>
          <w:b/>
          <w:sz w:val="24"/>
          <w:szCs w:val="24"/>
          <w:lang w:val="zh-CN"/>
        </w:rPr>
        <w:t>表</w:t>
      </w:r>
      <w:r>
        <w:rPr>
          <w:b/>
          <w:sz w:val="24"/>
          <w:szCs w:val="24"/>
        </w:rPr>
        <w:t>6</w:t>
      </w:r>
      <w:r>
        <w:rPr>
          <w:rFonts w:hint="eastAsia"/>
          <w:b/>
          <w:sz w:val="24"/>
          <w:szCs w:val="24"/>
          <w:lang w:val="en-US" w:eastAsia="zh-CN"/>
        </w:rPr>
        <w:t>.</w:t>
      </w:r>
      <w:r>
        <w:rPr>
          <w:b/>
          <w:sz w:val="24"/>
          <w:szCs w:val="24"/>
        </w:rPr>
        <w:t xml:space="preserve">3-3  </w:t>
      </w:r>
      <w:r>
        <w:rPr>
          <w:b/>
          <w:sz w:val="24"/>
          <w:szCs w:val="24"/>
          <w:lang w:val="zh-CN"/>
        </w:rPr>
        <w:t xml:space="preserve">施工期噪声源在不同距离的噪声预测值  </w:t>
      </w:r>
      <w:r>
        <w:rPr>
          <w:b/>
          <w:sz w:val="24"/>
          <w:szCs w:val="24"/>
        </w:rPr>
        <w:t xml:space="preserve">  </w:t>
      </w:r>
      <w:r>
        <w:rPr>
          <w:b/>
          <w:sz w:val="24"/>
          <w:szCs w:val="24"/>
          <w:lang w:val="zh-CN"/>
        </w:rPr>
        <w:t xml:space="preserve"> </w:t>
      </w:r>
      <w:r>
        <w:rPr>
          <w:bCs/>
          <w:sz w:val="24"/>
          <w:szCs w:val="24"/>
          <w:lang w:val="zh-CN"/>
        </w:rPr>
        <w:t>单位：dB（A）</w:t>
      </w:r>
    </w:p>
    <w:tbl>
      <w:tblPr>
        <w:tblStyle w:val="22"/>
        <w:tblW w:w="8625"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760"/>
        <w:gridCol w:w="858"/>
        <w:gridCol w:w="858"/>
        <w:gridCol w:w="858"/>
        <w:gridCol w:w="858"/>
        <w:gridCol w:w="858"/>
        <w:gridCol w:w="858"/>
        <w:gridCol w:w="858"/>
        <w:gridCol w:w="85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43" w:hRule="atLeast"/>
          <w:jc w:val="center"/>
        </w:trPr>
        <w:tc>
          <w:tcPr>
            <w:tcW w:w="1760" w:type="dxa"/>
            <w:tcBorders>
              <w:tl2br w:val="nil"/>
              <w:tr2bl w:val="nil"/>
            </w:tcBorders>
            <w:vAlign w:val="center"/>
          </w:tcPr>
          <w:p>
            <w:pPr>
              <w:autoSpaceDE w:val="0"/>
              <w:autoSpaceDN w:val="0"/>
              <w:spacing w:line="240" w:lineRule="auto"/>
              <w:jc w:val="center"/>
              <w:rPr>
                <w:lang w:val="zh-CN"/>
              </w:rPr>
            </w:pPr>
            <w:r>
              <w:rPr>
                <w:lang w:val="zh-CN"/>
              </w:rPr>
              <w:t xml:space="preserve">        距离</w:t>
            </w:r>
          </w:p>
          <w:p>
            <w:pPr>
              <w:autoSpaceDE w:val="0"/>
              <w:autoSpaceDN w:val="0"/>
              <w:spacing w:line="240" w:lineRule="auto"/>
              <w:rPr>
                <w:lang w:val="zh-CN"/>
              </w:rPr>
            </w:pPr>
            <w:r>
              <w:rPr>
                <w:lang w:val="zh-CN"/>
              </w:rPr>
              <w:t>噪声源</w:t>
            </w:r>
          </w:p>
        </w:tc>
        <w:tc>
          <w:tcPr>
            <w:tcW w:w="858" w:type="dxa"/>
            <w:tcBorders>
              <w:tl2br w:val="nil"/>
              <w:tr2bl w:val="nil"/>
            </w:tcBorders>
            <w:vAlign w:val="center"/>
          </w:tcPr>
          <w:p>
            <w:pPr>
              <w:autoSpaceDE w:val="0"/>
              <w:autoSpaceDN w:val="0"/>
              <w:spacing w:line="240" w:lineRule="auto"/>
              <w:jc w:val="center"/>
              <w:rPr>
                <w:lang w:val="zh-CN"/>
              </w:rPr>
            </w:pPr>
            <w:r>
              <w:rPr>
                <w:lang w:val="zh-CN"/>
              </w:rPr>
              <w:t>5m</w:t>
            </w:r>
          </w:p>
        </w:tc>
        <w:tc>
          <w:tcPr>
            <w:tcW w:w="858" w:type="dxa"/>
            <w:tcBorders>
              <w:tl2br w:val="nil"/>
              <w:tr2bl w:val="nil"/>
            </w:tcBorders>
            <w:vAlign w:val="center"/>
          </w:tcPr>
          <w:p>
            <w:pPr>
              <w:autoSpaceDE w:val="0"/>
              <w:autoSpaceDN w:val="0"/>
              <w:spacing w:line="240" w:lineRule="auto"/>
              <w:jc w:val="center"/>
              <w:rPr>
                <w:lang w:val="zh-CN"/>
              </w:rPr>
            </w:pPr>
            <w:r>
              <w:rPr>
                <w:lang w:val="zh-CN"/>
              </w:rPr>
              <w:t>15m</w:t>
            </w:r>
          </w:p>
        </w:tc>
        <w:tc>
          <w:tcPr>
            <w:tcW w:w="858" w:type="dxa"/>
            <w:tcBorders>
              <w:tl2br w:val="nil"/>
              <w:tr2bl w:val="nil"/>
            </w:tcBorders>
            <w:vAlign w:val="center"/>
          </w:tcPr>
          <w:p>
            <w:pPr>
              <w:autoSpaceDE w:val="0"/>
              <w:autoSpaceDN w:val="0"/>
              <w:spacing w:line="240" w:lineRule="auto"/>
              <w:jc w:val="center"/>
              <w:rPr>
                <w:lang w:val="zh-CN"/>
              </w:rPr>
            </w:pPr>
            <w:r>
              <w:rPr>
                <w:lang w:val="zh-CN"/>
              </w:rPr>
              <w:t>20m</w:t>
            </w:r>
          </w:p>
        </w:tc>
        <w:tc>
          <w:tcPr>
            <w:tcW w:w="858" w:type="dxa"/>
            <w:tcBorders>
              <w:tl2br w:val="nil"/>
              <w:tr2bl w:val="nil"/>
            </w:tcBorders>
            <w:vAlign w:val="center"/>
          </w:tcPr>
          <w:p>
            <w:pPr>
              <w:autoSpaceDE w:val="0"/>
              <w:autoSpaceDN w:val="0"/>
              <w:spacing w:line="240" w:lineRule="auto"/>
              <w:jc w:val="center"/>
              <w:rPr>
                <w:lang w:val="zh-CN"/>
              </w:rPr>
            </w:pPr>
            <w:r>
              <w:rPr>
                <w:lang w:val="zh-CN"/>
              </w:rPr>
              <w:t>50m</w:t>
            </w:r>
          </w:p>
        </w:tc>
        <w:tc>
          <w:tcPr>
            <w:tcW w:w="858" w:type="dxa"/>
            <w:tcBorders>
              <w:tl2br w:val="nil"/>
              <w:tr2bl w:val="nil"/>
            </w:tcBorders>
            <w:vAlign w:val="center"/>
          </w:tcPr>
          <w:p>
            <w:pPr>
              <w:autoSpaceDE w:val="0"/>
              <w:autoSpaceDN w:val="0"/>
              <w:spacing w:line="240" w:lineRule="auto"/>
              <w:jc w:val="center"/>
              <w:rPr>
                <w:lang w:val="zh-CN"/>
              </w:rPr>
            </w:pPr>
            <w:r>
              <w:rPr>
                <w:lang w:val="zh-CN"/>
              </w:rPr>
              <w:t>100m</w:t>
            </w:r>
          </w:p>
        </w:tc>
        <w:tc>
          <w:tcPr>
            <w:tcW w:w="858" w:type="dxa"/>
            <w:tcBorders>
              <w:tl2br w:val="nil"/>
              <w:tr2bl w:val="nil"/>
            </w:tcBorders>
            <w:vAlign w:val="center"/>
          </w:tcPr>
          <w:p>
            <w:pPr>
              <w:autoSpaceDE w:val="0"/>
              <w:autoSpaceDN w:val="0"/>
              <w:spacing w:line="240" w:lineRule="auto"/>
              <w:jc w:val="center"/>
              <w:rPr>
                <w:lang w:val="zh-CN"/>
              </w:rPr>
            </w:pPr>
            <w:r>
              <w:rPr>
                <w:lang w:val="zh-CN"/>
              </w:rPr>
              <w:t>150m</w:t>
            </w:r>
          </w:p>
        </w:tc>
        <w:tc>
          <w:tcPr>
            <w:tcW w:w="858" w:type="dxa"/>
            <w:tcBorders>
              <w:tl2br w:val="nil"/>
              <w:tr2bl w:val="nil"/>
            </w:tcBorders>
            <w:vAlign w:val="center"/>
          </w:tcPr>
          <w:p>
            <w:pPr>
              <w:autoSpaceDE w:val="0"/>
              <w:autoSpaceDN w:val="0"/>
              <w:spacing w:line="240" w:lineRule="auto"/>
              <w:jc w:val="center"/>
              <w:rPr>
                <w:lang w:val="zh-CN"/>
              </w:rPr>
            </w:pPr>
            <w:r>
              <w:rPr>
                <w:lang w:val="zh-CN"/>
              </w:rPr>
              <w:t>200m</w:t>
            </w:r>
          </w:p>
        </w:tc>
        <w:tc>
          <w:tcPr>
            <w:tcW w:w="859" w:type="dxa"/>
            <w:tcBorders>
              <w:tl2br w:val="nil"/>
              <w:tr2bl w:val="nil"/>
            </w:tcBorders>
            <w:vAlign w:val="center"/>
          </w:tcPr>
          <w:p>
            <w:pPr>
              <w:autoSpaceDE w:val="0"/>
              <w:autoSpaceDN w:val="0"/>
              <w:spacing w:line="240" w:lineRule="auto"/>
              <w:jc w:val="center"/>
              <w:rPr>
                <w:lang w:val="zh-CN"/>
              </w:rPr>
            </w:pPr>
            <w:r>
              <w:rPr>
                <w:lang w:val="zh-CN"/>
              </w:rPr>
              <w:t>300m</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69" w:hRule="exact"/>
          <w:jc w:val="center"/>
        </w:trPr>
        <w:tc>
          <w:tcPr>
            <w:tcW w:w="1760" w:type="dxa"/>
            <w:tcBorders>
              <w:tl2br w:val="nil"/>
              <w:tr2bl w:val="nil"/>
            </w:tcBorders>
            <w:vAlign w:val="center"/>
          </w:tcPr>
          <w:p>
            <w:pPr>
              <w:autoSpaceDE w:val="0"/>
              <w:autoSpaceDN w:val="0"/>
              <w:spacing w:line="240" w:lineRule="auto"/>
              <w:jc w:val="center"/>
            </w:pPr>
            <w:r>
              <w:rPr>
                <w:lang w:val="zh-CN"/>
              </w:rPr>
              <w:t>挖掘机</w:t>
            </w:r>
          </w:p>
        </w:tc>
        <w:tc>
          <w:tcPr>
            <w:tcW w:w="858" w:type="dxa"/>
            <w:tcBorders>
              <w:tl2br w:val="nil"/>
              <w:tr2bl w:val="nil"/>
            </w:tcBorders>
            <w:vAlign w:val="center"/>
          </w:tcPr>
          <w:p>
            <w:pPr>
              <w:autoSpaceDE w:val="0"/>
              <w:autoSpaceDN w:val="0"/>
              <w:spacing w:line="240" w:lineRule="auto"/>
              <w:jc w:val="center"/>
            </w:pPr>
            <w:r>
              <w:t>84.0</w:t>
            </w:r>
          </w:p>
        </w:tc>
        <w:tc>
          <w:tcPr>
            <w:tcW w:w="858" w:type="dxa"/>
            <w:tcBorders>
              <w:tl2br w:val="nil"/>
              <w:tr2bl w:val="nil"/>
            </w:tcBorders>
            <w:vAlign w:val="center"/>
          </w:tcPr>
          <w:p>
            <w:pPr>
              <w:autoSpaceDE w:val="0"/>
              <w:autoSpaceDN w:val="0"/>
              <w:spacing w:line="240" w:lineRule="auto"/>
              <w:jc w:val="center"/>
            </w:pPr>
            <w:r>
              <w:t>74.5</w:t>
            </w:r>
          </w:p>
        </w:tc>
        <w:tc>
          <w:tcPr>
            <w:tcW w:w="858" w:type="dxa"/>
            <w:tcBorders>
              <w:tl2br w:val="nil"/>
              <w:tr2bl w:val="nil"/>
            </w:tcBorders>
            <w:vAlign w:val="center"/>
          </w:tcPr>
          <w:p>
            <w:pPr>
              <w:autoSpaceDE w:val="0"/>
              <w:autoSpaceDN w:val="0"/>
              <w:spacing w:line="240" w:lineRule="auto"/>
              <w:jc w:val="center"/>
            </w:pPr>
            <w:r>
              <w:t>72.0</w:t>
            </w:r>
          </w:p>
        </w:tc>
        <w:tc>
          <w:tcPr>
            <w:tcW w:w="858" w:type="dxa"/>
            <w:tcBorders>
              <w:tl2br w:val="nil"/>
              <w:tr2bl w:val="nil"/>
            </w:tcBorders>
            <w:vAlign w:val="center"/>
          </w:tcPr>
          <w:p>
            <w:pPr>
              <w:autoSpaceDE w:val="0"/>
              <w:autoSpaceDN w:val="0"/>
              <w:spacing w:line="240" w:lineRule="auto"/>
              <w:jc w:val="center"/>
            </w:pPr>
            <w:r>
              <w:t>64.0</w:t>
            </w:r>
          </w:p>
        </w:tc>
        <w:tc>
          <w:tcPr>
            <w:tcW w:w="858" w:type="dxa"/>
            <w:tcBorders>
              <w:tl2br w:val="nil"/>
              <w:tr2bl w:val="nil"/>
            </w:tcBorders>
            <w:vAlign w:val="center"/>
          </w:tcPr>
          <w:p>
            <w:pPr>
              <w:autoSpaceDE w:val="0"/>
              <w:autoSpaceDN w:val="0"/>
              <w:spacing w:line="240" w:lineRule="auto"/>
              <w:jc w:val="center"/>
            </w:pPr>
            <w:r>
              <w:t>58.0</w:t>
            </w:r>
          </w:p>
        </w:tc>
        <w:tc>
          <w:tcPr>
            <w:tcW w:w="858" w:type="dxa"/>
            <w:tcBorders>
              <w:tl2br w:val="nil"/>
              <w:tr2bl w:val="nil"/>
            </w:tcBorders>
            <w:vAlign w:val="center"/>
          </w:tcPr>
          <w:p>
            <w:pPr>
              <w:autoSpaceDE w:val="0"/>
              <w:autoSpaceDN w:val="0"/>
              <w:spacing w:line="240" w:lineRule="auto"/>
              <w:jc w:val="center"/>
            </w:pPr>
            <w:r>
              <w:t>54.4</w:t>
            </w:r>
          </w:p>
        </w:tc>
        <w:tc>
          <w:tcPr>
            <w:tcW w:w="858" w:type="dxa"/>
            <w:tcBorders>
              <w:tl2br w:val="nil"/>
              <w:tr2bl w:val="nil"/>
            </w:tcBorders>
            <w:vAlign w:val="center"/>
          </w:tcPr>
          <w:p>
            <w:pPr>
              <w:autoSpaceDE w:val="0"/>
              <w:autoSpaceDN w:val="0"/>
              <w:spacing w:line="240" w:lineRule="auto"/>
              <w:jc w:val="center"/>
            </w:pPr>
            <w:r>
              <w:t>52.0</w:t>
            </w:r>
          </w:p>
        </w:tc>
        <w:tc>
          <w:tcPr>
            <w:tcW w:w="859" w:type="dxa"/>
            <w:tcBorders>
              <w:tl2br w:val="nil"/>
              <w:tr2bl w:val="nil"/>
            </w:tcBorders>
            <w:vAlign w:val="center"/>
          </w:tcPr>
          <w:p>
            <w:pPr>
              <w:autoSpaceDE w:val="0"/>
              <w:autoSpaceDN w:val="0"/>
              <w:spacing w:line="240" w:lineRule="auto"/>
              <w:jc w:val="center"/>
            </w:pPr>
            <w:r>
              <w:t>48.5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69" w:hRule="exact"/>
          <w:jc w:val="center"/>
        </w:trPr>
        <w:tc>
          <w:tcPr>
            <w:tcW w:w="1760" w:type="dxa"/>
            <w:tcBorders>
              <w:tl2br w:val="nil"/>
              <w:tr2bl w:val="nil"/>
            </w:tcBorders>
            <w:vAlign w:val="center"/>
          </w:tcPr>
          <w:p>
            <w:pPr>
              <w:autoSpaceDE w:val="0"/>
              <w:autoSpaceDN w:val="0"/>
              <w:spacing w:line="240" w:lineRule="auto"/>
              <w:jc w:val="center"/>
            </w:pPr>
            <w:r>
              <w:rPr>
                <w:lang w:val="zh-CN"/>
              </w:rPr>
              <w:t>推土机</w:t>
            </w:r>
          </w:p>
        </w:tc>
        <w:tc>
          <w:tcPr>
            <w:tcW w:w="858" w:type="dxa"/>
            <w:tcBorders>
              <w:tl2br w:val="nil"/>
              <w:tr2bl w:val="nil"/>
            </w:tcBorders>
            <w:vAlign w:val="center"/>
          </w:tcPr>
          <w:p>
            <w:pPr>
              <w:autoSpaceDE w:val="0"/>
              <w:autoSpaceDN w:val="0"/>
              <w:spacing w:line="240" w:lineRule="auto"/>
              <w:jc w:val="center"/>
            </w:pPr>
            <w:r>
              <w:t>86.0</w:t>
            </w:r>
          </w:p>
        </w:tc>
        <w:tc>
          <w:tcPr>
            <w:tcW w:w="858" w:type="dxa"/>
            <w:tcBorders>
              <w:tl2br w:val="nil"/>
              <w:tr2bl w:val="nil"/>
            </w:tcBorders>
            <w:vAlign w:val="center"/>
          </w:tcPr>
          <w:p>
            <w:pPr>
              <w:autoSpaceDE w:val="0"/>
              <w:autoSpaceDN w:val="0"/>
              <w:spacing w:line="240" w:lineRule="auto"/>
              <w:jc w:val="center"/>
            </w:pPr>
            <w:r>
              <w:t>76.5</w:t>
            </w:r>
          </w:p>
        </w:tc>
        <w:tc>
          <w:tcPr>
            <w:tcW w:w="858" w:type="dxa"/>
            <w:tcBorders>
              <w:tl2br w:val="nil"/>
              <w:tr2bl w:val="nil"/>
            </w:tcBorders>
            <w:vAlign w:val="center"/>
          </w:tcPr>
          <w:p>
            <w:pPr>
              <w:autoSpaceDE w:val="0"/>
              <w:autoSpaceDN w:val="0"/>
              <w:spacing w:line="240" w:lineRule="auto"/>
              <w:jc w:val="center"/>
            </w:pPr>
            <w:r>
              <w:t>74.0</w:t>
            </w:r>
          </w:p>
        </w:tc>
        <w:tc>
          <w:tcPr>
            <w:tcW w:w="858" w:type="dxa"/>
            <w:tcBorders>
              <w:tl2br w:val="nil"/>
              <w:tr2bl w:val="nil"/>
            </w:tcBorders>
            <w:vAlign w:val="center"/>
          </w:tcPr>
          <w:p>
            <w:pPr>
              <w:autoSpaceDE w:val="0"/>
              <w:autoSpaceDN w:val="0"/>
              <w:spacing w:line="240" w:lineRule="auto"/>
              <w:jc w:val="center"/>
            </w:pPr>
            <w:r>
              <w:t>66.0</w:t>
            </w:r>
          </w:p>
        </w:tc>
        <w:tc>
          <w:tcPr>
            <w:tcW w:w="858" w:type="dxa"/>
            <w:tcBorders>
              <w:tl2br w:val="nil"/>
              <w:tr2bl w:val="nil"/>
            </w:tcBorders>
            <w:vAlign w:val="center"/>
          </w:tcPr>
          <w:p>
            <w:pPr>
              <w:autoSpaceDE w:val="0"/>
              <w:autoSpaceDN w:val="0"/>
              <w:spacing w:line="240" w:lineRule="auto"/>
              <w:jc w:val="center"/>
            </w:pPr>
            <w:r>
              <w:t>60.0</w:t>
            </w:r>
          </w:p>
        </w:tc>
        <w:tc>
          <w:tcPr>
            <w:tcW w:w="858" w:type="dxa"/>
            <w:tcBorders>
              <w:tl2br w:val="nil"/>
              <w:tr2bl w:val="nil"/>
            </w:tcBorders>
            <w:vAlign w:val="center"/>
          </w:tcPr>
          <w:p>
            <w:pPr>
              <w:autoSpaceDE w:val="0"/>
              <w:autoSpaceDN w:val="0"/>
              <w:spacing w:line="240" w:lineRule="auto"/>
              <w:jc w:val="center"/>
            </w:pPr>
            <w:r>
              <w:t>56.4</w:t>
            </w:r>
          </w:p>
        </w:tc>
        <w:tc>
          <w:tcPr>
            <w:tcW w:w="858" w:type="dxa"/>
            <w:tcBorders>
              <w:tl2br w:val="nil"/>
              <w:tr2bl w:val="nil"/>
            </w:tcBorders>
            <w:vAlign w:val="center"/>
          </w:tcPr>
          <w:p>
            <w:pPr>
              <w:autoSpaceDE w:val="0"/>
              <w:autoSpaceDN w:val="0"/>
              <w:spacing w:line="240" w:lineRule="auto"/>
              <w:jc w:val="center"/>
            </w:pPr>
            <w:r>
              <w:t>54.0</w:t>
            </w:r>
          </w:p>
        </w:tc>
        <w:tc>
          <w:tcPr>
            <w:tcW w:w="859" w:type="dxa"/>
            <w:tcBorders>
              <w:tl2br w:val="nil"/>
              <w:tr2bl w:val="nil"/>
            </w:tcBorders>
            <w:vAlign w:val="center"/>
          </w:tcPr>
          <w:p>
            <w:pPr>
              <w:autoSpaceDE w:val="0"/>
              <w:autoSpaceDN w:val="0"/>
              <w:spacing w:line="240" w:lineRule="auto"/>
              <w:jc w:val="center"/>
            </w:pPr>
            <w:r>
              <w:t>50.5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69" w:hRule="exact"/>
          <w:jc w:val="center"/>
        </w:trPr>
        <w:tc>
          <w:tcPr>
            <w:tcW w:w="1760" w:type="dxa"/>
            <w:tcBorders>
              <w:tl2br w:val="nil"/>
              <w:tr2bl w:val="nil"/>
            </w:tcBorders>
            <w:vAlign w:val="center"/>
          </w:tcPr>
          <w:p>
            <w:pPr>
              <w:autoSpaceDE w:val="0"/>
              <w:autoSpaceDN w:val="0"/>
              <w:spacing w:line="240" w:lineRule="auto"/>
              <w:jc w:val="center"/>
              <w:rPr>
                <w:lang w:val="zh-CN"/>
              </w:rPr>
            </w:pPr>
            <w:r>
              <w:rPr>
                <w:lang w:val="zh-CN"/>
              </w:rPr>
              <w:t>翻斗车</w:t>
            </w:r>
          </w:p>
        </w:tc>
        <w:tc>
          <w:tcPr>
            <w:tcW w:w="858" w:type="dxa"/>
            <w:tcBorders>
              <w:tl2br w:val="nil"/>
              <w:tr2bl w:val="nil"/>
            </w:tcBorders>
            <w:vAlign w:val="center"/>
          </w:tcPr>
          <w:p>
            <w:pPr>
              <w:autoSpaceDE w:val="0"/>
              <w:autoSpaceDN w:val="0"/>
              <w:spacing w:line="240" w:lineRule="auto"/>
              <w:jc w:val="center"/>
              <w:rPr>
                <w:lang w:val="zh-CN"/>
              </w:rPr>
            </w:pPr>
            <w:r>
              <w:rPr>
                <w:lang w:val="zh-CN"/>
              </w:rPr>
              <w:t>82.0</w:t>
            </w:r>
          </w:p>
        </w:tc>
        <w:tc>
          <w:tcPr>
            <w:tcW w:w="858" w:type="dxa"/>
            <w:tcBorders>
              <w:tl2br w:val="nil"/>
              <w:tr2bl w:val="nil"/>
            </w:tcBorders>
            <w:vAlign w:val="center"/>
          </w:tcPr>
          <w:p>
            <w:pPr>
              <w:autoSpaceDE w:val="0"/>
              <w:autoSpaceDN w:val="0"/>
              <w:spacing w:line="240" w:lineRule="auto"/>
              <w:jc w:val="center"/>
              <w:rPr>
                <w:lang w:val="zh-CN"/>
              </w:rPr>
            </w:pPr>
            <w:r>
              <w:rPr>
                <w:lang w:val="zh-CN"/>
              </w:rPr>
              <w:t>72.5</w:t>
            </w:r>
          </w:p>
        </w:tc>
        <w:tc>
          <w:tcPr>
            <w:tcW w:w="858" w:type="dxa"/>
            <w:tcBorders>
              <w:tl2br w:val="nil"/>
              <w:tr2bl w:val="nil"/>
            </w:tcBorders>
            <w:vAlign w:val="center"/>
          </w:tcPr>
          <w:p>
            <w:pPr>
              <w:autoSpaceDE w:val="0"/>
              <w:autoSpaceDN w:val="0"/>
              <w:spacing w:line="240" w:lineRule="auto"/>
              <w:jc w:val="center"/>
              <w:rPr>
                <w:lang w:val="zh-CN"/>
              </w:rPr>
            </w:pPr>
            <w:r>
              <w:rPr>
                <w:lang w:val="zh-CN"/>
              </w:rPr>
              <w:t>70.0</w:t>
            </w:r>
          </w:p>
        </w:tc>
        <w:tc>
          <w:tcPr>
            <w:tcW w:w="858" w:type="dxa"/>
            <w:tcBorders>
              <w:tl2br w:val="nil"/>
              <w:tr2bl w:val="nil"/>
            </w:tcBorders>
            <w:vAlign w:val="center"/>
          </w:tcPr>
          <w:p>
            <w:pPr>
              <w:autoSpaceDE w:val="0"/>
              <w:autoSpaceDN w:val="0"/>
              <w:spacing w:line="240" w:lineRule="auto"/>
              <w:jc w:val="center"/>
              <w:rPr>
                <w:lang w:val="zh-CN"/>
              </w:rPr>
            </w:pPr>
            <w:r>
              <w:rPr>
                <w:lang w:val="zh-CN"/>
              </w:rPr>
              <w:t>62.0</w:t>
            </w:r>
          </w:p>
        </w:tc>
        <w:tc>
          <w:tcPr>
            <w:tcW w:w="858" w:type="dxa"/>
            <w:tcBorders>
              <w:tl2br w:val="nil"/>
              <w:tr2bl w:val="nil"/>
            </w:tcBorders>
            <w:vAlign w:val="center"/>
          </w:tcPr>
          <w:p>
            <w:pPr>
              <w:autoSpaceDE w:val="0"/>
              <w:autoSpaceDN w:val="0"/>
              <w:spacing w:line="240" w:lineRule="auto"/>
              <w:jc w:val="center"/>
              <w:rPr>
                <w:lang w:val="zh-CN"/>
              </w:rPr>
            </w:pPr>
            <w:r>
              <w:rPr>
                <w:lang w:val="zh-CN"/>
              </w:rPr>
              <w:t>56.0</w:t>
            </w:r>
          </w:p>
        </w:tc>
        <w:tc>
          <w:tcPr>
            <w:tcW w:w="858" w:type="dxa"/>
            <w:tcBorders>
              <w:tl2br w:val="nil"/>
              <w:tr2bl w:val="nil"/>
            </w:tcBorders>
            <w:vAlign w:val="center"/>
          </w:tcPr>
          <w:p>
            <w:pPr>
              <w:autoSpaceDE w:val="0"/>
              <w:autoSpaceDN w:val="0"/>
              <w:spacing w:line="240" w:lineRule="auto"/>
              <w:jc w:val="center"/>
              <w:rPr>
                <w:lang w:val="zh-CN"/>
              </w:rPr>
            </w:pPr>
            <w:r>
              <w:rPr>
                <w:lang w:val="zh-CN"/>
              </w:rPr>
              <w:t>52.4</w:t>
            </w:r>
          </w:p>
        </w:tc>
        <w:tc>
          <w:tcPr>
            <w:tcW w:w="858" w:type="dxa"/>
            <w:tcBorders>
              <w:tl2br w:val="nil"/>
              <w:tr2bl w:val="nil"/>
            </w:tcBorders>
            <w:vAlign w:val="center"/>
          </w:tcPr>
          <w:p>
            <w:pPr>
              <w:autoSpaceDE w:val="0"/>
              <w:autoSpaceDN w:val="0"/>
              <w:spacing w:line="240" w:lineRule="auto"/>
              <w:jc w:val="center"/>
              <w:rPr>
                <w:lang w:val="zh-CN"/>
              </w:rPr>
            </w:pPr>
            <w:r>
              <w:rPr>
                <w:lang w:val="zh-CN"/>
              </w:rPr>
              <w:t>50.0</w:t>
            </w:r>
          </w:p>
        </w:tc>
        <w:tc>
          <w:tcPr>
            <w:tcW w:w="859" w:type="dxa"/>
            <w:tcBorders>
              <w:tl2br w:val="nil"/>
              <w:tr2bl w:val="nil"/>
            </w:tcBorders>
            <w:vAlign w:val="center"/>
          </w:tcPr>
          <w:p>
            <w:pPr>
              <w:autoSpaceDE w:val="0"/>
              <w:autoSpaceDN w:val="0"/>
              <w:spacing w:line="240" w:lineRule="auto"/>
              <w:jc w:val="center"/>
              <w:rPr>
                <w:lang w:val="zh-CN"/>
              </w:rPr>
            </w:pPr>
            <w:r>
              <w:rPr>
                <w:lang w:val="zh-CN"/>
              </w:rPr>
              <w:t>46.5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69" w:hRule="exact"/>
          <w:jc w:val="center"/>
        </w:trPr>
        <w:tc>
          <w:tcPr>
            <w:tcW w:w="1760" w:type="dxa"/>
            <w:tcBorders>
              <w:tl2br w:val="nil"/>
              <w:tr2bl w:val="nil"/>
            </w:tcBorders>
            <w:vAlign w:val="center"/>
          </w:tcPr>
          <w:p>
            <w:pPr>
              <w:autoSpaceDE w:val="0"/>
              <w:autoSpaceDN w:val="0"/>
              <w:spacing w:line="240" w:lineRule="auto"/>
              <w:jc w:val="center"/>
              <w:rPr>
                <w:lang w:val="zh-CN"/>
              </w:rPr>
            </w:pPr>
            <w:r>
              <w:rPr>
                <w:lang w:val="zh-CN"/>
              </w:rPr>
              <w:t>平地机</w:t>
            </w:r>
          </w:p>
        </w:tc>
        <w:tc>
          <w:tcPr>
            <w:tcW w:w="858" w:type="dxa"/>
            <w:tcBorders>
              <w:tl2br w:val="nil"/>
              <w:tr2bl w:val="nil"/>
            </w:tcBorders>
            <w:vAlign w:val="center"/>
          </w:tcPr>
          <w:p>
            <w:pPr>
              <w:autoSpaceDE w:val="0"/>
              <w:autoSpaceDN w:val="0"/>
              <w:spacing w:line="240" w:lineRule="auto"/>
              <w:jc w:val="center"/>
              <w:rPr>
                <w:lang w:val="zh-CN"/>
              </w:rPr>
            </w:pPr>
            <w:r>
              <w:rPr>
                <w:lang w:val="zh-CN"/>
              </w:rPr>
              <w:t>87.0</w:t>
            </w:r>
          </w:p>
        </w:tc>
        <w:tc>
          <w:tcPr>
            <w:tcW w:w="858" w:type="dxa"/>
            <w:tcBorders>
              <w:tl2br w:val="nil"/>
              <w:tr2bl w:val="nil"/>
            </w:tcBorders>
            <w:vAlign w:val="center"/>
          </w:tcPr>
          <w:p>
            <w:pPr>
              <w:autoSpaceDE w:val="0"/>
              <w:autoSpaceDN w:val="0"/>
              <w:spacing w:line="240" w:lineRule="auto"/>
              <w:jc w:val="center"/>
            </w:pPr>
            <w:r>
              <w:t>77.5</w:t>
            </w:r>
          </w:p>
        </w:tc>
        <w:tc>
          <w:tcPr>
            <w:tcW w:w="858" w:type="dxa"/>
            <w:tcBorders>
              <w:tl2br w:val="nil"/>
              <w:tr2bl w:val="nil"/>
            </w:tcBorders>
            <w:vAlign w:val="center"/>
          </w:tcPr>
          <w:p>
            <w:pPr>
              <w:autoSpaceDE w:val="0"/>
              <w:autoSpaceDN w:val="0"/>
              <w:spacing w:line="240" w:lineRule="auto"/>
              <w:jc w:val="center"/>
            </w:pPr>
            <w:r>
              <w:t>75.0</w:t>
            </w:r>
          </w:p>
        </w:tc>
        <w:tc>
          <w:tcPr>
            <w:tcW w:w="858" w:type="dxa"/>
            <w:tcBorders>
              <w:tl2br w:val="nil"/>
              <w:tr2bl w:val="nil"/>
            </w:tcBorders>
            <w:vAlign w:val="center"/>
          </w:tcPr>
          <w:p>
            <w:pPr>
              <w:autoSpaceDE w:val="0"/>
              <w:autoSpaceDN w:val="0"/>
              <w:spacing w:line="240" w:lineRule="auto"/>
              <w:jc w:val="center"/>
            </w:pPr>
            <w:r>
              <w:t>67.0</w:t>
            </w:r>
          </w:p>
        </w:tc>
        <w:tc>
          <w:tcPr>
            <w:tcW w:w="858" w:type="dxa"/>
            <w:tcBorders>
              <w:tl2br w:val="nil"/>
              <w:tr2bl w:val="nil"/>
            </w:tcBorders>
            <w:vAlign w:val="center"/>
          </w:tcPr>
          <w:p>
            <w:pPr>
              <w:autoSpaceDE w:val="0"/>
              <w:autoSpaceDN w:val="0"/>
              <w:spacing w:line="240" w:lineRule="auto"/>
              <w:jc w:val="center"/>
            </w:pPr>
            <w:r>
              <w:t>61.0</w:t>
            </w:r>
          </w:p>
        </w:tc>
        <w:tc>
          <w:tcPr>
            <w:tcW w:w="858" w:type="dxa"/>
            <w:tcBorders>
              <w:tl2br w:val="nil"/>
              <w:tr2bl w:val="nil"/>
            </w:tcBorders>
            <w:vAlign w:val="center"/>
          </w:tcPr>
          <w:p>
            <w:pPr>
              <w:autoSpaceDE w:val="0"/>
              <w:autoSpaceDN w:val="0"/>
              <w:spacing w:line="240" w:lineRule="auto"/>
              <w:jc w:val="center"/>
            </w:pPr>
            <w:r>
              <w:t>57.4</w:t>
            </w:r>
          </w:p>
        </w:tc>
        <w:tc>
          <w:tcPr>
            <w:tcW w:w="858" w:type="dxa"/>
            <w:tcBorders>
              <w:tl2br w:val="nil"/>
              <w:tr2bl w:val="nil"/>
            </w:tcBorders>
            <w:vAlign w:val="center"/>
          </w:tcPr>
          <w:p>
            <w:pPr>
              <w:autoSpaceDE w:val="0"/>
              <w:autoSpaceDN w:val="0"/>
              <w:spacing w:line="240" w:lineRule="auto"/>
              <w:jc w:val="center"/>
            </w:pPr>
            <w:r>
              <w:t>55.0</w:t>
            </w:r>
          </w:p>
        </w:tc>
        <w:tc>
          <w:tcPr>
            <w:tcW w:w="859" w:type="dxa"/>
            <w:tcBorders>
              <w:tl2br w:val="nil"/>
              <w:tr2bl w:val="nil"/>
            </w:tcBorders>
            <w:vAlign w:val="center"/>
          </w:tcPr>
          <w:p>
            <w:pPr>
              <w:autoSpaceDE w:val="0"/>
              <w:autoSpaceDN w:val="0"/>
              <w:spacing w:line="240" w:lineRule="auto"/>
              <w:jc w:val="center"/>
            </w:pPr>
            <w:r>
              <w:t>51.4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69" w:hRule="exact"/>
          <w:jc w:val="center"/>
        </w:trPr>
        <w:tc>
          <w:tcPr>
            <w:tcW w:w="1760" w:type="dxa"/>
            <w:tcBorders>
              <w:tl2br w:val="nil"/>
              <w:tr2bl w:val="nil"/>
            </w:tcBorders>
            <w:vAlign w:val="center"/>
          </w:tcPr>
          <w:p>
            <w:pPr>
              <w:autoSpaceDE w:val="0"/>
              <w:autoSpaceDN w:val="0"/>
              <w:spacing w:line="240" w:lineRule="auto"/>
              <w:jc w:val="center"/>
              <w:rPr>
                <w:lang w:val="zh-CN"/>
              </w:rPr>
            </w:pPr>
            <w:r>
              <w:rPr>
                <w:lang w:val="zh-CN"/>
              </w:rPr>
              <w:t>装载机</w:t>
            </w:r>
          </w:p>
        </w:tc>
        <w:tc>
          <w:tcPr>
            <w:tcW w:w="858" w:type="dxa"/>
            <w:tcBorders>
              <w:tl2br w:val="nil"/>
              <w:tr2bl w:val="nil"/>
            </w:tcBorders>
            <w:vAlign w:val="center"/>
          </w:tcPr>
          <w:p>
            <w:pPr>
              <w:autoSpaceDE w:val="0"/>
              <w:autoSpaceDN w:val="0"/>
              <w:spacing w:line="240" w:lineRule="auto"/>
              <w:jc w:val="center"/>
              <w:rPr>
                <w:lang w:val="zh-CN"/>
              </w:rPr>
            </w:pPr>
            <w:r>
              <w:rPr>
                <w:lang w:val="zh-CN"/>
              </w:rPr>
              <w:t>82.0</w:t>
            </w:r>
          </w:p>
        </w:tc>
        <w:tc>
          <w:tcPr>
            <w:tcW w:w="858" w:type="dxa"/>
            <w:tcBorders>
              <w:tl2br w:val="nil"/>
              <w:tr2bl w:val="nil"/>
            </w:tcBorders>
            <w:vAlign w:val="center"/>
          </w:tcPr>
          <w:p>
            <w:pPr>
              <w:autoSpaceDE w:val="0"/>
              <w:autoSpaceDN w:val="0"/>
              <w:spacing w:line="240" w:lineRule="auto"/>
              <w:jc w:val="center"/>
              <w:rPr>
                <w:lang w:val="zh-CN"/>
              </w:rPr>
            </w:pPr>
            <w:r>
              <w:rPr>
                <w:lang w:val="zh-CN"/>
              </w:rPr>
              <w:t>72.5</w:t>
            </w:r>
          </w:p>
        </w:tc>
        <w:tc>
          <w:tcPr>
            <w:tcW w:w="858" w:type="dxa"/>
            <w:tcBorders>
              <w:tl2br w:val="nil"/>
              <w:tr2bl w:val="nil"/>
            </w:tcBorders>
            <w:vAlign w:val="center"/>
          </w:tcPr>
          <w:p>
            <w:pPr>
              <w:autoSpaceDE w:val="0"/>
              <w:autoSpaceDN w:val="0"/>
              <w:spacing w:line="240" w:lineRule="auto"/>
              <w:jc w:val="center"/>
              <w:rPr>
                <w:lang w:val="zh-CN"/>
              </w:rPr>
            </w:pPr>
            <w:r>
              <w:rPr>
                <w:lang w:val="zh-CN"/>
              </w:rPr>
              <w:t>70.0</w:t>
            </w:r>
          </w:p>
        </w:tc>
        <w:tc>
          <w:tcPr>
            <w:tcW w:w="858" w:type="dxa"/>
            <w:tcBorders>
              <w:tl2br w:val="nil"/>
              <w:tr2bl w:val="nil"/>
            </w:tcBorders>
            <w:vAlign w:val="center"/>
          </w:tcPr>
          <w:p>
            <w:pPr>
              <w:autoSpaceDE w:val="0"/>
              <w:autoSpaceDN w:val="0"/>
              <w:spacing w:line="240" w:lineRule="auto"/>
              <w:jc w:val="center"/>
              <w:rPr>
                <w:lang w:val="zh-CN"/>
              </w:rPr>
            </w:pPr>
            <w:r>
              <w:rPr>
                <w:lang w:val="zh-CN"/>
              </w:rPr>
              <w:t>62.0</w:t>
            </w:r>
          </w:p>
        </w:tc>
        <w:tc>
          <w:tcPr>
            <w:tcW w:w="858" w:type="dxa"/>
            <w:tcBorders>
              <w:tl2br w:val="nil"/>
              <w:tr2bl w:val="nil"/>
            </w:tcBorders>
            <w:vAlign w:val="center"/>
          </w:tcPr>
          <w:p>
            <w:pPr>
              <w:autoSpaceDE w:val="0"/>
              <w:autoSpaceDN w:val="0"/>
              <w:spacing w:line="240" w:lineRule="auto"/>
              <w:jc w:val="center"/>
              <w:rPr>
                <w:lang w:val="zh-CN"/>
              </w:rPr>
            </w:pPr>
            <w:r>
              <w:rPr>
                <w:lang w:val="zh-CN"/>
              </w:rPr>
              <w:t>56.0</w:t>
            </w:r>
          </w:p>
        </w:tc>
        <w:tc>
          <w:tcPr>
            <w:tcW w:w="858" w:type="dxa"/>
            <w:tcBorders>
              <w:tl2br w:val="nil"/>
              <w:tr2bl w:val="nil"/>
            </w:tcBorders>
            <w:vAlign w:val="center"/>
          </w:tcPr>
          <w:p>
            <w:pPr>
              <w:autoSpaceDE w:val="0"/>
              <w:autoSpaceDN w:val="0"/>
              <w:spacing w:line="240" w:lineRule="auto"/>
              <w:jc w:val="center"/>
              <w:rPr>
                <w:lang w:val="zh-CN"/>
              </w:rPr>
            </w:pPr>
            <w:r>
              <w:rPr>
                <w:lang w:val="zh-CN"/>
              </w:rPr>
              <w:t>52.4</w:t>
            </w:r>
          </w:p>
        </w:tc>
        <w:tc>
          <w:tcPr>
            <w:tcW w:w="858" w:type="dxa"/>
            <w:tcBorders>
              <w:tl2br w:val="nil"/>
              <w:tr2bl w:val="nil"/>
            </w:tcBorders>
            <w:vAlign w:val="center"/>
          </w:tcPr>
          <w:p>
            <w:pPr>
              <w:autoSpaceDE w:val="0"/>
              <w:autoSpaceDN w:val="0"/>
              <w:spacing w:line="240" w:lineRule="auto"/>
              <w:jc w:val="center"/>
              <w:rPr>
                <w:lang w:val="zh-CN"/>
              </w:rPr>
            </w:pPr>
            <w:r>
              <w:rPr>
                <w:lang w:val="zh-CN"/>
              </w:rPr>
              <w:t>50.0</w:t>
            </w:r>
          </w:p>
        </w:tc>
        <w:tc>
          <w:tcPr>
            <w:tcW w:w="859" w:type="dxa"/>
            <w:tcBorders>
              <w:tl2br w:val="nil"/>
              <w:tr2bl w:val="nil"/>
            </w:tcBorders>
            <w:vAlign w:val="center"/>
          </w:tcPr>
          <w:p>
            <w:pPr>
              <w:autoSpaceDE w:val="0"/>
              <w:autoSpaceDN w:val="0"/>
              <w:spacing w:line="240" w:lineRule="auto"/>
              <w:jc w:val="center"/>
              <w:rPr>
                <w:lang w:val="zh-CN"/>
              </w:rPr>
            </w:pPr>
            <w:r>
              <w:rPr>
                <w:lang w:val="zh-CN"/>
              </w:rPr>
              <w:t>46.5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69" w:hRule="exact"/>
          <w:jc w:val="center"/>
        </w:trPr>
        <w:tc>
          <w:tcPr>
            <w:tcW w:w="1760" w:type="dxa"/>
            <w:tcBorders>
              <w:tl2br w:val="nil"/>
              <w:tr2bl w:val="nil"/>
            </w:tcBorders>
            <w:vAlign w:val="center"/>
          </w:tcPr>
          <w:p>
            <w:pPr>
              <w:autoSpaceDE w:val="0"/>
              <w:autoSpaceDN w:val="0"/>
              <w:spacing w:line="240" w:lineRule="auto"/>
              <w:jc w:val="center"/>
              <w:rPr>
                <w:lang w:val="zh-CN"/>
              </w:rPr>
            </w:pPr>
            <w:r>
              <w:rPr>
                <w:lang w:val="zh-CN"/>
              </w:rPr>
              <w:t>振捣棒</w:t>
            </w:r>
          </w:p>
        </w:tc>
        <w:tc>
          <w:tcPr>
            <w:tcW w:w="858" w:type="dxa"/>
            <w:tcBorders>
              <w:tl2br w:val="nil"/>
              <w:tr2bl w:val="nil"/>
            </w:tcBorders>
            <w:vAlign w:val="center"/>
          </w:tcPr>
          <w:p>
            <w:pPr>
              <w:autoSpaceDE w:val="0"/>
              <w:autoSpaceDN w:val="0"/>
              <w:spacing w:line="240" w:lineRule="auto"/>
              <w:jc w:val="center"/>
              <w:rPr>
                <w:lang w:val="zh-CN"/>
              </w:rPr>
            </w:pPr>
            <w:r>
              <w:rPr>
                <w:lang w:val="zh-CN"/>
              </w:rPr>
              <w:t>82.0</w:t>
            </w:r>
          </w:p>
        </w:tc>
        <w:tc>
          <w:tcPr>
            <w:tcW w:w="858" w:type="dxa"/>
            <w:tcBorders>
              <w:tl2br w:val="nil"/>
              <w:tr2bl w:val="nil"/>
            </w:tcBorders>
            <w:vAlign w:val="center"/>
          </w:tcPr>
          <w:p>
            <w:pPr>
              <w:autoSpaceDE w:val="0"/>
              <w:autoSpaceDN w:val="0"/>
              <w:spacing w:line="240" w:lineRule="auto"/>
              <w:jc w:val="center"/>
              <w:rPr>
                <w:lang w:val="zh-CN"/>
              </w:rPr>
            </w:pPr>
            <w:r>
              <w:rPr>
                <w:lang w:val="zh-CN"/>
              </w:rPr>
              <w:t>72.5</w:t>
            </w:r>
          </w:p>
        </w:tc>
        <w:tc>
          <w:tcPr>
            <w:tcW w:w="858" w:type="dxa"/>
            <w:tcBorders>
              <w:tl2br w:val="nil"/>
              <w:tr2bl w:val="nil"/>
            </w:tcBorders>
            <w:vAlign w:val="center"/>
          </w:tcPr>
          <w:p>
            <w:pPr>
              <w:autoSpaceDE w:val="0"/>
              <w:autoSpaceDN w:val="0"/>
              <w:spacing w:line="240" w:lineRule="auto"/>
              <w:jc w:val="center"/>
              <w:rPr>
                <w:lang w:val="zh-CN"/>
              </w:rPr>
            </w:pPr>
            <w:r>
              <w:rPr>
                <w:lang w:val="zh-CN"/>
              </w:rPr>
              <w:t>70.0</w:t>
            </w:r>
          </w:p>
        </w:tc>
        <w:tc>
          <w:tcPr>
            <w:tcW w:w="858" w:type="dxa"/>
            <w:tcBorders>
              <w:tl2br w:val="nil"/>
              <w:tr2bl w:val="nil"/>
            </w:tcBorders>
            <w:vAlign w:val="center"/>
          </w:tcPr>
          <w:p>
            <w:pPr>
              <w:autoSpaceDE w:val="0"/>
              <w:autoSpaceDN w:val="0"/>
              <w:spacing w:line="240" w:lineRule="auto"/>
              <w:jc w:val="center"/>
              <w:rPr>
                <w:lang w:val="zh-CN"/>
              </w:rPr>
            </w:pPr>
            <w:r>
              <w:rPr>
                <w:lang w:val="zh-CN"/>
              </w:rPr>
              <w:t>62.0</w:t>
            </w:r>
          </w:p>
        </w:tc>
        <w:tc>
          <w:tcPr>
            <w:tcW w:w="858" w:type="dxa"/>
            <w:tcBorders>
              <w:tl2br w:val="nil"/>
              <w:tr2bl w:val="nil"/>
            </w:tcBorders>
            <w:vAlign w:val="center"/>
          </w:tcPr>
          <w:p>
            <w:pPr>
              <w:autoSpaceDE w:val="0"/>
              <w:autoSpaceDN w:val="0"/>
              <w:spacing w:line="240" w:lineRule="auto"/>
              <w:jc w:val="center"/>
              <w:rPr>
                <w:lang w:val="zh-CN"/>
              </w:rPr>
            </w:pPr>
            <w:r>
              <w:rPr>
                <w:lang w:val="zh-CN"/>
              </w:rPr>
              <w:t>56.0</w:t>
            </w:r>
          </w:p>
        </w:tc>
        <w:tc>
          <w:tcPr>
            <w:tcW w:w="858" w:type="dxa"/>
            <w:tcBorders>
              <w:tl2br w:val="nil"/>
              <w:tr2bl w:val="nil"/>
            </w:tcBorders>
            <w:vAlign w:val="center"/>
          </w:tcPr>
          <w:p>
            <w:pPr>
              <w:autoSpaceDE w:val="0"/>
              <w:autoSpaceDN w:val="0"/>
              <w:spacing w:line="240" w:lineRule="auto"/>
              <w:jc w:val="center"/>
              <w:rPr>
                <w:lang w:val="zh-CN"/>
              </w:rPr>
            </w:pPr>
            <w:r>
              <w:rPr>
                <w:lang w:val="zh-CN"/>
              </w:rPr>
              <w:t>52.4</w:t>
            </w:r>
          </w:p>
        </w:tc>
        <w:tc>
          <w:tcPr>
            <w:tcW w:w="858" w:type="dxa"/>
            <w:tcBorders>
              <w:tl2br w:val="nil"/>
              <w:tr2bl w:val="nil"/>
            </w:tcBorders>
            <w:vAlign w:val="center"/>
          </w:tcPr>
          <w:p>
            <w:pPr>
              <w:autoSpaceDE w:val="0"/>
              <w:autoSpaceDN w:val="0"/>
              <w:spacing w:line="240" w:lineRule="auto"/>
              <w:jc w:val="center"/>
              <w:rPr>
                <w:lang w:val="zh-CN"/>
              </w:rPr>
            </w:pPr>
            <w:r>
              <w:rPr>
                <w:lang w:val="zh-CN"/>
              </w:rPr>
              <w:t>50.0</w:t>
            </w:r>
          </w:p>
        </w:tc>
        <w:tc>
          <w:tcPr>
            <w:tcW w:w="859" w:type="dxa"/>
            <w:tcBorders>
              <w:tl2br w:val="nil"/>
              <w:tr2bl w:val="nil"/>
            </w:tcBorders>
            <w:vAlign w:val="center"/>
          </w:tcPr>
          <w:p>
            <w:pPr>
              <w:autoSpaceDE w:val="0"/>
              <w:autoSpaceDN w:val="0"/>
              <w:spacing w:line="240" w:lineRule="auto"/>
              <w:jc w:val="center"/>
              <w:rPr>
                <w:lang w:val="zh-CN"/>
              </w:rPr>
            </w:pPr>
            <w:r>
              <w:rPr>
                <w:lang w:val="zh-CN"/>
              </w:rPr>
              <w:t>46.5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69" w:hRule="exact"/>
          <w:jc w:val="center"/>
        </w:trPr>
        <w:tc>
          <w:tcPr>
            <w:tcW w:w="1760" w:type="dxa"/>
            <w:tcBorders>
              <w:tl2br w:val="nil"/>
              <w:tr2bl w:val="nil"/>
            </w:tcBorders>
            <w:vAlign w:val="center"/>
          </w:tcPr>
          <w:p>
            <w:pPr>
              <w:autoSpaceDE w:val="0"/>
              <w:autoSpaceDN w:val="0"/>
              <w:spacing w:line="240" w:lineRule="auto"/>
              <w:jc w:val="center"/>
              <w:rPr>
                <w:spacing w:val="-20"/>
                <w:lang w:val="zh-CN"/>
              </w:rPr>
            </w:pPr>
            <w:r>
              <w:rPr>
                <w:lang w:val="zh-CN"/>
              </w:rPr>
              <w:t>砼输送泵</w:t>
            </w:r>
          </w:p>
        </w:tc>
        <w:tc>
          <w:tcPr>
            <w:tcW w:w="858" w:type="dxa"/>
            <w:tcBorders>
              <w:tl2br w:val="nil"/>
              <w:tr2bl w:val="nil"/>
            </w:tcBorders>
            <w:vAlign w:val="center"/>
          </w:tcPr>
          <w:p>
            <w:pPr>
              <w:autoSpaceDE w:val="0"/>
              <w:autoSpaceDN w:val="0"/>
              <w:spacing w:line="240" w:lineRule="auto"/>
              <w:jc w:val="center"/>
            </w:pPr>
            <w:r>
              <w:t>87.0</w:t>
            </w:r>
          </w:p>
        </w:tc>
        <w:tc>
          <w:tcPr>
            <w:tcW w:w="858" w:type="dxa"/>
            <w:tcBorders>
              <w:tl2br w:val="nil"/>
              <w:tr2bl w:val="nil"/>
            </w:tcBorders>
            <w:vAlign w:val="center"/>
          </w:tcPr>
          <w:p>
            <w:pPr>
              <w:autoSpaceDE w:val="0"/>
              <w:autoSpaceDN w:val="0"/>
              <w:spacing w:line="240" w:lineRule="auto"/>
              <w:jc w:val="center"/>
            </w:pPr>
            <w:r>
              <w:t>77.5</w:t>
            </w:r>
          </w:p>
        </w:tc>
        <w:tc>
          <w:tcPr>
            <w:tcW w:w="858" w:type="dxa"/>
            <w:tcBorders>
              <w:tl2br w:val="nil"/>
              <w:tr2bl w:val="nil"/>
            </w:tcBorders>
            <w:vAlign w:val="center"/>
          </w:tcPr>
          <w:p>
            <w:pPr>
              <w:autoSpaceDE w:val="0"/>
              <w:autoSpaceDN w:val="0"/>
              <w:spacing w:line="240" w:lineRule="auto"/>
              <w:jc w:val="center"/>
            </w:pPr>
            <w:r>
              <w:t>75.0</w:t>
            </w:r>
          </w:p>
        </w:tc>
        <w:tc>
          <w:tcPr>
            <w:tcW w:w="858" w:type="dxa"/>
            <w:tcBorders>
              <w:tl2br w:val="nil"/>
              <w:tr2bl w:val="nil"/>
            </w:tcBorders>
            <w:vAlign w:val="center"/>
          </w:tcPr>
          <w:p>
            <w:pPr>
              <w:autoSpaceDE w:val="0"/>
              <w:autoSpaceDN w:val="0"/>
              <w:spacing w:line="240" w:lineRule="auto"/>
              <w:jc w:val="center"/>
            </w:pPr>
            <w:r>
              <w:t>67.0</w:t>
            </w:r>
          </w:p>
        </w:tc>
        <w:tc>
          <w:tcPr>
            <w:tcW w:w="858" w:type="dxa"/>
            <w:tcBorders>
              <w:tl2br w:val="nil"/>
              <w:tr2bl w:val="nil"/>
            </w:tcBorders>
            <w:vAlign w:val="center"/>
          </w:tcPr>
          <w:p>
            <w:pPr>
              <w:autoSpaceDE w:val="0"/>
              <w:autoSpaceDN w:val="0"/>
              <w:spacing w:line="240" w:lineRule="auto"/>
              <w:jc w:val="center"/>
            </w:pPr>
            <w:r>
              <w:t>61.0</w:t>
            </w:r>
          </w:p>
        </w:tc>
        <w:tc>
          <w:tcPr>
            <w:tcW w:w="858" w:type="dxa"/>
            <w:tcBorders>
              <w:tl2br w:val="nil"/>
              <w:tr2bl w:val="nil"/>
            </w:tcBorders>
            <w:vAlign w:val="center"/>
          </w:tcPr>
          <w:p>
            <w:pPr>
              <w:autoSpaceDE w:val="0"/>
              <w:autoSpaceDN w:val="0"/>
              <w:spacing w:line="240" w:lineRule="auto"/>
              <w:jc w:val="center"/>
            </w:pPr>
            <w:r>
              <w:t>57.4</w:t>
            </w:r>
          </w:p>
        </w:tc>
        <w:tc>
          <w:tcPr>
            <w:tcW w:w="858" w:type="dxa"/>
            <w:tcBorders>
              <w:tl2br w:val="nil"/>
              <w:tr2bl w:val="nil"/>
            </w:tcBorders>
            <w:vAlign w:val="center"/>
          </w:tcPr>
          <w:p>
            <w:pPr>
              <w:autoSpaceDE w:val="0"/>
              <w:autoSpaceDN w:val="0"/>
              <w:spacing w:line="240" w:lineRule="auto"/>
              <w:jc w:val="center"/>
            </w:pPr>
            <w:r>
              <w:t>55.0</w:t>
            </w:r>
          </w:p>
        </w:tc>
        <w:tc>
          <w:tcPr>
            <w:tcW w:w="859" w:type="dxa"/>
            <w:tcBorders>
              <w:tl2br w:val="nil"/>
              <w:tr2bl w:val="nil"/>
            </w:tcBorders>
            <w:vAlign w:val="center"/>
          </w:tcPr>
          <w:p>
            <w:pPr>
              <w:autoSpaceDE w:val="0"/>
              <w:autoSpaceDN w:val="0"/>
              <w:spacing w:line="240" w:lineRule="auto"/>
              <w:jc w:val="center"/>
            </w:pPr>
            <w:r>
              <w:t>51.4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69" w:hRule="exact"/>
          <w:jc w:val="center"/>
        </w:trPr>
        <w:tc>
          <w:tcPr>
            <w:tcW w:w="1760" w:type="dxa"/>
            <w:tcBorders>
              <w:tl2br w:val="nil"/>
              <w:tr2bl w:val="nil"/>
            </w:tcBorders>
            <w:vAlign w:val="center"/>
          </w:tcPr>
          <w:p>
            <w:pPr>
              <w:autoSpaceDE w:val="0"/>
              <w:autoSpaceDN w:val="0"/>
              <w:spacing w:line="240" w:lineRule="auto"/>
              <w:jc w:val="center"/>
              <w:rPr>
                <w:spacing w:val="-20"/>
              </w:rPr>
            </w:pPr>
            <w:r>
              <w:rPr>
                <w:lang w:val="zh-CN"/>
              </w:rPr>
              <w:t>切割机</w:t>
            </w:r>
          </w:p>
        </w:tc>
        <w:tc>
          <w:tcPr>
            <w:tcW w:w="858" w:type="dxa"/>
            <w:tcBorders>
              <w:tl2br w:val="nil"/>
              <w:tr2bl w:val="nil"/>
            </w:tcBorders>
            <w:vAlign w:val="center"/>
          </w:tcPr>
          <w:p>
            <w:pPr>
              <w:autoSpaceDE w:val="0"/>
              <w:autoSpaceDN w:val="0"/>
              <w:spacing w:line="240" w:lineRule="auto"/>
              <w:jc w:val="center"/>
              <w:rPr>
                <w:lang w:val="zh-CN"/>
              </w:rPr>
            </w:pPr>
            <w:r>
              <w:rPr>
                <w:lang w:val="zh-CN"/>
              </w:rPr>
              <w:t>82.0</w:t>
            </w:r>
          </w:p>
        </w:tc>
        <w:tc>
          <w:tcPr>
            <w:tcW w:w="858" w:type="dxa"/>
            <w:tcBorders>
              <w:tl2br w:val="nil"/>
              <w:tr2bl w:val="nil"/>
            </w:tcBorders>
            <w:vAlign w:val="center"/>
          </w:tcPr>
          <w:p>
            <w:pPr>
              <w:autoSpaceDE w:val="0"/>
              <w:autoSpaceDN w:val="0"/>
              <w:spacing w:line="240" w:lineRule="auto"/>
              <w:jc w:val="center"/>
              <w:rPr>
                <w:lang w:val="zh-CN"/>
              </w:rPr>
            </w:pPr>
            <w:r>
              <w:rPr>
                <w:lang w:val="zh-CN"/>
              </w:rPr>
              <w:t>72.5</w:t>
            </w:r>
          </w:p>
        </w:tc>
        <w:tc>
          <w:tcPr>
            <w:tcW w:w="858" w:type="dxa"/>
            <w:tcBorders>
              <w:tl2br w:val="nil"/>
              <w:tr2bl w:val="nil"/>
            </w:tcBorders>
            <w:vAlign w:val="center"/>
          </w:tcPr>
          <w:p>
            <w:pPr>
              <w:autoSpaceDE w:val="0"/>
              <w:autoSpaceDN w:val="0"/>
              <w:spacing w:line="240" w:lineRule="auto"/>
              <w:jc w:val="center"/>
              <w:rPr>
                <w:lang w:val="zh-CN"/>
              </w:rPr>
            </w:pPr>
            <w:r>
              <w:rPr>
                <w:lang w:val="zh-CN"/>
              </w:rPr>
              <w:t>70.0</w:t>
            </w:r>
          </w:p>
        </w:tc>
        <w:tc>
          <w:tcPr>
            <w:tcW w:w="858" w:type="dxa"/>
            <w:tcBorders>
              <w:tl2br w:val="nil"/>
              <w:tr2bl w:val="nil"/>
            </w:tcBorders>
            <w:vAlign w:val="center"/>
          </w:tcPr>
          <w:p>
            <w:pPr>
              <w:autoSpaceDE w:val="0"/>
              <w:autoSpaceDN w:val="0"/>
              <w:spacing w:line="240" w:lineRule="auto"/>
              <w:jc w:val="center"/>
              <w:rPr>
                <w:lang w:val="zh-CN"/>
              </w:rPr>
            </w:pPr>
            <w:r>
              <w:rPr>
                <w:lang w:val="zh-CN"/>
              </w:rPr>
              <w:t>62.0</w:t>
            </w:r>
          </w:p>
        </w:tc>
        <w:tc>
          <w:tcPr>
            <w:tcW w:w="858" w:type="dxa"/>
            <w:tcBorders>
              <w:tl2br w:val="nil"/>
              <w:tr2bl w:val="nil"/>
            </w:tcBorders>
            <w:vAlign w:val="center"/>
          </w:tcPr>
          <w:p>
            <w:pPr>
              <w:autoSpaceDE w:val="0"/>
              <w:autoSpaceDN w:val="0"/>
              <w:spacing w:line="240" w:lineRule="auto"/>
              <w:jc w:val="center"/>
              <w:rPr>
                <w:lang w:val="zh-CN"/>
              </w:rPr>
            </w:pPr>
            <w:r>
              <w:rPr>
                <w:lang w:val="zh-CN"/>
              </w:rPr>
              <w:t>56.0</w:t>
            </w:r>
          </w:p>
        </w:tc>
        <w:tc>
          <w:tcPr>
            <w:tcW w:w="858" w:type="dxa"/>
            <w:tcBorders>
              <w:tl2br w:val="nil"/>
              <w:tr2bl w:val="nil"/>
            </w:tcBorders>
            <w:vAlign w:val="center"/>
          </w:tcPr>
          <w:p>
            <w:pPr>
              <w:autoSpaceDE w:val="0"/>
              <w:autoSpaceDN w:val="0"/>
              <w:spacing w:line="240" w:lineRule="auto"/>
              <w:jc w:val="center"/>
              <w:rPr>
                <w:lang w:val="zh-CN"/>
              </w:rPr>
            </w:pPr>
            <w:r>
              <w:rPr>
                <w:lang w:val="zh-CN"/>
              </w:rPr>
              <w:t>52.4</w:t>
            </w:r>
          </w:p>
        </w:tc>
        <w:tc>
          <w:tcPr>
            <w:tcW w:w="858" w:type="dxa"/>
            <w:tcBorders>
              <w:tl2br w:val="nil"/>
              <w:tr2bl w:val="nil"/>
            </w:tcBorders>
            <w:vAlign w:val="center"/>
          </w:tcPr>
          <w:p>
            <w:pPr>
              <w:autoSpaceDE w:val="0"/>
              <w:autoSpaceDN w:val="0"/>
              <w:spacing w:line="240" w:lineRule="auto"/>
              <w:jc w:val="center"/>
              <w:rPr>
                <w:lang w:val="zh-CN"/>
              </w:rPr>
            </w:pPr>
            <w:r>
              <w:rPr>
                <w:lang w:val="zh-CN"/>
              </w:rPr>
              <w:t>50.0</w:t>
            </w:r>
          </w:p>
        </w:tc>
        <w:tc>
          <w:tcPr>
            <w:tcW w:w="859" w:type="dxa"/>
            <w:tcBorders>
              <w:tl2br w:val="nil"/>
              <w:tr2bl w:val="nil"/>
            </w:tcBorders>
            <w:vAlign w:val="center"/>
          </w:tcPr>
          <w:p>
            <w:pPr>
              <w:autoSpaceDE w:val="0"/>
              <w:autoSpaceDN w:val="0"/>
              <w:spacing w:line="240" w:lineRule="auto"/>
              <w:jc w:val="center"/>
              <w:rPr>
                <w:lang w:val="zh-CN"/>
              </w:rPr>
            </w:pPr>
            <w:r>
              <w:rPr>
                <w:lang w:val="zh-CN"/>
              </w:rPr>
              <w:t>46.5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69" w:hRule="exact"/>
          <w:jc w:val="center"/>
        </w:trPr>
        <w:tc>
          <w:tcPr>
            <w:tcW w:w="1760" w:type="dxa"/>
            <w:tcBorders>
              <w:tl2br w:val="nil"/>
              <w:tr2bl w:val="nil"/>
            </w:tcBorders>
            <w:vAlign w:val="center"/>
          </w:tcPr>
          <w:p>
            <w:pPr>
              <w:autoSpaceDE w:val="0"/>
              <w:autoSpaceDN w:val="0"/>
              <w:spacing w:line="240" w:lineRule="auto"/>
              <w:jc w:val="center"/>
              <w:rPr>
                <w:lang w:val="zh-CN"/>
              </w:rPr>
            </w:pPr>
            <w:r>
              <w:rPr>
                <w:lang w:val="zh-CN"/>
              </w:rPr>
              <w:t>磨石机</w:t>
            </w:r>
          </w:p>
        </w:tc>
        <w:tc>
          <w:tcPr>
            <w:tcW w:w="858" w:type="dxa"/>
            <w:tcBorders>
              <w:tl2br w:val="nil"/>
              <w:tr2bl w:val="nil"/>
            </w:tcBorders>
            <w:vAlign w:val="center"/>
          </w:tcPr>
          <w:p>
            <w:pPr>
              <w:autoSpaceDE w:val="0"/>
              <w:autoSpaceDN w:val="0"/>
              <w:spacing w:line="240" w:lineRule="auto"/>
              <w:jc w:val="center"/>
              <w:rPr>
                <w:lang w:val="zh-CN"/>
              </w:rPr>
            </w:pPr>
            <w:r>
              <w:rPr>
                <w:lang w:val="zh-CN"/>
              </w:rPr>
              <w:t>82.0</w:t>
            </w:r>
          </w:p>
        </w:tc>
        <w:tc>
          <w:tcPr>
            <w:tcW w:w="858" w:type="dxa"/>
            <w:tcBorders>
              <w:tl2br w:val="nil"/>
              <w:tr2bl w:val="nil"/>
            </w:tcBorders>
            <w:vAlign w:val="center"/>
          </w:tcPr>
          <w:p>
            <w:pPr>
              <w:autoSpaceDE w:val="0"/>
              <w:autoSpaceDN w:val="0"/>
              <w:spacing w:line="240" w:lineRule="auto"/>
              <w:jc w:val="center"/>
              <w:rPr>
                <w:lang w:val="zh-CN"/>
              </w:rPr>
            </w:pPr>
            <w:r>
              <w:rPr>
                <w:lang w:val="zh-CN"/>
              </w:rPr>
              <w:t>72.5</w:t>
            </w:r>
          </w:p>
        </w:tc>
        <w:tc>
          <w:tcPr>
            <w:tcW w:w="858" w:type="dxa"/>
            <w:tcBorders>
              <w:tl2br w:val="nil"/>
              <w:tr2bl w:val="nil"/>
            </w:tcBorders>
            <w:vAlign w:val="center"/>
          </w:tcPr>
          <w:p>
            <w:pPr>
              <w:autoSpaceDE w:val="0"/>
              <w:autoSpaceDN w:val="0"/>
              <w:spacing w:line="240" w:lineRule="auto"/>
              <w:jc w:val="center"/>
              <w:rPr>
                <w:lang w:val="zh-CN"/>
              </w:rPr>
            </w:pPr>
            <w:r>
              <w:rPr>
                <w:lang w:val="zh-CN"/>
              </w:rPr>
              <w:t>70.0</w:t>
            </w:r>
          </w:p>
        </w:tc>
        <w:tc>
          <w:tcPr>
            <w:tcW w:w="858" w:type="dxa"/>
            <w:tcBorders>
              <w:tl2br w:val="nil"/>
              <w:tr2bl w:val="nil"/>
            </w:tcBorders>
            <w:vAlign w:val="center"/>
          </w:tcPr>
          <w:p>
            <w:pPr>
              <w:autoSpaceDE w:val="0"/>
              <w:autoSpaceDN w:val="0"/>
              <w:spacing w:line="240" w:lineRule="auto"/>
              <w:jc w:val="center"/>
              <w:rPr>
                <w:lang w:val="zh-CN"/>
              </w:rPr>
            </w:pPr>
            <w:r>
              <w:rPr>
                <w:lang w:val="zh-CN"/>
              </w:rPr>
              <w:t>62.0</w:t>
            </w:r>
          </w:p>
        </w:tc>
        <w:tc>
          <w:tcPr>
            <w:tcW w:w="858" w:type="dxa"/>
            <w:tcBorders>
              <w:tl2br w:val="nil"/>
              <w:tr2bl w:val="nil"/>
            </w:tcBorders>
            <w:vAlign w:val="center"/>
          </w:tcPr>
          <w:p>
            <w:pPr>
              <w:autoSpaceDE w:val="0"/>
              <w:autoSpaceDN w:val="0"/>
              <w:spacing w:line="240" w:lineRule="auto"/>
              <w:jc w:val="center"/>
              <w:rPr>
                <w:lang w:val="zh-CN"/>
              </w:rPr>
            </w:pPr>
            <w:r>
              <w:rPr>
                <w:lang w:val="zh-CN"/>
              </w:rPr>
              <w:t>56.0</w:t>
            </w:r>
          </w:p>
        </w:tc>
        <w:tc>
          <w:tcPr>
            <w:tcW w:w="858" w:type="dxa"/>
            <w:tcBorders>
              <w:tl2br w:val="nil"/>
              <w:tr2bl w:val="nil"/>
            </w:tcBorders>
            <w:vAlign w:val="center"/>
          </w:tcPr>
          <w:p>
            <w:pPr>
              <w:autoSpaceDE w:val="0"/>
              <w:autoSpaceDN w:val="0"/>
              <w:spacing w:line="240" w:lineRule="auto"/>
              <w:jc w:val="center"/>
              <w:rPr>
                <w:lang w:val="zh-CN"/>
              </w:rPr>
            </w:pPr>
            <w:r>
              <w:rPr>
                <w:lang w:val="zh-CN"/>
              </w:rPr>
              <w:t>52.4</w:t>
            </w:r>
          </w:p>
        </w:tc>
        <w:tc>
          <w:tcPr>
            <w:tcW w:w="858" w:type="dxa"/>
            <w:tcBorders>
              <w:tl2br w:val="nil"/>
              <w:tr2bl w:val="nil"/>
            </w:tcBorders>
            <w:vAlign w:val="center"/>
          </w:tcPr>
          <w:p>
            <w:pPr>
              <w:autoSpaceDE w:val="0"/>
              <w:autoSpaceDN w:val="0"/>
              <w:spacing w:line="240" w:lineRule="auto"/>
              <w:jc w:val="center"/>
              <w:rPr>
                <w:lang w:val="zh-CN"/>
              </w:rPr>
            </w:pPr>
            <w:r>
              <w:rPr>
                <w:lang w:val="zh-CN"/>
              </w:rPr>
              <w:t>50.0</w:t>
            </w:r>
          </w:p>
        </w:tc>
        <w:tc>
          <w:tcPr>
            <w:tcW w:w="859" w:type="dxa"/>
            <w:tcBorders>
              <w:tl2br w:val="nil"/>
              <w:tr2bl w:val="nil"/>
            </w:tcBorders>
            <w:vAlign w:val="center"/>
          </w:tcPr>
          <w:p>
            <w:pPr>
              <w:autoSpaceDE w:val="0"/>
              <w:autoSpaceDN w:val="0"/>
              <w:spacing w:line="240" w:lineRule="auto"/>
              <w:jc w:val="center"/>
              <w:rPr>
                <w:lang w:val="zh-CN"/>
              </w:rPr>
            </w:pPr>
            <w:r>
              <w:rPr>
                <w:lang w:val="zh-CN"/>
              </w:rPr>
              <w:t>46.5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69" w:hRule="exact"/>
          <w:jc w:val="center"/>
        </w:trPr>
        <w:tc>
          <w:tcPr>
            <w:tcW w:w="1760" w:type="dxa"/>
            <w:tcBorders>
              <w:tl2br w:val="nil"/>
              <w:tr2bl w:val="nil"/>
            </w:tcBorders>
            <w:vAlign w:val="center"/>
          </w:tcPr>
          <w:p>
            <w:pPr>
              <w:autoSpaceDE w:val="0"/>
              <w:autoSpaceDN w:val="0"/>
              <w:spacing w:line="240" w:lineRule="auto"/>
              <w:jc w:val="center"/>
              <w:rPr>
                <w:lang w:val="zh-CN"/>
              </w:rPr>
            </w:pPr>
            <w:r>
              <w:rPr>
                <w:lang w:val="zh-CN"/>
              </w:rPr>
              <w:t>砂轮锯</w:t>
            </w:r>
          </w:p>
        </w:tc>
        <w:tc>
          <w:tcPr>
            <w:tcW w:w="858" w:type="dxa"/>
            <w:tcBorders>
              <w:tl2br w:val="nil"/>
              <w:tr2bl w:val="nil"/>
            </w:tcBorders>
            <w:vAlign w:val="center"/>
          </w:tcPr>
          <w:p>
            <w:pPr>
              <w:autoSpaceDE w:val="0"/>
              <w:autoSpaceDN w:val="0"/>
              <w:spacing w:line="240" w:lineRule="auto"/>
              <w:jc w:val="center"/>
              <w:rPr>
                <w:lang w:val="zh-CN"/>
              </w:rPr>
            </w:pPr>
            <w:r>
              <w:rPr>
                <w:lang w:val="zh-CN"/>
              </w:rPr>
              <w:t>82.0</w:t>
            </w:r>
          </w:p>
        </w:tc>
        <w:tc>
          <w:tcPr>
            <w:tcW w:w="858" w:type="dxa"/>
            <w:tcBorders>
              <w:tl2br w:val="nil"/>
              <w:tr2bl w:val="nil"/>
            </w:tcBorders>
            <w:vAlign w:val="center"/>
          </w:tcPr>
          <w:p>
            <w:pPr>
              <w:autoSpaceDE w:val="0"/>
              <w:autoSpaceDN w:val="0"/>
              <w:spacing w:line="240" w:lineRule="auto"/>
              <w:jc w:val="center"/>
              <w:rPr>
                <w:lang w:val="zh-CN"/>
              </w:rPr>
            </w:pPr>
            <w:r>
              <w:rPr>
                <w:lang w:val="zh-CN"/>
              </w:rPr>
              <w:t>72.5</w:t>
            </w:r>
          </w:p>
        </w:tc>
        <w:tc>
          <w:tcPr>
            <w:tcW w:w="858" w:type="dxa"/>
            <w:tcBorders>
              <w:tl2br w:val="nil"/>
              <w:tr2bl w:val="nil"/>
            </w:tcBorders>
            <w:vAlign w:val="center"/>
          </w:tcPr>
          <w:p>
            <w:pPr>
              <w:autoSpaceDE w:val="0"/>
              <w:autoSpaceDN w:val="0"/>
              <w:spacing w:line="240" w:lineRule="auto"/>
              <w:jc w:val="center"/>
              <w:rPr>
                <w:lang w:val="zh-CN"/>
              </w:rPr>
            </w:pPr>
            <w:r>
              <w:rPr>
                <w:lang w:val="zh-CN"/>
              </w:rPr>
              <w:t>70.0</w:t>
            </w:r>
          </w:p>
        </w:tc>
        <w:tc>
          <w:tcPr>
            <w:tcW w:w="858" w:type="dxa"/>
            <w:tcBorders>
              <w:tl2br w:val="nil"/>
              <w:tr2bl w:val="nil"/>
            </w:tcBorders>
            <w:vAlign w:val="center"/>
          </w:tcPr>
          <w:p>
            <w:pPr>
              <w:autoSpaceDE w:val="0"/>
              <w:autoSpaceDN w:val="0"/>
              <w:spacing w:line="240" w:lineRule="auto"/>
              <w:jc w:val="center"/>
              <w:rPr>
                <w:lang w:val="zh-CN"/>
              </w:rPr>
            </w:pPr>
            <w:r>
              <w:rPr>
                <w:lang w:val="zh-CN"/>
              </w:rPr>
              <w:t>62.0</w:t>
            </w:r>
          </w:p>
        </w:tc>
        <w:tc>
          <w:tcPr>
            <w:tcW w:w="858" w:type="dxa"/>
            <w:tcBorders>
              <w:tl2br w:val="nil"/>
              <w:tr2bl w:val="nil"/>
            </w:tcBorders>
            <w:vAlign w:val="center"/>
          </w:tcPr>
          <w:p>
            <w:pPr>
              <w:autoSpaceDE w:val="0"/>
              <w:autoSpaceDN w:val="0"/>
              <w:spacing w:line="240" w:lineRule="auto"/>
              <w:jc w:val="center"/>
              <w:rPr>
                <w:lang w:val="zh-CN"/>
              </w:rPr>
            </w:pPr>
            <w:r>
              <w:rPr>
                <w:lang w:val="zh-CN"/>
              </w:rPr>
              <w:t>56.0</w:t>
            </w:r>
          </w:p>
        </w:tc>
        <w:tc>
          <w:tcPr>
            <w:tcW w:w="858" w:type="dxa"/>
            <w:tcBorders>
              <w:tl2br w:val="nil"/>
              <w:tr2bl w:val="nil"/>
            </w:tcBorders>
            <w:vAlign w:val="center"/>
          </w:tcPr>
          <w:p>
            <w:pPr>
              <w:autoSpaceDE w:val="0"/>
              <w:autoSpaceDN w:val="0"/>
              <w:spacing w:line="240" w:lineRule="auto"/>
              <w:jc w:val="center"/>
              <w:rPr>
                <w:lang w:val="zh-CN"/>
              </w:rPr>
            </w:pPr>
            <w:r>
              <w:rPr>
                <w:lang w:val="zh-CN"/>
              </w:rPr>
              <w:t>52.4</w:t>
            </w:r>
          </w:p>
        </w:tc>
        <w:tc>
          <w:tcPr>
            <w:tcW w:w="858" w:type="dxa"/>
            <w:tcBorders>
              <w:tl2br w:val="nil"/>
              <w:tr2bl w:val="nil"/>
            </w:tcBorders>
            <w:vAlign w:val="center"/>
          </w:tcPr>
          <w:p>
            <w:pPr>
              <w:autoSpaceDE w:val="0"/>
              <w:autoSpaceDN w:val="0"/>
              <w:spacing w:line="240" w:lineRule="auto"/>
              <w:jc w:val="center"/>
              <w:rPr>
                <w:lang w:val="zh-CN"/>
              </w:rPr>
            </w:pPr>
            <w:r>
              <w:rPr>
                <w:lang w:val="zh-CN"/>
              </w:rPr>
              <w:t>50.0</w:t>
            </w:r>
          </w:p>
        </w:tc>
        <w:tc>
          <w:tcPr>
            <w:tcW w:w="859" w:type="dxa"/>
            <w:tcBorders>
              <w:tl2br w:val="nil"/>
              <w:tr2bl w:val="nil"/>
            </w:tcBorders>
            <w:vAlign w:val="center"/>
          </w:tcPr>
          <w:p>
            <w:pPr>
              <w:autoSpaceDE w:val="0"/>
              <w:autoSpaceDN w:val="0"/>
              <w:spacing w:line="240" w:lineRule="auto"/>
              <w:jc w:val="center"/>
              <w:rPr>
                <w:lang w:val="zh-CN"/>
              </w:rPr>
            </w:pPr>
            <w:r>
              <w:rPr>
                <w:lang w:val="zh-CN"/>
              </w:rPr>
              <w:t>46.5</w:t>
            </w:r>
          </w:p>
        </w:tc>
      </w:tr>
    </w:tbl>
    <w:p>
      <w:pPr>
        <w:autoSpaceDE w:val="0"/>
        <w:autoSpaceDN w:val="0"/>
        <w:spacing w:beforeLines="20" w:afterLines="20" w:line="240" w:lineRule="auto"/>
        <w:jc w:val="right"/>
        <w:rPr>
          <w:b/>
          <w:lang w:val="zh-CN"/>
        </w:rPr>
      </w:pPr>
      <w:r>
        <w:rPr>
          <w:b/>
          <w:sz w:val="24"/>
          <w:szCs w:val="24"/>
          <w:lang w:val="zh-CN"/>
        </w:rPr>
        <w:t>表</w:t>
      </w:r>
      <w:r>
        <w:rPr>
          <w:b/>
          <w:sz w:val="24"/>
          <w:szCs w:val="24"/>
        </w:rPr>
        <w:t>6</w:t>
      </w:r>
      <w:r>
        <w:rPr>
          <w:rFonts w:hint="eastAsia"/>
          <w:b/>
          <w:sz w:val="24"/>
          <w:szCs w:val="24"/>
          <w:lang w:val="en-US" w:eastAsia="zh-CN"/>
        </w:rPr>
        <w:t>.</w:t>
      </w:r>
      <w:r>
        <w:rPr>
          <w:b/>
          <w:sz w:val="24"/>
          <w:szCs w:val="24"/>
        </w:rPr>
        <w:t xml:space="preserve">4-4 </w:t>
      </w:r>
      <w:r>
        <w:rPr>
          <w:b/>
          <w:sz w:val="24"/>
          <w:szCs w:val="24"/>
          <w:lang w:val="zh-CN"/>
        </w:rPr>
        <w:t xml:space="preserve"> 施工期噪声源组合在不同距离的噪声预测值 </w:t>
      </w:r>
      <w:r>
        <w:rPr>
          <w:b/>
          <w:sz w:val="24"/>
          <w:szCs w:val="24"/>
        </w:rPr>
        <w:t xml:space="preserve">  </w:t>
      </w:r>
      <w:r>
        <w:rPr>
          <w:b/>
          <w:sz w:val="24"/>
          <w:szCs w:val="24"/>
          <w:lang w:val="zh-CN"/>
        </w:rPr>
        <w:t xml:space="preserve">  </w:t>
      </w:r>
      <w:r>
        <w:rPr>
          <w:bCs/>
          <w:sz w:val="24"/>
          <w:szCs w:val="24"/>
          <w:lang w:val="zh-CN"/>
        </w:rPr>
        <w:t>单位：dB（A）</w:t>
      </w:r>
    </w:p>
    <w:tbl>
      <w:tblPr>
        <w:tblStyle w:val="22"/>
        <w:tblW w:w="8625"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738"/>
        <w:gridCol w:w="841"/>
        <w:gridCol w:w="841"/>
        <w:gridCol w:w="841"/>
        <w:gridCol w:w="841"/>
        <w:gridCol w:w="841"/>
        <w:gridCol w:w="841"/>
        <w:gridCol w:w="84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20" w:hRule="exact"/>
          <w:jc w:val="center"/>
        </w:trPr>
        <w:tc>
          <w:tcPr>
            <w:tcW w:w="2738" w:type="dxa"/>
            <w:tcBorders>
              <w:tl2br w:val="nil"/>
              <w:tr2bl w:val="nil"/>
            </w:tcBorders>
            <w:vAlign w:val="center"/>
          </w:tcPr>
          <w:p>
            <w:pPr>
              <w:autoSpaceDE w:val="0"/>
              <w:autoSpaceDN w:val="0"/>
              <w:spacing w:line="240" w:lineRule="auto"/>
              <w:jc w:val="center"/>
              <w:rPr>
                <w:lang w:val="zh-CN"/>
              </w:rPr>
            </w:pPr>
            <w:r>
              <w:rPr>
                <w:lang w:val="zh-CN"/>
              </w:rPr>
              <w:t>噪 声 源 组 合</w:t>
            </w:r>
          </w:p>
        </w:tc>
        <w:tc>
          <w:tcPr>
            <w:tcW w:w="841" w:type="dxa"/>
            <w:tcBorders>
              <w:tl2br w:val="nil"/>
              <w:tr2bl w:val="nil"/>
            </w:tcBorders>
            <w:vAlign w:val="center"/>
          </w:tcPr>
          <w:p>
            <w:pPr>
              <w:autoSpaceDE w:val="0"/>
              <w:autoSpaceDN w:val="0"/>
              <w:spacing w:line="240" w:lineRule="auto"/>
              <w:jc w:val="center"/>
              <w:rPr>
                <w:lang w:val="zh-CN"/>
              </w:rPr>
            </w:pPr>
            <w:r>
              <w:rPr>
                <w:lang w:val="zh-CN"/>
              </w:rPr>
              <w:t>15m</w:t>
            </w:r>
          </w:p>
        </w:tc>
        <w:tc>
          <w:tcPr>
            <w:tcW w:w="841" w:type="dxa"/>
            <w:tcBorders>
              <w:tl2br w:val="nil"/>
              <w:tr2bl w:val="nil"/>
            </w:tcBorders>
            <w:vAlign w:val="center"/>
          </w:tcPr>
          <w:p>
            <w:pPr>
              <w:autoSpaceDE w:val="0"/>
              <w:autoSpaceDN w:val="0"/>
              <w:spacing w:line="240" w:lineRule="auto"/>
              <w:jc w:val="center"/>
              <w:rPr>
                <w:lang w:val="zh-CN"/>
              </w:rPr>
            </w:pPr>
            <w:r>
              <w:rPr>
                <w:lang w:val="zh-CN"/>
              </w:rPr>
              <w:t>20m</w:t>
            </w:r>
          </w:p>
        </w:tc>
        <w:tc>
          <w:tcPr>
            <w:tcW w:w="841" w:type="dxa"/>
            <w:tcBorders>
              <w:tl2br w:val="nil"/>
              <w:tr2bl w:val="nil"/>
            </w:tcBorders>
            <w:vAlign w:val="center"/>
          </w:tcPr>
          <w:p>
            <w:pPr>
              <w:autoSpaceDE w:val="0"/>
              <w:autoSpaceDN w:val="0"/>
              <w:spacing w:line="240" w:lineRule="auto"/>
              <w:jc w:val="center"/>
              <w:rPr>
                <w:lang w:val="zh-CN"/>
              </w:rPr>
            </w:pPr>
            <w:r>
              <w:rPr>
                <w:lang w:val="zh-CN"/>
              </w:rPr>
              <w:t>30m</w:t>
            </w:r>
          </w:p>
        </w:tc>
        <w:tc>
          <w:tcPr>
            <w:tcW w:w="841" w:type="dxa"/>
            <w:tcBorders>
              <w:tl2br w:val="nil"/>
              <w:tr2bl w:val="nil"/>
            </w:tcBorders>
            <w:vAlign w:val="center"/>
          </w:tcPr>
          <w:p>
            <w:pPr>
              <w:autoSpaceDE w:val="0"/>
              <w:autoSpaceDN w:val="0"/>
              <w:spacing w:line="240" w:lineRule="auto"/>
              <w:jc w:val="center"/>
              <w:rPr>
                <w:lang w:val="zh-CN"/>
              </w:rPr>
            </w:pPr>
            <w:r>
              <w:rPr>
                <w:lang w:val="zh-CN"/>
              </w:rPr>
              <w:t>50m</w:t>
            </w:r>
          </w:p>
        </w:tc>
        <w:tc>
          <w:tcPr>
            <w:tcW w:w="841" w:type="dxa"/>
            <w:tcBorders>
              <w:tl2br w:val="nil"/>
              <w:tr2bl w:val="nil"/>
            </w:tcBorders>
            <w:vAlign w:val="center"/>
          </w:tcPr>
          <w:p>
            <w:pPr>
              <w:autoSpaceDE w:val="0"/>
              <w:autoSpaceDN w:val="0"/>
              <w:spacing w:line="240" w:lineRule="auto"/>
              <w:jc w:val="center"/>
              <w:rPr>
                <w:lang w:val="zh-CN"/>
              </w:rPr>
            </w:pPr>
            <w:r>
              <w:rPr>
                <w:lang w:val="zh-CN"/>
              </w:rPr>
              <w:t>100m</w:t>
            </w:r>
          </w:p>
        </w:tc>
        <w:tc>
          <w:tcPr>
            <w:tcW w:w="841" w:type="dxa"/>
            <w:tcBorders>
              <w:tl2br w:val="nil"/>
              <w:tr2bl w:val="nil"/>
            </w:tcBorders>
            <w:vAlign w:val="center"/>
          </w:tcPr>
          <w:p>
            <w:pPr>
              <w:autoSpaceDE w:val="0"/>
              <w:autoSpaceDN w:val="0"/>
              <w:spacing w:line="240" w:lineRule="auto"/>
              <w:jc w:val="center"/>
              <w:rPr>
                <w:lang w:val="zh-CN"/>
              </w:rPr>
            </w:pPr>
            <w:r>
              <w:rPr>
                <w:lang w:val="zh-CN"/>
              </w:rPr>
              <w:t>150m</w:t>
            </w:r>
          </w:p>
        </w:tc>
        <w:tc>
          <w:tcPr>
            <w:tcW w:w="841" w:type="dxa"/>
            <w:tcBorders>
              <w:tl2br w:val="nil"/>
              <w:tr2bl w:val="nil"/>
            </w:tcBorders>
            <w:vAlign w:val="center"/>
          </w:tcPr>
          <w:p>
            <w:pPr>
              <w:autoSpaceDE w:val="0"/>
              <w:autoSpaceDN w:val="0"/>
              <w:spacing w:line="240" w:lineRule="auto"/>
              <w:jc w:val="center"/>
              <w:rPr>
                <w:lang w:val="zh-CN"/>
              </w:rPr>
            </w:pPr>
            <w:r>
              <w:rPr>
                <w:lang w:val="zh-CN"/>
              </w:rPr>
              <w:t>200m</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2738" w:type="dxa"/>
            <w:tcBorders>
              <w:tl2br w:val="nil"/>
              <w:tr2bl w:val="nil"/>
            </w:tcBorders>
            <w:vAlign w:val="center"/>
          </w:tcPr>
          <w:p>
            <w:pPr>
              <w:autoSpaceDE w:val="0"/>
              <w:autoSpaceDN w:val="0"/>
              <w:spacing w:line="240" w:lineRule="auto"/>
              <w:jc w:val="center"/>
              <w:rPr>
                <w:lang w:val="zh-CN"/>
              </w:rPr>
            </w:pPr>
            <w:r>
              <w:rPr>
                <w:spacing w:val="-12"/>
                <w:lang w:val="zh-CN"/>
              </w:rPr>
              <w:t>组合一：土方阶段（翻斗车、装载机、推土机、挖掘机、平地机</w:t>
            </w:r>
            <w:r>
              <w:rPr>
                <w:lang w:val="zh-CN"/>
              </w:rPr>
              <w:t>）</w:t>
            </w:r>
          </w:p>
        </w:tc>
        <w:tc>
          <w:tcPr>
            <w:tcW w:w="841" w:type="dxa"/>
            <w:tcBorders>
              <w:tl2br w:val="nil"/>
              <w:tr2bl w:val="nil"/>
            </w:tcBorders>
            <w:vAlign w:val="center"/>
          </w:tcPr>
          <w:p>
            <w:pPr>
              <w:autoSpaceDE w:val="0"/>
              <w:autoSpaceDN w:val="0"/>
              <w:spacing w:line="240" w:lineRule="auto"/>
              <w:jc w:val="center"/>
              <w:rPr>
                <w:lang w:val="zh-CN"/>
              </w:rPr>
            </w:pPr>
            <w:r>
              <w:rPr>
                <w:lang w:val="zh-CN"/>
              </w:rPr>
              <w:t>79.6</w:t>
            </w:r>
          </w:p>
        </w:tc>
        <w:tc>
          <w:tcPr>
            <w:tcW w:w="841" w:type="dxa"/>
            <w:tcBorders>
              <w:tl2br w:val="nil"/>
              <w:tr2bl w:val="nil"/>
            </w:tcBorders>
            <w:vAlign w:val="center"/>
          </w:tcPr>
          <w:p>
            <w:pPr>
              <w:autoSpaceDE w:val="0"/>
              <w:autoSpaceDN w:val="0"/>
              <w:spacing w:line="240" w:lineRule="auto"/>
              <w:jc w:val="center"/>
              <w:rPr>
                <w:lang w:val="zh-CN"/>
              </w:rPr>
            </w:pPr>
            <w:r>
              <w:rPr>
                <w:lang w:val="zh-CN"/>
              </w:rPr>
              <w:t>76.1</w:t>
            </w:r>
          </w:p>
        </w:tc>
        <w:tc>
          <w:tcPr>
            <w:tcW w:w="841" w:type="dxa"/>
            <w:tcBorders>
              <w:tl2br w:val="nil"/>
              <w:tr2bl w:val="nil"/>
            </w:tcBorders>
            <w:vAlign w:val="center"/>
          </w:tcPr>
          <w:p>
            <w:pPr>
              <w:autoSpaceDE w:val="0"/>
              <w:autoSpaceDN w:val="0"/>
              <w:spacing w:line="240" w:lineRule="auto"/>
              <w:jc w:val="center"/>
              <w:rPr>
                <w:lang w:val="zh-CN"/>
              </w:rPr>
            </w:pPr>
            <w:r>
              <w:rPr>
                <w:lang w:val="zh-CN"/>
              </w:rPr>
              <w:t>71.6</w:t>
            </w:r>
          </w:p>
        </w:tc>
        <w:tc>
          <w:tcPr>
            <w:tcW w:w="841" w:type="dxa"/>
            <w:tcBorders>
              <w:tl2br w:val="nil"/>
              <w:tr2bl w:val="nil"/>
            </w:tcBorders>
            <w:vAlign w:val="center"/>
          </w:tcPr>
          <w:p>
            <w:pPr>
              <w:autoSpaceDE w:val="0"/>
              <w:autoSpaceDN w:val="0"/>
              <w:spacing w:line="240" w:lineRule="auto"/>
              <w:jc w:val="center"/>
              <w:rPr>
                <w:lang w:val="zh-CN"/>
              </w:rPr>
            </w:pPr>
            <w:r>
              <w:rPr>
                <w:lang w:val="zh-CN"/>
              </w:rPr>
              <w:t>65.6</w:t>
            </w:r>
          </w:p>
        </w:tc>
        <w:tc>
          <w:tcPr>
            <w:tcW w:w="841" w:type="dxa"/>
            <w:tcBorders>
              <w:tl2br w:val="nil"/>
              <w:tr2bl w:val="nil"/>
            </w:tcBorders>
            <w:vAlign w:val="center"/>
          </w:tcPr>
          <w:p>
            <w:pPr>
              <w:autoSpaceDE w:val="0"/>
              <w:autoSpaceDN w:val="0"/>
              <w:spacing w:line="240" w:lineRule="auto"/>
              <w:jc w:val="center"/>
              <w:rPr>
                <w:lang w:val="zh-CN"/>
              </w:rPr>
            </w:pPr>
            <w:r>
              <w:rPr>
                <w:lang w:val="zh-CN"/>
              </w:rPr>
              <w:t>62.1</w:t>
            </w:r>
          </w:p>
        </w:tc>
        <w:tc>
          <w:tcPr>
            <w:tcW w:w="841" w:type="dxa"/>
            <w:tcBorders>
              <w:tl2br w:val="nil"/>
              <w:tr2bl w:val="nil"/>
            </w:tcBorders>
            <w:vAlign w:val="center"/>
          </w:tcPr>
          <w:p>
            <w:pPr>
              <w:autoSpaceDE w:val="0"/>
              <w:autoSpaceDN w:val="0"/>
              <w:spacing w:line="240" w:lineRule="auto"/>
              <w:jc w:val="center"/>
              <w:rPr>
                <w:lang w:val="zh-CN"/>
              </w:rPr>
            </w:pPr>
            <w:r>
              <w:rPr>
                <w:lang w:val="zh-CN"/>
              </w:rPr>
              <w:t>59.6</w:t>
            </w:r>
          </w:p>
        </w:tc>
        <w:tc>
          <w:tcPr>
            <w:tcW w:w="841" w:type="dxa"/>
            <w:tcBorders>
              <w:tl2br w:val="nil"/>
              <w:tr2bl w:val="nil"/>
            </w:tcBorders>
            <w:vAlign w:val="center"/>
          </w:tcPr>
          <w:p>
            <w:pPr>
              <w:autoSpaceDE w:val="0"/>
              <w:autoSpaceDN w:val="0"/>
              <w:spacing w:line="240" w:lineRule="auto"/>
              <w:jc w:val="center"/>
              <w:rPr>
                <w:lang w:val="zh-CN"/>
              </w:rPr>
            </w:pPr>
            <w:r>
              <w:rPr>
                <w:lang w:val="zh-CN"/>
              </w:rPr>
              <w:t>56.1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2738" w:type="dxa"/>
            <w:tcBorders>
              <w:tl2br w:val="nil"/>
              <w:tr2bl w:val="nil"/>
            </w:tcBorders>
            <w:vAlign w:val="center"/>
          </w:tcPr>
          <w:p>
            <w:pPr>
              <w:autoSpaceDE w:val="0"/>
              <w:autoSpaceDN w:val="0"/>
              <w:spacing w:line="240" w:lineRule="auto"/>
              <w:jc w:val="center"/>
              <w:rPr>
                <w:lang w:val="zh-CN"/>
              </w:rPr>
            </w:pPr>
            <w:r>
              <w:rPr>
                <w:lang w:val="zh-CN"/>
              </w:rPr>
              <w:t>组合二：基础阶段（静压式打桩机、振捣棒）</w:t>
            </w:r>
          </w:p>
        </w:tc>
        <w:tc>
          <w:tcPr>
            <w:tcW w:w="841" w:type="dxa"/>
            <w:tcBorders>
              <w:tl2br w:val="nil"/>
              <w:tr2bl w:val="nil"/>
            </w:tcBorders>
            <w:vAlign w:val="center"/>
          </w:tcPr>
          <w:p>
            <w:pPr>
              <w:autoSpaceDE w:val="0"/>
              <w:autoSpaceDN w:val="0"/>
              <w:spacing w:line="240" w:lineRule="auto"/>
              <w:jc w:val="center"/>
            </w:pPr>
            <w:r>
              <w:t>82.5</w:t>
            </w:r>
          </w:p>
        </w:tc>
        <w:tc>
          <w:tcPr>
            <w:tcW w:w="841" w:type="dxa"/>
            <w:tcBorders>
              <w:tl2br w:val="nil"/>
              <w:tr2bl w:val="nil"/>
            </w:tcBorders>
            <w:vAlign w:val="center"/>
          </w:tcPr>
          <w:p>
            <w:pPr>
              <w:autoSpaceDE w:val="0"/>
              <w:autoSpaceDN w:val="0"/>
              <w:spacing w:line="240" w:lineRule="auto"/>
              <w:jc w:val="center"/>
            </w:pPr>
            <w:r>
              <w:t>80.0</w:t>
            </w:r>
          </w:p>
        </w:tc>
        <w:tc>
          <w:tcPr>
            <w:tcW w:w="841" w:type="dxa"/>
            <w:tcBorders>
              <w:tl2br w:val="nil"/>
              <w:tr2bl w:val="nil"/>
            </w:tcBorders>
            <w:vAlign w:val="center"/>
          </w:tcPr>
          <w:p>
            <w:pPr>
              <w:autoSpaceDE w:val="0"/>
              <w:autoSpaceDN w:val="0"/>
              <w:spacing w:line="240" w:lineRule="auto"/>
              <w:jc w:val="center"/>
            </w:pPr>
            <w:r>
              <w:t>76.5</w:t>
            </w:r>
          </w:p>
        </w:tc>
        <w:tc>
          <w:tcPr>
            <w:tcW w:w="841" w:type="dxa"/>
            <w:tcBorders>
              <w:tl2br w:val="nil"/>
              <w:tr2bl w:val="nil"/>
            </w:tcBorders>
            <w:vAlign w:val="center"/>
          </w:tcPr>
          <w:p>
            <w:pPr>
              <w:autoSpaceDE w:val="0"/>
              <w:autoSpaceDN w:val="0"/>
              <w:spacing w:line="240" w:lineRule="auto"/>
              <w:jc w:val="center"/>
            </w:pPr>
            <w:r>
              <w:t>72.0</w:t>
            </w:r>
          </w:p>
        </w:tc>
        <w:tc>
          <w:tcPr>
            <w:tcW w:w="841" w:type="dxa"/>
            <w:tcBorders>
              <w:tl2br w:val="nil"/>
              <w:tr2bl w:val="nil"/>
            </w:tcBorders>
            <w:vAlign w:val="center"/>
          </w:tcPr>
          <w:p>
            <w:pPr>
              <w:autoSpaceDE w:val="0"/>
              <w:autoSpaceDN w:val="0"/>
              <w:spacing w:line="240" w:lineRule="auto"/>
              <w:jc w:val="center"/>
            </w:pPr>
            <w:r>
              <w:t>66.0</w:t>
            </w:r>
          </w:p>
        </w:tc>
        <w:tc>
          <w:tcPr>
            <w:tcW w:w="841" w:type="dxa"/>
            <w:tcBorders>
              <w:tl2br w:val="nil"/>
              <w:tr2bl w:val="nil"/>
            </w:tcBorders>
            <w:vAlign w:val="center"/>
          </w:tcPr>
          <w:p>
            <w:pPr>
              <w:autoSpaceDE w:val="0"/>
              <w:autoSpaceDN w:val="0"/>
              <w:spacing w:line="240" w:lineRule="auto"/>
              <w:jc w:val="center"/>
            </w:pPr>
            <w:r>
              <w:t>62.5</w:t>
            </w:r>
          </w:p>
        </w:tc>
        <w:tc>
          <w:tcPr>
            <w:tcW w:w="841" w:type="dxa"/>
            <w:tcBorders>
              <w:tl2br w:val="nil"/>
              <w:tr2bl w:val="nil"/>
            </w:tcBorders>
            <w:vAlign w:val="center"/>
          </w:tcPr>
          <w:p>
            <w:pPr>
              <w:autoSpaceDE w:val="0"/>
              <w:autoSpaceDN w:val="0"/>
              <w:spacing w:line="240" w:lineRule="auto"/>
              <w:jc w:val="center"/>
            </w:pPr>
            <w:r>
              <w:t>60.0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2738" w:type="dxa"/>
            <w:tcBorders>
              <w:tl2br w:val="nil"/>
              <w:tr2bl w:val="nil"/>
            </w:tcBorders>
            <w:vAlign w:val="center"/>
          </w:tcPr>
          <w:p>
            <w:pPr>
              <w:autoSpaceDE w:val="0"/>
              <w:autoSpaceDN w:val="0"/>
              <w:spacing w:line="240" w:lineRule="auto"/>
              <w:jc w:val="center"/>
              <w:rPr>
                <w:lang w:val="zh-CN"/>
              </w:rPr>
            </w:pPr>
            <w:r>
              <w:rPr>
                <w:lang w:val="zh-CN"/>
              </w:rPr>
              <w:t>组合三：结构阶段（砼输送泵、振捣棒、切割机）</w:t>
            </w:r>
          </w:p>
        </w:tc>
        <w:tc>
          <w:tcPr>
            <w:tcW w:w="841" w:type="dxa"/>
            <w:tcBorders>
              <w:tl2br w:val="nil"/>
              <w:tr2bl w:val="nil"/>
            </w:tcBorders>
            <w:vAlign w:val="center"/>
          </w:tcPr>
          <w:p>
            <w:pPr>
              <w:autoSpaceDE w:val="0"/>
              <w:autoSpaceDN w:val="0"/>
              <w:spacing w:line="240" w:lineRule="auto"/>
              <w:jc w:val="center"/>
            </w:pPr>
            <w:r>
              <w:t>78.2</w:t>
            </w:r>
          </w:p>
        </w:tc>
        <w:tc>
          <w:tcPr>
            <w:tcW w:w="841" w:type="dxa"/>
            <w:tcBorders>
              <w:tl2br w:val="nil"/>
              <w:tr2bl w:val="nil"/>
            </w:tcBorders>
            <w:vAlign w:val="center"/>
          </w:tcPr>
          <w:p>
            <w:pPr>
              <w:autoSpaceDE w:val="0"/>
              <w:autoSpaceDN w:val="0"/>
              <w:spacing w:line="240" w:lineRule="auto"/>
              <w:jc w:val="center"/>
            </w:pPr>
            <w:r>
              <w:t>74.7</w:t>
            </w:r>
          </w:p>
        </w:tc>
        <w:tc>
          <w:tcPr>
            <w:tcW w:w="841" w:type="dxa"/>
            <w:tcBorders>
              <w:tl2br w:val="nil"/>
              <w:tr2bl w:val="nil"/>
            </w:tcBorders>
            <w:vAlign w:val="center"/>
          </w:tcPr>
          <w:p>
            <w:pPr>
              <w:autoSpaceDE w:val="0"/>
              <w:autoSpaceDN w:val="0"/>
              <w:spacing w:line="240" w:lineRule="auto"/>
              <w:jc w:val="center"/>
            </w:pPr>
            <w:r>
              <w:t>70.2</w:t>
            </w:r>
          </w:p>
        </w:tc>
        <w:tc>
          <w:tcPr>
            <w:tcW w:w="841" w:type="dxa"/>
            <w:tcBorders>
              <w:tl2br w:val="nil"/>
              <w:tr2bl w:val="nil"/>
            </w:tcBorders>
            <w:vAlign w:val="center"/>
          </w:tcPr>
          <w:p>
            <w:pPr>
              <w:autoSpaceDE w:val="0"/>
              <w:autoSpaceDN w:val="0"/>
              <w:spacing w:line="240" w:lineRule="auto"/>
              <w:jc w:val="center"/>
            </w:pPr>
            <w:r>
              <w:t>64.2</w:t>
            </w:r>
          </w:p>
        </w:tc>
        <w:tc>
          <w:tcPr>
            <w:tcW w:w="841" w:type="dxa"/>
            <w:tcBorders>
              <w:tl2br w:val="nil"/>
              <w:tr2bl w:val="nil"/>
            </w:tcBorders>
            <w:vAlign w:val="center"/>
          </w:tcPr>
          <w:p>
            <w:pPr>
              <w:autoSpaceDE w:val="0"/>
              <w:autoSpaceDN w:val="0"/>
              <w:spacing w:line="240" w:lineRule="auto"/>
              <w:jc w:val="center"/>
            </w:pPr>
            <w:r>
              <w:t>60.7</w:t>
            </w:r>
          </w:p>
        </w:tc>
        <w:tc>
          <w:tcPr>
            <w:tcW w:w="841" w:type="dxa"/>
            <w:tcBorders>
              <w:tl2br w:val="nil"/>
              <w:tr2bl w:val="nil"/>
            </w:tcBorders>
            <w:vAlign w:val="center"/>
          </w:tcPr>
          <w:p>
            <w:pPr>
              <w:autoSpaceDE w:val="0"/>
              <w:autoSpaceDN w:val="0"/>
              <w:spacing w:line="240" w:lineRule="auto"/>
              <w:jc w:val="center"/>
            </w:pPr>
            <w:r>
              <w:t>58.2</w:t>
            </w:r>
          </w:p>
        </w:tc>
        <w:tc>
          <w:tcPr>
            <w:tcW w:w="841" w:type="dxa"/>
            <w:tcBorders>
              <w:tl2br w:val="nil"/>
              <w:tr2bl w:val="nil"/>
            </w:tcBorders>
            <w:vAlign w:val="center"/>
          </w:tcPr>
          <w:p>
            <w:pPr>
              <w:autoSpaceDE w:val="0"/>
              <w:autoSpaceDN w:val="0"/>
              <w:spacing w:line="240" w:lineRule="auto"/>
              <w:jc w:val="center"/>
            </w:pPr>
            <w:r>
              <w:t>54.7</w:t>
            </w:r>
          </w:p>
        </w:tc>
      </w:tr>
    </w:tbl>
    <w:p>
      <w:pPr>
        <w:autoSpaceDE w:val="0"/>
        <w:autoSpaceDN w:val="0"/>
        <w:ind w:firstLine="480" w:firstLineChars="200"/>
        <w:rPr>
          <w:sz w:val="24"/>
          <w:szCs w:val="24"/>
          <w:lang w:val="zh-CN"/>
        </w:rPr>
      </w:pPr>
      <w:r>
        <w:rPr>
          <w:sz w:val="24"/>
          <w:szCs w:val="24"/>
          <w:lang w:val="zh-CN"/>
        </w:rPr>
        <w:t>由上表可知，施工期昼间土方阶段、结构阶段噪声源组合在距场界30米外能够达标，基础阶段噪声源组合在距场界50米外能够达标，施工期夜间均不能满足</w:t>
      </w:r>
      <w:r>
        <w:rPr>
          <w:sz w:val="24"/>
          <w:szCs w:val="24"/>
        </w:rPr>
        <w:t>《建筑施工场界环境噪声排放标准》（GB12523-2011）</w:t>
      </w:r>
      <w:r>
        <w:rPr>
          <w:sz w:val="24"/>
          <w:szCs w:val="24"/>
          <w:lang w:val="zh-CN"/>
        </w:rPr>
        <w:t>所规定的施工场界噪声限值。</w:t>
      </w:r>
    </w:p>
    <w:p>
      <w:pPr>
        <w:autoSpaceDE w:val="0"/>
        <w:autoSpaceDN w:val="0"/>
        <w:ind w:firstLine="480" w:firstLineChars="200"/>
        <w:rPr>
          <w:sz w:val="24"/>
          <w:szCs w:val="24"/>
          <w:lang w:val="zh-CN"/>
        </w:rPr>
      </w:pPr>
      <w:r>
        <w:rPr>
          <w:sz w:val="24"/>
          <w:szCs w:val="24"/>
          <w:lang w:val="zh-CN"/>
        </w:rPr>
        <w:t>根据分析结果，施工阶段在不采取任何噪声防治措施的情况下，建设项目施工期噪声对周边影响较大，因此，建设单位必须采取下列针对性噪声防治措施：</w:t>
      </w:r>
    </w:p>
    <w:p>
      <w:pPr>
        <w:autoSpaceDE w:val="0"/>
        <w:autoSpaceDN w:val="0"/>
        <w:ind w:firstLine="480" w:firstLineChars="200"/>
        <w:rPr>
          <w:sz w:val="24"/>
          <w:szCs w:val="24"/>
          <w:lang w:val="zh-CN"/>
        </w:rPr>
      </w:pPr>
      <w:r>
        <w:rPr>
          <w:sz w:val="24"/>
          <w:szCs w:val="24"/>
          <w:lang w:val="zh-CN"/>
        </w:rPr>
        <w:t>A、合理安排施工时间，严禁昼间（12:00-2:00）和夜间（22：00-次日6:00）施工；若因工艺或特殊需要必须连续施工，施工单位应在施工前3日内报请地方环保部门批准，并向施工场地周围的居民或单位发布公告，同时严禁中、高考期间施工；</w:t>
      </w:r>
    </w:p>
    <w:p>
      <w:pPr>
        <w:autoSpaceDE w:val="0"/>
        <w:autoSpaceDN w:val="0"/>
        <w:ind w:firstLine="480" w:firstLineChars="200"/>
        <w:rPr>
          <w:sz w:val="24"/>
          <w:szCs w:val="24"/>
          <w:lang w:val="zh-CN"/>
        </w:rPr>
      </w:pPr>
      <w:r>
        <w:rPr>
          <w:sz w:val="24"/>
          <w:szCs w:val="24"/>
          <w:lang w:val="zh-CN"/>
        </w:rPr>
        <w:t>B、施工须选用低噪设备，专人负责保养维护；</w:t>
      </w:r>
    </w:p>
    <w:p>
      <w:pPr>
        <w:autoSpaceDE w:val="0"/>
        <w:autoSpaceDN w:val="0"/>
        <w:ind w:firstLine="480" w:firstLineChars="200"/>
        <w:rPr>
          <w:sz w:val="24"/>
          <w:szCs w:val="24"/>
          <w:lang w:val="zh-CN"/>
        </w:rPr>
      </w:pPr>
      <w:r>
        <w:rPr>
          <w:sz w:val="24"/>
          <w:szCs w:val="24"/>
          <w:lang w:val="zh-CN"/>
        </w:rPr>
        <w:t>C、施工单位须将木工房、钢筋加工间等高噪声作业点根据实际情况合理的布置于施工场区中部或者西南部靠近春秋路侧（最大程度远离敏感点），以有效利用施工场区的距离衰减减少对项目周边的影响，同时对施工期固定的机械设备尽量入棚操作；</w:t>
      </w:r>
    </w:p>
    <w:p>
      <w:pPr>
        <w:autoSpaceDE w:val="0"/>
        <w:autoSpaceDN w:val="0"/>
        <w:ind w:firstLine="480" w:firstLineChars="200"/>
        <w:rPr>
          <w:sz w:val="24"/>
          <w:szCs w:val="24"/>
          <w:lang w:val="zh-CN"/>
        </w:rPr>
      </w:pPr>
      <w:r>
        <w:rPr>
          <w:sz w:val="24"/>
          <w:szCs w:val="24"/>
          <w:lang w:val="zh-CN"/>
        </w:rPr>
        <w:t>D、建设单位应在各场界设置高围挡，根据类比，上述声屏障可有效隔声10-20dB（A），可大大减少施工噪声对敏感点的影响；此外，在结构阶段和装修阶段，建设单位应对建筑物外部采用围挡，以减轻施工噪声对环境影响；</w:t>
      </w:r>
    </w:p>
    <w:p>
      <w:pPr>
        <w:autoSpaceDE w:val="0"/>
        <w:autoSpaceDN w:val="0"/>
        <w:ind w:firstLine="480" w:firstLineChars="200"/>
        <w:rPr>
          <w:sz w:val="24"/>
          <w:szCs w:val="24"/>
          <w:lang w:val="zh-CN"/>
        </w:rPr>
      </w:pPr>
      <w:r>
        <w:rPr>
          <w:sz w:val="24"/>
          <w:szCs w:val="24"/>
          <w:lang w:val="zh-CN"/>
        </w:rPr>
        <w:t>E、施工车辆出入地点应尽量远离敏感点，同时车辆出入现场时须低速、禁鸣，最大限度减少施工噪声影响；</w:t>
      </w:r>
    </w:p>
    <w:p>
      <w:pPr>
        <w:autoSpaceDE w:val="0"/>
        <w:autoSpaceDN w:val="0"/>
        <w:ind w:firstLine="480" w:firstLineChars="200"/>
        <w:rPr>
          <w:sz w:val="24"/>
          <w:szCs w:val="24"/>
          <w:lang w:val="zh-CN"/>
        </w:rPr>
      </w:pPr>
      <w:r>
        <w:rPr>
          <w:sz w:val="24"/>
          <w:szCs w:val="24"/>
          <w:lang w:val="zh-CN"/>
        </w:rPr>
        <w:t>F、建设管理部门应加强对施工场地的噪声管理，施工企业也应对施工噪声进行自律，文明施工，禁止工人恶意制造噪声，避免因施工噪声产生纠纷；</w:t>
      </w:r>
    </w:p>
    <w:p>
      <w:pPr>
        <w:autoSpaceDE w:val="0"/>
        <w:autoSpaceDN w:val="0"/>
        <w:ind w:firstLine="480" w:firstLineChars="200"/>
        <w:rPr>
          <w:sz w:val="24"/>
          <w:szCs w:val="24"/>
          <w:lang w:val="zh-CN"/>
        </w:rPr>
      </w:pPr>
      <w:r>
        <w:rPr>
          <w:sz w:val="24"/>
          <w:szCs w:val="24"/>
          <w:lang w:val="zh-CN"/>
        </w:rPr>
        <w:t>G、建设与施工单位还应与施工场地周围居民建立良好的关系，及时让他们了解施工进度及采取的降噪措施，并取得大家的共同理解。</w:t>
      </w:r>
    </w:p>
    <w:p>
      <w:pPr>
        <w:autoSpaceDE w:val="0"/>
        <w:autoSpaceDN w:val="0"/>
        <w:ind w:firstLine="480" w:firstLineChars="200"/>
        <w:rPr>
          <w:sz w:val="24"/>
          <w:szCs w:val="24"/>
        </w:rPr>
      </w:pPr>
      <w:r>
        <w:rPr>
          <w:sz w:val="24"/>
          <w:szCs w:val="24"/>
        </w:rPr>
        <w:t>根据类比计算，建设单位在严格落实上述噪声防治措施后，施工期噪声将得到有效控制，施工噪声能有效降低约20~30dB（A）左右，施工噪声对环境敏感点噪声影响基本可在接受范围之内。</w:t>
      </w:r>
    </w:p>
    <w:p>
      <w:pPr>
        <w:autoSpaceDE w:val="0"/>
        <w:autoSpaceDN w:val="0"/>
        <w:ind w:firstLine="480" w:firstLineChars="200"/>
        <w:rPr>
          <w:sz w:val="24"/>
          <w:szCs w:val="24"/>
          <w:lang w:val="zh-CN"/>
        </w:rPr>
      </w:pPr>
      <w:r>
        <w:rPr>
          <w:sz w:val="24"/>
          <w:szCs w:val="24"/>
        </w:rPr>
        <w:t>此外，施工期相对运营期而言，其噪声影响是暂时的，一旦施工活动结束，施工噪声影响也就随之结束。</w:t>
      </w:r>
    </w:p>
    <w:p>
      <w:pPr>
        <w:ind w:firstLine="514" w:firstLineChars="200"/>
        <w:rPr>
          <w:sz w:val="24"/>
          <w:szCs w:val="24"/>
        </w:rPr>
      </w:pPr>
      <w:r>
        <w:rPr>
          <w:b/>
          <w:spacing w:val="8"/>
          <w:kern w:val="0"/>
          <w:sz w:val="24"/>
          <w:szCs w:val="24"/>
        </w:rPr>
        <w:t>3、施工期水环境影响分析</w:t>
      </w:r>
    </w:p>
    <w:p>
      <w:pPr>
        <w:ind w:firstLine="480" w:firstLineChars="200"/>
        <w:rPr>
          <w:sz w:val="24"/>
          <w:szCs w:val="24"/>
          <w:lang w:val="zh-CN"/>
        </w:rPr>
      </w:pPr>
      <w:r>
        <w:rPr>
          <w:sz w:val="24"/>
          <w:szCs w:val="24"/>
        </w:rPr>
        <w:t>项目施工期主要道路将采用砼硬化路面，场地四周将敷设排水沟（管），并利用洼地修建临时沉淀池，含SS、微量机油的施工废水及场地的车辆清洗废水排入沉淀池进行沉淀澄清处理后回用。桩基工程产生的泥浆水，SS浓度高，肆意排放会造成周边沟、渠、雨水管道的堵塞，必须排入沉淀池进行沉淀澄清处理后回用，不得随意排放。</w:t>
      </w:r>
    </w:p>
    <w:p>
      <w:pPr>
        <w:ind w:firstLine="480" w:firstLineChars="200"/>
        <w:rPr>
          <w:sz w:val="24"/>
          <w:szCs w:val="24"/>
          <w:lang w:val="zh-CN"/>
        </w:rPr>
      </w:pPr>
      <w:r>
        <w:rPr>
          <w:sz w:val="24"/>
          <w:szCs w:val="24"/>
          <w:lang w:val="zh-CN"/>
        </w:rPr>
        <w:t>施工</w:t>
      </w:r>
      <w:r>
        <w:rPr>
          <w:sz w:val="24"/>
          <w:szCs w:val="24"/>
        </w:rPr>
        <w:t>场地污水（车辆清洗水、施工废水）经初步隔油、沉淀处理，沉淀时间不少于2小时，尽可能回用于施工用水；多余废水可就地泼洒，但应注意洒水量以及洒水地点的控制，避免施工废水进入沿周围干道漫流。施</w:t>
      </w:r>
      <w:r>
        <w:rPr>
          <w:sz w:val="24"/>
          <w:szCs w:val="24"/>
          <w:lang w:val="zh-CN"/>
        </w:rPr>
        <w:t>工机械设备的废机油及机修时排放的废油，虽然排放量不大，但含有高浓度有机物，若倒入水体会产生严重的水体污染，必须加强管理，及时收集，严禁乱倒，防止污染水环境。</w:t>
      </w:r>
    </w:p>
    <w:p>
      <w:pPr>
        <w:ind w:firstLine="480" w:firstLineChars="200"/>
        <w:rPr>
          <w:sz w:val="24"/>
          <w:szCs w:val="24"/>
          <w:lang w:val="zh-CN"/>
        </w:rPr>
      </w:pPr>
      <w:r>
        <w:rPr>
          <w:sz w:val="24"/>
          <w:szCs w:val="24"/>
          <w:lang w:val="zh-CN"/>
        </w:rPr>
        <w:t>挖方和填方在降雨时会有大量的泥沙流入下水道，致使水体浑浊，悬浮物增多，土壤颗粒吸附的化学物质进入水体，会使水中的pH值发生变化，因此，施工单位应做好建筑材料建筑废料以及土方的管理，防止它们成为地面水的二次污染源。</w:t>
      </w:r>
    </w:p>
    <w:p>
      <w:pPr>
        <w:ind w:firstLine="480" w:firstLineChars="200"/>
        <w:rPr>
          <w:sz w:val="24"/>
          <w:szCs w:val="24"/>
          <w:lang w:val="zh-CN"/>
        </w:rPr>
      </w:pPr>
      <w:r>
        <w:rPr>
          <w:sz w:val="24"/>
          <w:szCs w:val="24"/>
        </w:rPr>
        <w:t>在采取上述措施后，项目施工废水对周围环境影响不大。</w:t>
      </w:r>
    </w:p>
    <w:p>
      <w:pPr>
        <w:ind w:firstLine="482" w:firstLineChars="200"/>
        <w:rPr>
          <w:sz w:val="24"/>
          <w:szCs w:val="24"/>
          <w:lang w:val="zh-CN"/>
        </w:rPr>
      </w:pPr>
      <w:r>
        <w:rPr>
          <w:b/>
          <w:sz w:val="24"/>
          <w:szCs w:val="24"/>
        </w:rPr>
        <w:t>4、施工期固废环境影响分析</w:t>
      </w:r>
    </w:p>
    <w:p>
      <w:pPr>
        <w:ind w:firstLine="480" w:firstLineChars="200"/>
        <w:rPr>
          <w:sz w:val="24"/>
          <w:szCs w:val="24"/>
        </w:rPr>
      </w:pPr>
      <w:r>
        <w:rPr>
          <w:sz w:val="24"/>
          <w:szCs w:val="24"/>
        </w:rPr>
        <w:t>项目施工期固废主要有建筑施工和装修过程中产生的建筑垃圾、施工人员的生活垃圾以及开挖土石方。</w:t>
      </w:r>
    </w:p>
    <w:p>
      <w:pPr>
        <w:ind w:firstLine="480" w:firstLineChars="200"/>
        <w:rPr>
          <w:sz w:val="24"/>
          <w:szCs w:val="24"/>
        </w:rPr>
      </w:pPr>
      <w:r>
        <w:rPr>
          <w:sz w:val="24"/>
          <w:szCs w:val="24"/>
        </w:rPr>
        <w:t>施工期生活垃圾集中收集后，由环卫部门定期清运至城市垃圾填埋场填埋处理。</w:t>
      </w:r>
    </w:p>
    <w:p>
      <w:pPr>
        <w:ind w:firstLine="480" w:firstLineChars="200"/>
        <w:rPr>
          <w:sz w:val="24"/>
          <w:szCs w:val="24"/>
        </w:rPr>
      </w:pPr>
      <w:r>
        <w:rPr>
          <w:sz w:val="24"/>
          <w:szCs w:val="24"/>
        </w:rPr>
        <w:t>工程施工过程中产生的建筑垃圾和废弃渣土应严格落实建设部《城市建筑垃圾和工程渣土管理规定》及其他相关规定和要求，妥善做好施工期间工地建筑垃圾和渣土的临时暂存、清运及综合处置工作。具体如下：</w:t>
      </w:r>
    </w:p>
    <w:p>
      <w:pPr>
        <w:ind w:firstLine="480" w:firstLineChars="200"/>
        <w:rPr>
          <w:sz w:val="24"/>
          <w:szCs w:val="24"/>
        </w:rPr>
      </w:pPr>
      <w:r>
        <w:rPr>
          <w:sz w:val="24"/>
          <w:szCs w:val="24"/>
        </w:rPr>
        <w:t>（1）施工期建筑垃圾的主要成分是混凝土、石块、砂石、渣土等，一般不存在“二次污染”的问题，部分可回收利用，也可以用做其他工程回填，如铺设道路，剩余少量建筑垃圾按照城市建设管理部门要求清运至城市建筑垃圾填埋场作无害化处置。同时做好施工过程中多余渣土和建筑垃圾的及时清运工作，避免在场地长期堆存，渣土和建筑垃圾临时堆存场所应选择在远离周边水体、地势平坦区域，同时做好堆场四周围挡和排水等水保措施。</w:t>
      </w:r>
    </w:p>
    <w:p>
      <w:pPr>
        <w:ind w:firstLine="480" w:firstLineChars="200"/>
        <w:rPr>
          <w:sz w:val="24"/>
          <w:szCs w:val="24"/>
        </w:rPr>
      </w:pPr>
      <w:r>
        <w:rPr>
          <w:sz w:val="24"/>
          <w:szCs w:val="24"/>
        </w:rPr>
        <w:t>（2）不得将建筑施工渣土（建筑垃圾）混入生活垃圾，不得将危险废物混入建筑施工渣土（建筑垃圾），不得擅自设立弃置场受纳建筑施工渣土（建筑垃圾）。</w:t>
      </w:r>
    </w:p>
    <w:p>
      <w:pPr>
        <w:ind w:firstLine="480" w:firstLineChars="200"/>
        <w:rPr>
          <w:sz w:val="24"/>
          <w:szCs w:val="24"/>
        </w:rPr>
      </w:pPr>
      <w:r>
        <w:rPr>
          <w:sz w:val="24"/>
          <w:szCs w:val="24"/>
        </w:rPr>
        <w:t>（3）建设或施工单位应当及时清运工程施工过程中产生的建筑施工渣土（建筑垃圾），保持市容市貌，防止环境污染。</w:t>
      </w:r>
    </w:p>
    <w:p>
      <w:pPr>
        <w:ind w:firstLine="480" w:firstLineChars="200"/>
        <w:rPr>
          <w:sz w:val="24"/>
          <w:szCs w:val="24"/>
        </w:rPr>
      </w:pPr>
      <w:r>
        <w:rPr>
          <w:sz w:val="24"/>
          <w:szCs w:val="24"/>
        </w:rPr>
        <w:t>（4）运输建筑施工渣土（建筑垃圾）的车辆应符合限定载重吨位和防遗撒、防扬尘运输要求。建筑垃圾、工程渣土准运证由县城管执法部门按一车一证核发。未取得建筑施工渣土（建筑垃圾）准运证的车辆不得运输建筑垃圾、工程渣土。</w:t>
      </w:r>
    </w:p>
    <w:p>
      <w:pPr>
        <w:ind w:firstLine="480" w:firstLineChars="200"/>
        <w:rPr>
          <w:sz w:val="24"/>
          <w:szCs w:val="24"/>
        </w:rPr>
      </w:pPr>
      <w:r>
        <w:rPr>
          <w:sz w:val="24"/>
          <w:szCs w:val="24"/>
        </w:rPr>
        <w:t>（5）建筑施工渣土（建筑垃圾）运输单位，应当严格落实建筑施工渣土（建筑垃圾）运输及堆放管理措施。建筑施工渣土（建筑垃圾）车辆证照不全或未经运输核准不准进入施工现场；应当随车携带建筑施工渣土（建筑垃圾）准运证，按规定的路线、时间行驶，不得随意变更；确需变更的，须经原审批部门同意后，方可变更。在运输过程中，车辆必须采取全封闭、全覆盖措施，确保车辆整洁，不抛洒滴漏，不污染路面，并按照县城管执法部门批准的运输路线、时间、堆放场地进行运输、倾倒。遇重污染天气，省、市、县启动大气污染预警应急二级、一级响应时，在预警发布至解除期间，禁止一切建筑施工渣土（建筑垃圾）运输活动。严禁出让、转借、涂改和仿造渣土处置核准文件和准运证。</w:t>
      </w:r>
    </w:p>
    <w:p>
      <w:pPr>
        <w:ind w:firstLine="480" w:firstLineChars="200"/>
        <w:rPr>
          <w:sz w:val="24"/>
          <w:szCs w:val="24"/>
        </w:rPr>
      </w:pPr>
      <w:r>
        <w:rPr>
          <w:sz w:val="24"/>
          <w:szCs w:val="24"/>
        </w:rPr>
        <w:t>（6）建筑施工渣土（建筑垃圾）运输作业时，建设单位或施工单位应当督促运输单位在清运时间内组织人力、物力或委托专业市容环境卫生服务单位做好车辆运输线路沿途的污染清理工作。</w:t>
      </w:r>
    </w:p>
    <w:p>
      <w:pPr>
        <w:ind w:firstLine="480" w:firstLineChars="200"/>
        <w:rPr>
          <w:b/>
          <w:sz w:val="24"/>
          <w:szCs w:val="24"/>
        </w:rPr>
      </w:pPr>
      <w:r>
        <w:rPr>
          <w:sz w:val="24"/>
          <w:szCs w:val="24"/>
        </w:rPr>
        <w:t>综上所述，本项目施工期建设单位在采取上述治理措施后，本项目施工期的固体废弃物均实现清洁处理和处置，不致造成二次污染，对周围环境影响较小。</w:t>
      </w:r>
    </w:p>
    <w:p>
      <w:pPr>
        <w:ind w:firstLine="482" w:firstLineChars="200"/>
        <w:rPr>
          <w:sz w:val="24"/>
          <w:szCs w:val="24"/>
          <w:lang w:val="zh-CN"/>
        </w:rPr>
      </w:pPr>
      <w:r>
        <w:rPr>
          <w:b/>
          <w:sz w:val="24"/>
          <w:szCs w:val="24"/>
        </w:rPr>
        <w:t>5、水土流失环境影响分析</w:t>
      </w:r>
    </w:p>
    <w:p>
      <w:pPr>
        <w:ind w:firstLine="480" w:firstLineChars="200"/>
        <w:rPr>
          <w:sz w:val="24"/>
          <w:szCs w:val="24"/>
        </w:rPr>
      </w:pPr>
      <w:r>
        <w:rPr>
          <w:sz w:val="24"/>
          <w:szCs w:val="24"/>
        </w:rPr>
        <w:t>项目建设期间，大规模土地平整和基坑开挖，必然扰动现有地貌，使大量表土裸露呈松散状态，抗蚀能力减弱，致使土壤侵蚀模数增大，加剧区域内水土流失趋势。同时，施工中大量散状物如砂、石、水泥堆积产生的扬尘，砂石料冲洗和混凝土养护工程等均可能产生新的水土流失。因此，建设单位须采取有效的水土流失防治措施。</w:t>
      </w:r>
    </w:p>
    <w:p>
      <w:pPr>
        <w:ind w:firstLine="480" w:firstLineChars="200"/>
        <w:rPr>
          <w:sz w:val="24"/>
          <w:szCs w:val="24"/>
          <w:lang w:val="zh-CN"/>
        </w:rPr>
      </w:pPr>
      <w:r>
        <w:rPr>
          <w:sz w:val="24"/>
          <w:szCs w:val="24"/>
        </w:rPr>
        <w:t>建设单位应做到：</w:t>
      </w:r>
    </w:p>
    <w:p>
      <w:pPr>
        <w:autoSpaceDE w:val="0"/>
        <w:autoSpaceDN w:val="0"/>
        <w:ind w:firstLine="480" w:firstLineChars="200"/>
        <w:rPr>
          <w:sz w:val="24"/>
          <w:szCs w:val="24"/>
        </w:rPr>
      </w:pPr>
      <w:r>
        <w:rPr>
          <w:sz w:val="24"/>
          <w:szCs w:val="24"/>
        </w:rPr>
        <w:t>①建设过程中产生的弃土方以及施工材料临时堆场须在距离道路、沟渠、河道等较远的平整场地，并采取相应拦挡措施，禁止向其它任何地方倾倒、堆置弃土弃渣；</w:t>
      </w:r>
    </w:p>
    <w:p>
      <w:pPr>
        <w:autoSpaceDE w:val="0"/>
        <w:autoSpaceDN w:val="0"/>
        <w:ind w:firstLine="480" w:firstLineChars="200"/>
        <w:rPr>
          <w:sz w:val="24"/>
          <w:szCs w:val="24"/>
        </w:rPr>
      </w:pPr>
      <w:r>
        <w:rPr>
          <w:sz w:val="24"/>
          <w:szCs w:val="24"/>
        </w:rPr>
        <w:t>②施工期间开挖土方用于回填场地及铺设道路，其实施过程应合理衔接，尽量避免土方堆置，若需堆置则应注意土方的合理堆置，与周边道路保持一定距离，尽量避免流入周边道路管网；</w:t>
      </w:r>
    </w:p>
    <w:p>
      <w:pPr>
        <w:autoSpaceDE w:val="0"/>
        <w:autoSpaceDN w:val="0"/>
        <w:ind w:firstLine="480" w:firstLineChars="200"/>
        <w:rPr>
          <w:sz w:val="24"/>
          <w:szCs w:val="24"/>
        </w:rPr>
      </w:pPr>
      <w:r>
        <w:rPr>
          <w:sz w:val="24"/>
          <w:szCs w:val="24"/>
        </w:rPr>
        <w:t>③开挖土石方尽量避免雨季，防止突发暴雨对裸露地表冲刷造成水土流失，施工阶段遇到雨季无法施工时须采取必要的护坡措施（设临时挡墙），避免发生大面积的水土流失堵塞管道；</w:t>
      </w:r>
    </w:p>
    <w:p>
      <w:pPr>
        <w:autoSpaceDE w:val="0"/>
        <w:autoSpaceDN w:val="0"/>
        <w:ind w:firstLine="480" w:firstLineChars="200"/>
        <w:rPr>
          <w:sz w:val="24"/>
          <w:szCs w:val="24"/>
        </w:rPr>
      </w:pPr>
      <w:r>
        <w:rPr>
          <w:sz w:val="24"/>
          <w:szCs w:val="24"/>
        </w:rPr>
        <w:t>④合理安排作业时段并适时加快施工进度，施工结束应及时清理场地，按照规划对项目区域场地进行硬化、绿化、种植草木，尽量将水土流失降到最低；</w:t>
      </w:r>
    </w:p>
    <w:p>
      <w:pPr>
        <w:ind w:firstLine="480" w:firstLineChars="200"/>
        <w:rPr>
          <w:sz w:val="24"/>
          <w:szCs w:val="24"/>
        </w:rPr>
      </w:pPr>
      <w:r>
        <w:rPr>
          <w:sz w:val="24"/>
          <w:szCs w:val="24"/>
        </w:rPr>
        <w:t>⑤渣土运输进出施工场地道路必须进行硬化，且在出入口处挖设浅沟，对来往车辆车轮进行冲洗，避免将施工场地内的泥沙带出场外。施工完毕后小区内裸露的空地应及时进行全面绿化复垦，通过植树种草，美化环境，保持水土；</w:t>
      </w:r>
    </w:p>
    <w:p>
      <w:pPr>
        <w:ind w:firstLine="480" w:firstLineChars="200"/>
        <w:rPr>
          <w:sz w:val="24"/>
          <w:szCs w:val="24"/>
        </w:rPr>
      </w:pPr>
      <w:r>
        <w:rPr>
          <w:sz w:val="24"/>
          <w:szCs w:val="24"/>
        </w:rPr>
        <w:t>⑥</w:t>
      </w:r>
      <w:r>
        <w:rPr>
          <w:sz w:val="24"/>
          <w:szCs w:val="24"/>
          <w:lang w:val="zh-CN"/>
        </w:rPr>
        <w:t>管道施工期尽量避开雨水集中的汛期和梅雨季节，尽量减小管道沟槽开挖宽度以减少对植被的破坏；管道敷设后土壤应及时回填并夯实、植草进行绿化；</w:t>
      </w:r>
    </w:p>
    <w:p>
      <w:pPr>
        <w:ind w:firstLine="480" w:firstLineChars="200"/>
        <w:rPr>
          <w:sz w:val="24"/>
          <w:szCs w:val="24"/>
        </w:rPr>
      </w:pPr>
      <w:r>
        <w:rPr>
          <w:sz w:val="24"/>
          <w:szCs w:val="24"/>
        </w:rPr>
        <w:t>⑦尽量缩小开挖面积，降低开挖面坡度，尽量做到随挖、</w:t>
      </w:r>
      <w:r>
        <w:rPr>
          <w:sz w:val="24"/>
          <w:szCs w:val="24"/>
          <w:lang w:val="zh-CN"/>
        </w:rPr>
        <w:t>随整、随填、随夯、</w:t>
      </w:r>
      <w:r>
        <w:rPr>
          <w:sz w:val="24"/>
          <w:szCs w:val="24"/>
        </w:rPr>
        <w:t>随运，减少松土储量，争取各工程区挖填方充分利用，充分利用弃方，避免弃方外运造成新的水土流失。</w:t>
      </w:r>
    </w:p>
    <w:p>
      <w:pPr>
        <w:ind w:firstLine="480" w:firstLineChars="200"/>
        <w:rPr>
          <w:sz w:val="24"/>
          <w:szCs w:val="24"/>
        </w:rPr>
      </w:pPr>
      <w:r>
        <w:rPr>
          <w:sz w:val="24"/>
          <w:szCs w:val="24"/>
        </w:rPr>
        <w:t>在采取本次评价提出的措施后，施工期的水土流失影响将得到有效控制，此外，施工场地的水土流失大多发生在施工前期，随着施工期的进展，水土流失将大大减小，其影响也将逐渐减弱。</w:t>
      </w:r>
    </w:p>
    <w:p>
      <w:pPr>
        <w:ind w:firstLine="480" w:firstLineChars="200"/>
        <w:rPr>
          <w:sz w:val="24"/>
          <w:szCs w:val="24"/>
        </w:rPr>
      </w:pPr>
    </w:p>
    <w:p>
      <w:pPr>
        <w:spacing w:line="480" w:lineRule="exact"/>
        <w:ind w:firstLine="480" w:firstLineChars="200"/>
        <w:rPr>
          <w:sz w:val="24"/>
          <w:szCs w:val="24"/>
        </w:rPr>
      </w:pPr>
    </w:p>
    <w:p>
      <w:pPr>
        <w:ind w:firstLine="480" w:firstLineChars="200"/>
        <w:rPr>
          <w:sz w:val="24"/>
          <w:szCs w:val="24"/>
        </w:rPr>
      </w:pPr>
    </w:p>
    <w:p/>
    <w:p>
      <w:pPr>
        <w:pStyle w:val="5"/>
        <w:rPr>
          <w:sz w:val="24"/>
          <w:szCs w:val="24"/>
        </w:rPr>
      </w:pPr>
      <w:bookmarkStart w:id="210" w:name="_Toc532395341"/>
      <w:bookmarkStart w:id="211" w:name="_Toc9854_WPSOffice_Level2"/>
      <w:r>
        <w:rPr>
          <w:sz w:val="24"/>
          <w:szCs w:val="24"/>
        </w:rPr>
        <w:t>6.2 营运期污染防治措施</w:t>
      </w:r>
      <w:bookmarkEnd w:id="210"/>
      <w:bookmarkEnd w:id="211"/>
    </w:p>
    <w:p>
      <w:pPr>
        <w:pStyle w:val="7"/>
        <w:rPr>
          <w:szCs w:val="24"/>
        </w:rPr>
      </w:pPr>
      <w:r>
        <w:rPr>
          <w:szCs w:val="24"/>
        </w:rPr>
        <w:t>6.2.1 水污染防治对策及其可行性分析</w:t>
      </w:r>
    </w:p>
    <w:p>
      <w:pPr>
        <w:ind w:firstLine="592" w:firstLineChars="247"/>
        <w:rPr>
          <w:bCs/>
          <w:sz w:val="24"/>
          <w:szCs w:val="24"/>
        </w:rPr>
      </w:pPr>
      <w:r>
        <w:rPr>
          <w:bCs/>
          <w:sz w:val="24"/>
          <w:szCs w:val="24"/>
        </w:rPr>
        <w:t>1、废水产生情况</w:t>
      </w:r>
    </w:p>
    <w:p>
      <w:pPr>
        <w:ind w:firstLine="480" w:firstLineChars="200"/>
        <w:rPr>
          <w:sz w:val="24"/>
          <w:szCs w:val="24"/>
        </w:rPr>
      </w:pPr>
      <w:r>
        <w:rPr>
          <w:sz w:val="24"/>
          <w:szCs w:val="24"/>
        </w:rPr>
        <w:t>根据工程分析，项目运营期废水主要为</w:t>
      </w:r>
      <w:r>
        <w:rPr>
          <w:rFonts w:hint="eastAsia"/>
          <w:sz w:val="24"/>
          <w:szCs w:val="24"/>
          <w:lang w:eastAsia="zh-CN"/>
        </w:rPr>
        <w:t>水洗</w:t>
      </w:r>
      <w:r>
        <w:rPr>
          <w:rFonts w:hint="eastAsia"/>
          <w:sz w:val="24"/>
          <w:szCs w:val="24"/>
        </w:rPr>
        <w:t>生产</w:t>
      </w:r>
      <w:r>
        <w:rPr>
          <w:sz w:val="24"/>
          <w:szCs w:val="24"/>
        </w:rPr>
        <w:t>废水</w:t>
      </w:r>
      <w:r>
        <w:rPr>
          <w:rFonts w:hint="eastAsia"/>
          <w:sz w:val="24"/>
          <w:szCs w:val="24"/>
          <w:lang w:eastAsia="zh-CN"/>
        </w:rPr>
        <w:t>和</w:t>
      </w:r>
      <w:r>
        <w:rPr>
          <w:sz w:val="24"/>
          <w:szCs w:val="24"/>
        </w:rPr>
        <w:t>生活污水，</w:t>
      </w:r>
      <w:r>
        <w:rPr>
          <w:rFonts w:hint="eastAsia"/>
          <w:sz w:val="24"/>
          <w:szCs w:val="24"/>
          <w:lang w:eastAsia="zh-CN"/>
        </w:rPr>
        <w:t>水洗废水经自建污水处理工艺处理达标后汇同经隔油池和和化粪池预处理的生活污水通过市政污水管网排入城北污水处理厂</w:t>
      </w:r>
      <w:r>
        <w:rPr>
          <w:sz w:val="24"/>
          <w:szCs w:val="24"/>
        </w:rPr>
        <w:t>，根据</w:t>
      </w:r>
      <w:r>
        <w:rPr>
          <w:rFonts w:hint="eastAsia"/>
          <w:sz w:val="24"/>
          <w:szCs w:val="24"/>
        </w:rPr>
        <w:t>工程分析</w:t>
      </w:r>
      <w:r>
        <w:rPr>
          <w:sz w:val="24"/>
          <w:szCs w:val="24"/>
        </w:rPr>
        <w:t>，</w:t>
      </w:r>
      <w:r>
        <w:rPr>
          <w:rFonts w:hint="eastAsia"/>
          <w:sz w:val="24"/>
          <w:szCs w:val="24"/>
          <w:lang w:eastAsia="zh-CN"/>
        </w:rPr>
        <w:t>水洗废水</w:t>
      </w:r>
      <w:r>
        <w:rPr>
          <w:sz w:val="24"/>
          <w:szCs w:val="24"/>
        </w:rPr>
        <w:t>产生量</w:t>
      </w:r>
      <w:r>
        <w:rPr>
          <w:rFonts w:hint="eastAsia"/>
          <w:sz w:val="24"/>
          <w:szCs w:val="24"/>
          <w:lang w:eastAsia="zh-CN"/>
        </w:rPr>
        <w:t>为</w:t>
      </w:r>
      <w:r>
        <w:rPr>
          <w:rFonts w:hint="eastAsia"/>
          <w:sz w:val="24"/>
          <w:szCs w:val="24"/>
          <w:lang w:val="en-US" w:eastAsia="zh-CN"/>
        </w:rPr>
        <w:t>13.5</w:t>
      </w:r>
      <w:r>
        <w:rPr>
          <w:sz w:val="24"/>
          <w:szCs w:val="24"/>
        </w:rPr>
        <w:t>m</w:t>
      </w:r>
      <w:r>
        <w:rPr>
          <w:sz w:val="24"/>
          <w:szCs w:val="24"/>
          <w:vertAlign w:val="superscript"/>
        </w:rPr>
        <w:t>3</w:t>
      </w:r>
      <w:r>
        <w:rPr>
          <w:sz w:val="24"/>
          <w:szCs w:val="24"/>
        </w:rPr>
        <w:t>/</w:t>
      </w:r>
      <w:r>
        <w:rPr>
          <w:rFonts w:hint="eastAsia"/>
          <w:sz w:val="24"/>
          <w:szCs w:val="24"/>
        </w:rPr>
        <w:t>d</w:t>
      </w:r>
      <w:r>
        <w:rPr>
          <w:sz w:val="24"/>
          <w:szCs w:val="24"/>
        </w:rPr>
        <w:t>，</w:t>
      </w:r>
      <w:r>
        <w:rPr>
          <w:rFonts w:hint="eastAsia"/>
          <w:sz w:val="24"/>
          <w:szCs w:val="24"/>
          <w:lang w:val="en-US" w:eastAsia="zh-CN"/>
        </w:rPr>
        <w:t>4050</w:t>
      </w:r>
      <w:r>
        <w:rPr>
          <w:sz w:val="24"/>
          <w:szCs w:val="24"/>
        </w:rPr>
        <w:t>m</w:t>
      </w:r>
      <w:r>
        <w:rPr>
          <w:sz w:val="24"/>
          <w:szCs w:val="24"/>
          <w:vertAlign w:val="superscript"/>
        </w:rPr>
        <w:t>3</w:t>
      </w:r>
      <w:r>
        <w:rPr>
          <w:sz w:val="24"/>
          <w:szCs w:val="24"/>
        </w:rPr>
        <w:t>/</w:t>
      </w:r>
      <w:r>
        <w:rPr>
          <w:rFonts w:hint="eastAsia"/>
          <w:sz w:val="24"/>
          <w:szCs w:val="24"/>
        </w:rPr>
        <w:t>a</w:t>
      </w:r>
      <w:r>
        <w:rPr>
          <w:rFonts w:hint="eastAsia"/>
          <w:sz w:val="24"/>
          <w:szCs w:val="24"/>
          <w:lang w:eastAsia="zh-CN"/>
        </w:rPr>
        <w:t>；生产废水产生量为</w:t>
      </w:r>
      <w:r>
        <w:rPr>
          <w:rFonts w:hint="eastAsia"/>
          <w:sz w:val="24"/>
          <w:szCs w:val="24"/>
          <w:lang w:val="en-US" w:eastAsia="zh-CN"/>
        </w:rPr>
        <w:t>19.2</w:t>
      </w:r>
      <w:r>
        <w:rPr>
          <w:sz w:val="24"/>
          <w:szCs w:val="24"/>
        </w:rPr>
        <w:t>m</w:t>
      </w:r>
      <w:r>
        <w:rPr>
          <w:rFonts w:hint="eastAsia"/>
          <w:sz w:val="24"/>
          <w:szCs w:val="24"/>
          <w:vertAlign w:val="superscript"/>
          <w:lang w:val="en-US" w:eastAsia="zh-CN"/>
        </w:rPr>
        <w:t>3</w:t>
      </w:r>
      <w:r>
        <w:rPr>
          <w:sz w:val="24"/>
          <w:szCs w:val="24"/>
        </w:rPr>
        <w:t>/d</w:t>
      </w:r>
      <w:r>
        <w:rPr>
          <w:rFonts w:hint="eastAsia"/>
          <w:sz w:val="24"/>
          <w:szCs w:val="24"/>
          <w:lang w:eastAsia="zh-CN"/>
        </w:rPr>
        <w:t>、</w:t>
      </w:r>
      <w:r>
        <w:rPr>
          <w:rFonts w:hint="eastAsia"/>
          <w:sz w:val="24"/>
          <w:szCs w:val="24"/>
          <w:lang w:val="en-US" w:eastAsia="zh-CN"/>
        </w:rPr>
        <w:t>5760</w:t>
      </w:r>
      <w:r>
        <w:rPr>
          <w:sz w:val="24"/>
          <w:szCs w:val="24"/>
        </w:rPr>
        <w:t>m³/a。</w:t>
      </w:r>
    </w:p>
    <w:p>
      <w:pPr>
        <w:ind w:firstLine="480" w:firstLineChars="200"/>
        <w:rPr>
          <w:sz w:val="24"/>
          <w:szCs w:val="24"/>
        </w:rPr>
      </w:pPr>
      <w:r>
        <w:rPr>
          <w:rFonts w:hint="eastAsia"/>
          <w:sz w:val="24"/>
          <w:szCs w:val="24"/>
        </w:rPr>
        <w:t>2、</w:t>
      </w:r>
      <w:r>
        <w:rPr>
          <w:sz w:val="24"/>
          <w:szCs w:val="24"/>
        </w:rPr>
        <w:t>拟采取的处理工艺</w:t>
      </w:r>
    </w:p>
    <w:p>
      <w:pPr>
        <w:ind w:firstLine="480" w:firstLineChars="200"/>
        <w:rPr>
          <w:sz w:val="24"/>
          <w:szCs w:val="24"/>
        </w:rPr>
      </w:pPr>
      <w:r>
        <w:rPr>
          <w:sz w:val="24"/>
          <w:szCs w:val="24"/>
        </w:rPr>
        <w:t>本次环评设计</w:t>
      </w:r>
      <w:r>
        <w:rPr>
          <w:rFonts w:hint="eastAsia"/>
          <w:sz w:val="24"/>
          <w:szCs w:val="24"/>
          <w:lang w:eastAsia="zh-CN"/>
        </w:rPr>
        <w:t>生产废水</w:t>
      </w:r>
      <w:r>
        <w:rPr>
          <w:sz w:val="24"/>
          <w:szCs w:val="24"/>
        </w:rPr>
        <w:t>以“</w:t>
      </w:r>
      <w:r>
        <w:rPr>
          <w:rFonts w:hint="eastAsia"/>
          <w:sz w:val="24"/>
          <w:szCs w:val="24"/>
          <w:lang w:eastAsia="zh-CN"/>
        </w:rPr>
        <w:t>预处理</w:t>
      </w:r>
      <w:r>
        <w:rPr>
          <w:rFonts w:hint="eastAsia"/>
          <w:sz w:val="24"/>
          <w:szCs w:val="24"/>
          <w:lang w:val="en-US" w:eastAsia="zh-CN"/>
        </w:rPr>
        <w:t>+</w:t>
      </w:r>
      <w:r>
        <w:rPr>
          <w:rFonts w:hint="eastAsia"/>
          <w:sz w:val="24"/>
          <w:szCs w:val="24"/>
        </w:rPr>
        <w:t>A</w:t>
      </w:r>
      <w:r>
        <w:rPr>
          <w:rFonts w:hint="eastAsia"/>
          <w:sz w:val="24"/>
          <w:szCs w:val="24"/>
          <w:lang w:val="en-US" w:eastAsia="zh-CN"/>
        </w:rPr>
        <w:t>/</w:t>
      </w:r>
      <w:r>
        <w:rPr>
          <w:rFonts w:hint="eastAsia"/>
          <w:sz w:val="24"/>
          <w:szCs w:val="24"/>
        </w:rPr>
        <w:t>O</w:t>
      </w:r>
      <w:r>
        <w:rPr>
          <w:sz w:val="24"/>
          <w:szCs w:val="24"/>
        </w:rPr>
        <w:t>”为主的污水处理工艺，</w:t>
      </w:r>
      <w:r>
        <w:rPr>
          <w:rFonts w:hint="eastAsia"/>
          <w:sz w:val="24"/>
          <w:szCs w:val="24"/>
          <w:lang w:eastAsia="zh-CN"/>
        </w:rPr>
        <w:t>生活污水经隔油池和化粪池处理，</w:t>
      </w:r>
      <w:r>
        <w:rPr>
          <w:sz w:val="24"/>
          <w:szCs w:val="24"/>
        </w:rPr>
        <w:t>其处理工艺流程如下：</w:t>
      </w:r>
    </w:p>
    <w:p>
      <w:pPr>
        <w:ind w:firstLine="480" w:firstLineChars="200"/>
        <w:rPr>
          <w:color w:val="FF0000"/>
          <w:sz w:val="24"/>
          <w:szCs w:val="24"/>
        </w:rPr>
      </w:pPr>
      <w:r>
        <w:rPr>
          <w:sz w:val="24"/>
        </w:rPr>
        <mc:AlternateContent>
          <mc:Choice Requires="wps">
            <w:drawing>
              <wp:anchor distT="0" distB="0" distL="114300" distR="114300" simplePos="0" relativeHeight="251640832" behindDoc="0" locked="0" layoutInCell="1" allowOverlap="1">
                <wp:simplePos x="0" y="0"/>
                <wp:positionH relativeFrom="column">
                  <wp:posOffset>2586355</wp:posOffset>
                </wp:positionH>
                <wp:positionV relativeFrom="paragraph">
                  <wp:posOffset>89535</wp:posOffset>
                </wp:positionV>
                <wp:extent cx="920115" cy="342900"/>
                <wp:effectExtent l="0" t="0" r="0" b="0"/>
                <wp:wrapNone/>
                <wp:docPr id="204" name="文本框 436"/>
                <wp:cNvGraphicFramePr/>
                <a:graphic xmlns:a="http://schemas.openxmlformats.org/drawingml/2006/main">
                  <a:graphicData uri="http://schemas.microsoft.com/office/word/2010/wordprocessingShape">
                    <wps:wsp>
                      <wps:cNvSpPr txBox="1"/>
                      <wps:spPr>
                        <a:xfrm>
                          <a:off x="2977515" y="6906260"/>
                          <a:ext cx="920115" cy="342900"/>
                        </a:xfrm>
                        <a:prstGeom prst="rect">
                          <a:avLst/>
                        </a:prstGeom>
                        <a:noFill/>
                        <a:ln w="9525">
                          <a:noFill/>
                        </a:ln>
                        <a:effectLst/>
                      </wps:spPr>
                      <wps:txbx>
                        <w:txbxContent>
                          <w:p>
                            <w:r>
                              <w:rPr>
                                <w:rFonts w:hint="eastAsia"/>
                                <w:lang w:eastAsia="zh-CN"/>
                              </w:rPr>
                              <w:t>生产</w:t>
                            </w:r>
                            <w:r>
                              <w:t>废水</w:t>
                            </w:r>
                          </w:p>
                        </w:txbxContent>
                      </wps:txbx>
                      <wps:bodyPr vert="horz" anchor="t" upright="1"/>
                    </wps:wsp>
                  </a:graphicData>
                </a:graphic>
              </wp:anchor>
            </w:drawing>
          </mc:Choice>
          <mc:Fallback>
            <w:pict>
              <v:shape id="文本框 436" o:spid="_x0000_s1026" o:spt="202" type="#_x0000_t202" style="position:absolute;left:0pt;margin-left:203.65pt;margin-top:7.05pt;height:27pt;width:72.45pt;z-index:251640832;mso-width-relative:page;mso-height-relative:page;" filled="f" stroked="f" coordsize="21600,21600" o:gfxdata="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wfpJHXAAAACQEAAA8AAAAAAAAAAQAgAAAAIgAAAGRycy9kb3ducmV2LnhtbFBLAQIU&#10;ABQAAAAIAIdO4kA51xEKuwEAAD0DAAAOAAAAAAAAAAEAIAAAACYBAABkcnMvZTJvRG9jLnhtbFBL&#10;BQYAAAAABgAGAFkBAABTBQAAAAA=&#10;">
                <v:fill on="f" focussize="0,0"/>
                <v:stroke on="f"/>
                <v:imagedata o:title=""/>
                <o:lock v:ext="edit" aspectratio="f"/>
                <v:textbox>
                  <w:txbxContent>
                    <w:p>
                      <w:r>
                        <w:rPr>
                          <w:rFonts w:hint="eastAsia"/>
                          <w:lang w:eastAsia="zh-CN"/>
                        </w:rPr>
                        <w:t>生产</w:t>
                      </w:r>
                      <w:r>
                        <w:t>废水</w:t>
                      </w:r>
                    </w:p>
                  </w:txbxContent>
                </v:textbox>
              </v:shape>
            </w:pict>
          </mc:Fallback>
        </mc:AlternateContent>
      </w:r>
    </w:p>
    <w:p>
      <w:pPr>
        <w:ind w:firstLine="523" w:firstLineChars="218"/>
        <w:rPr>
          <w:color w:val="FF0000"/>
          <w:sz w:val="24"/>
          <w:szCs w:val="24"/>
        </w:rPr>
      </w:pPr>
      <w:r>
        <w:rPr>
          <w:sz w:val="24"/>
        </w:rPr>
        <mc:AlternateContent>
          <mc:Choice Requires="wps">
            <w:drawing>
              <wp:anchor distT="0" distB="0" distL="114300" distR="114300" simplePos="0" relativeHeight="251641856" behindDoc="0" locked="0" layoutInCell="1" allowOverlap="1">
                <wp:simplePos x="0" y="0"/>
                <wp:positionH relativeFrom="column">
                  <wp:posOffset>2952115</wp:posOffset>
                </wp:positionH>
                <wp:positionV relativeFrom="paragraph">
                  <wp:posOffset>78105</wp:posOffset>
                </wp:positionV>
                <wp:extent cx="635" cy="398780"/>
                <wp:effectExtent l="37465" t="0" r="38100" b="1270"/>
                <wp:wrapNone/>
                <wp:docPr id="205" name="自选图形 437"/>
                <wp:cNvGraphicFramePr/>
                <a:graphic xmlns:a="http://schemas.openxmlformats.org/drawingml/2006/main">
                  <a:graphicData uri="http://schemas.microsoft.com/office/word/2010/wordprocessingShape">
                    <wps:wsp>
                      <wps:cNvCnPr/>
                      <wps:spPr>
                        <a:xfrm>
                          <a:off x="3764280" y="6640830"/>
                          <a:ext cx="635" cy="3987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437" o:spid="_x0000_s1026" o:spt="32" type="#_x0000_t32" style="position:absolute;left:0pt;margin-left:232.45pt;margin-top:6.15pt;height:31.4pt;width:0.05pt;z-index:251641856;mso-width-relative:page;mso-height-relative:page;" filled="f" stroked="t" coordsize="21600,21600" o:gfxdata="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lNs9naAAAACQEAAA8AAAAAAAAAAQAgAAAAIgAAAGRycy9kb3ducmV2Lnht&#10;bFBLAQIUABQAAAAIAIdO4kB9tiqc9wEAALgDAAAOAAAAAAAAAAEAIAAAACkBAABkcnMvZTJvRG9j&#10;LnhtbFBLBQYAAAAABgAGAFkBAACSBQAAAAA=&#10;">
                <v:fill on="f" focussize="0,0"/>
                <v:stroke color="#000000" joinstyle="round" endarrow="block"/>
                <v:imagedata o:title=""/>
                <o:lock v:ext="edit" aspectratio="f"/>
              </v:shape>
            </w:pict>
          </mc:Fallback>
        </mc:AlternateContent>
      </w:r>
    </w:p>
    <w:p>
      <w:pPr>
        <w:pStyle w:val="8"/>
        <w:rPr>
          <w:rFonts w:ascii="Times New Roman" w:hAnsi="Times New Roman" w:cs="Times New Roman"/>
          <w:color w:val="FF0000"/>
        </w:rPr>
      </w:pPr>
      <w:r>
        <w:rPr>
          <w:sz w:val="24"/>
        </w:rPr>
        <mc:AlternateContent>
          <mc:Choice Requires="wps">
            <w:drawing>
              <wp:anchor distT="0" distB="0" distL="114300" distR="114300" simplePos="0" relativeHeight="251579392" behindDoc="1" locked="0" layoutInCell="1" allowOverlap="1">
                <wp:simplePos x="0" y="0"/>
                <wp:positionH relativeFrom="column">
                  <wp:posOffset>3460115</wp:posOffset>
                </wp:positionH>
                <wp:positionV relativeFrom="paragraph">
                  <wp:posOffset>19685</wp:posOffset>
                </wp:positionV>
                <wp:extent cx="627380" cy="287655"/>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627380" cy="287655"/>
                        </a:xfrm>
                        <a:prstGeom prst="rect">
                          <a:avLst/>
                        </a:prstGeom>
                        <a:noFill/>
                        <a:ln w="6350">
                          <a:noFill/>
                        </a:ln>
                        <a:effectLst/>
                      </wps:spPr>
                      <wps:txbx>
                        <w:txbxContent>
                          <w:p>
                            <w:r>
                              <w:rPr>
                                <w:rFonts w:hint="eastAsia"/>
                              </w:rPr>
                              <w:t>栅渣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45pt;margin-top:1.55pt;height:22.65pt;width:49.4pt;z-index:-251737088;mso-width-relative:page;mso-height-relative:page;" filled="f" stroked="f" coordsize="21600,21600" o:gfxdata="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Fz4naAAAACAEAAA8AAAAAAAAAAQAgAAAAIgAAAGRycy9kb3ducmV2LnhtbFBLAQIUABQAAAAI&#10;AIdO4kAIbyoUJAIAACkEAAAOAAAAAAAAAAEAIAAAACkBAABkcnMvZTJvRG9jLnhtbFBLBQYAAAAA&#10;BgAGAFkBAAC/BQAAAAA=&#10;">
                <v:fill on="f" focussize="0,0"/>
                <v:stroke on="f" weight="0.5pt"/>
                <v:imagedata o:title=""/>
                <o:lock v:ext="edit" aspectratio="f"/>
                <v:textbox>
                  <w:txbxContent>
                    <w:p>
                      <w:r>
                        <w:rPr>
                          <w:rFonts w:hint="eastAsia"/>
                        </w:rPr>
                        <w:t>栅渣</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37760" behindDoc="0" locked="0" layoutInCell="1" allowOverlap="1">
                <wp:simplePos x="0" y="0"/>
                <wp:positionH relativeFrom="column">
                  <wp:posOffset>4298315</wp:posOffset>
                </wp:positionH>
                <wp:positionV relativeFrom="paragraph">
                  <wp:posOffset>229235</wp:posOffset>
                </wp:positionV>
                <wp:extent cx="779145" cy="28765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779145" cy="287655"/>
                        </a:xfrm>
                        <a:prstGeom prst="rect">
                          <a:avLst/>
                        </a:prstGeom>
                        <a:noFill/>
                        <a:ln w="6350">
                          <a:noFill/>
                        </a:ln>
                        <a:effectLst/>
                      </wps:spPr>
                      <wps:txbx>
                        <w:txbxContent>
                          <w:p>
                            <w:r>
                              <w:rPr>
                                <w:rFonts w:hint="eastAsia"/>
                              </w:rPr>
                              <w:t>外运处置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45pt;margin-top:18.05pt;height:22.65pt;width:61.35pt;z-index:251637760;mso-width-relative:page;mso-height-relative:page;" filled="f" stroked="f" coordsize="21600,21600" o:gfxdata="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405ci2wAAAAkBAAAPAAAAAAAAAAEAIAAAACIAAABkcnMvZG93bnJldi54bWxQSwECFAAUAAAA&#10;CACHTuJAZESrKyQCAAAnBAAADgAAAAAAAAABACAAAAAqAQAAZHJzL2Uyb0RvYy54bWxQSwUGAAAA&#10;AAYABgBZAQAAwAUAAAAA&#10;">
                <v:fill on="f" focussize="0,0"/>
                <v:stroke on="f" weight="0.5pt"/>
                <v:imagedata o:title=""/>
                <o:lock v:ext="edit" aspectratio="f"/>
                <v:textbox>
                  <w:txbxContent>
                    <w:p>
                      <w:r>
                        <w:rPr>
                          <w:rFonts w:hint="eastAsia"/>
                        </w:rPr>
                        <w:t>外运处置</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42880" behindDoc="0" locked="0" layoutInCell="1" allowOverlap="1">
                <wp:simplePos x="0" y="0"/>
                <wp:positionH relativeFrom="column">
                  <wp:posOffset>2498090</wp:posOffset>
                </wp:positionH>
                <wp:positionV relativeFrom="paragraph">
                  <wp:posOffset>200025</wp:posOffset>
                </wp:positionV>
                <wp:extent cx="885825" cy="288925"/>
                <wp:effectExtent l="4445" t="5080" r="5080" b="10795"/>
                <wp:wrapNone/>
                <wp:docPr id="206" name="文本框 438"/>
                <wp:cNvGraphicFramePr/>
                <a:graphic xmlns:a="http://schemas.openxmlformats.org/drawingml/2006/main">
                  <a:graphicData uri="http://schemas.microsoft.com/office/word/2010/wordprocessingShape">
                    <wps:wsp>
                      <wps:cNvSpPr txBox="1"/>
                      <wps:spPr>
                        <a:xfrm>
                          <a:off x="3442970" y="7258685"/>
                          <a:ext cx="885825" cy="288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10" w:firstLineChars="100"/>
                            </w:pPr>
                            <w:r>
                              <w:rPr>
                                <w:rFonts w:hint="eastAsia"/>
                              </w:rPr>
                              <w:t>格栅池</w:t>
                            </w:r>
                          </w:p>
                        </w:txbxContent>
                      </wps:txbx>
                      <wps:bodyPr vert="horz" anchor="t" upright="1"/>
                    </wps:wsp>
                  </a:graphicData>
                </a:graphic>
              </wp:anchor>
            </w:drawing>
          </mc:Choice>
          <mc:Fallback>
            <w:pict>
              <v:shape id="文本框 438" o:spid="_x0000_s1026" o:spt="202" type="#_x0000_t202" style="position:absolute;left:0pt;margin-left:196.7pt;margin-top:15.75pt;height:22.75pt;width:69.75pt;z-index:251642880;mso-width-relative:page;mso-height-relative:page;" fillcolor="#FFFFFF" filled="t" stroked="t" coordsize="21600,21600" o:gfxdata="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u7ke2QAAAAkBAAAPAAAA&#10;AAAAAAEAIAAAACIAAABkcnMvZG93bnJldi54bWxQSwECFAAUAAAACACHTuJAj3F8BhQCAAAcBAAA&#10;DgAAAAAAAAABACAAAAAoAQAAZHJzL2Uyb0RvYy54bWxQSwUGAAAAAAYABgBZAQAArgUAAAAA&#10;">
                <v:fill on="t" focussize="0,0"/>
                <v:stroke color="#000000" joinstyle="miter"/>
                <v:imagedata o:title=""/>
                <o:lock v:ext="edit" aspectratio="f"/>
                <v:textbox>
                  <w:txbxContent>
                    <w:p>
                      <w:pPr>
                        <w:ind w:firstLine="210" w:firstLineChars="100"/>
                      </w:pPr>
                      <w:r>
                        <w:rPr>
                          <w:rFonts w:hint="eastAsia"/>
                        </w:rPr>
                        <w:t>格栅池</w:t>
                      </w:r>
                    </w:p>
                  </w:txbxContent>
                </v:textbox>
              </v:shape>
            </w:pict>
          </mc:Fallback>
        </mc:AlternateContent>
      </w:r>
    </w:p>
    <w:p>
      <w:pPr>
        <w:rPr>
          <w:color w:val="FF0000"/>
          <w:sz w:val="24"/>
          <w:szCs w:val="24"/>
        </w:rPr>
      </w:pPr>
      <w:r>
        <w:rPr>
          <w:sz w:val="24"/>
        </w:rPr>
        <mc:AlternateContent>
          <mc:Choice Requires="wps">
            <w:drawing>
              <wp:anchor distT="0" distB="0" distL="114300" distR="114300" simplePos="0" relativeHeight="251638784" behindDoc="0" locked="0" layoutInCell="1" allowOverlap="1">
                <wp:simplePos x="0" y="0"/>
                <wp:positionH relativeFrom="column">
                  <wp:posOffset>3383915</wp:posOffset>
                </wp:positionH>
                <wp:positionV relativeFrom="paragraph">
                  <wp:posOffset>55880</wp:posOffset>
                </wp:positionV>
                <wp:extent cx="843915" cy="3175"/>
                <wp:effectExtent l="0" t="38100" r="13335" b="34925"/>
                <wp:wrapNone/>
                <wp:docPr id="152" name="肘形连接符 159"/>
                <wp:cNvGraphicFramePr/>
                <a:graphic xmlns:a="http://schemas.openxmlformats.org/drawingml/2006/main">
                  <a:graphicData uri="http://schemas.microsoft.com/office/word/2010/wordprocessingShape">
                    <wps:wsp>
                      <wps:cNvCnPr/>
                      <wps:spPr>
                        <a:xfrm flipV="1">
                          <a:off x="0" y="0"/>
                          <a:ext cx="843915" cy="3175"/>
                        </a:xfrm>
                        <a:prstGeom prst="bentConnector3">
                          <a:avLst>
                            <a:gd name="adj1" fmla="val 50038"/>
                          </a:avLst>
                        </a:prstGeom>
                        <a:ln w="6350" cap="flat" cmpd="sng">
                          <a:solidFill>
                            <a:srgbClr val="000000"/>
                          </a:solidFill>
                          <a:prstDash val="dash"/>
                          <a:miter lim="800000"/>
                          <a:headEnd type="none" w="med" len="med"/>
                          <a:tailEnd type="triangle" w="med" len="med"/>
                        </a:ln>
                        <a:effectLst/>
                      </wps:spPr>
                      <wps:bodyPr/>
                    </wps:wsp>
                  </a:graphicData>
                </a:graphic>
              </wp:anchor>
            </w:drawing>
          </mc:Choice>
          <mc:Fallback>
            <w:pict>
              <v:shape id="肘形连接符 159" o:spid="_x0000_s1026" o:spt="34" type="#_x0000_t34" style="position:absolute;left:0pt;flip:y;margin-left:266.45pt;margin-top:4.4pt;height:0.25pt;width:66.45pt;z-index:251638784;mso-width-relative:page;mso-height-relative:page;" filled="f" stroked="t" coordsize="21600,21600" o:gfxdata="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ntlCbWAAAABwEAAA8A&#10;AAAAAAAAAQAgAAAAIgAAAGRycy9kb3ducmV2LnhtbFBLAQIUABQAAAAIAIdO4kDLqc6wGQIAAPkD&#10;AAAOAAAAAAAAAAEAIAAAACUBAABkcnMvZTJvRG9jLnhtbFBLBQYAAAAABgAGAFkBAACwBQAAAAA=&#10;" adj="10808">
                <v:fill on="f" focussize="0,0"/>
                <v:stroke weight="0.5pt" color="#000000" miterlimit="8" joinstyle="miter" dashstyle="dash" endarrow="block"/>
                <v:imagedata o:title=""/>
                <o:lock v:ext="edit" aspectratio="f"/>
              </v:shape>
            </w:pict>
          </mc:Fallback>
        </mc:AlternateContent>
      </w:r>
      <w:r>
        <w:rPr>
          <w:sz w:val="24"/>
        </w:rPr>
        <mc:AlternateContent>
          <mc:Choice Requires="wps">
            <w:drawing>
              <wp:anchor distT="0" distB="0" distL="114300" distR="114300" simplePos="0" relativeHeight="251643904" behindDoc="0" locked="0" layoutInCell="1" allowOverlap="1">
                <wp:simplePos x="0" y="0"/>
                <wp:positionH relativeFrom="column">
                  <wp:posOffset>2935605</wp:posOffset>
                </wp:positionH>
                <wp:positionV relativeFrom="paragraph">
                  <wp:posOffset>193675</wp:posOffset>
                </wp:positionV>
                <wp:extent cx="3175" cy="384810"/>
                <wp:effectExtent l="35560" t="0" r="37465" b="15240"/>
                <wp:wrapNone/>
                <wp:docPr id="207" name="自选图形 3"/>
                <wp:cNvGraphicFramePr/>
                <a:graphic xmlns:a="http://schemas.openxmlformats.org/drawingml/2006/main">
                  <a:graphicData uri="http://schemas.microsoft.com/office/word/2010/wordprocessingShape">
                    <wps:wsp>
                      <wps:cNvCnPr/>
                      <wps:spPr>
                        <a:xfrm>
                          <a:off x="0" y="0"/>
                          <a:ext cx="3175" cy="38481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3" o:spid="_x0000_s1026" o:spt="32" type="#_x0000_t32" style="position:absolute;left:0pt;margin-left:231.15pt;margin-top:15.25pt;height:30.3pt;width:0.25pt;z-index:251643904;mso-width-relative:page;mso-height-relative:page;" filled="f" stroked="t" coordsize="21600,21600" o:gfxdata="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Dl&#10;3fDZAAAACQEAAA8AAAAAAAAAAQAgAAAAIgAAAGRycy9kb3ducmV2LnhtbFBLAQIUABQAAAAIAIdO&#10;4kAo3jeq6QEAAKsDAAAOAAAAAAAAAAEAIAAAACgBAABkcnMvZTJvRG9jLnhtbFBLBQYAAAAABgAG&#10;AFkBAACDBQAAAAA=&#10;">
                <v:fill on="f" focussize="0,0"/>
                <v:stroke color="#000000" joinstyle="round" endarrow="block"/>
                <v:imagedata o:title=""/>
                <o:lock v:ext="edit" aspectratio="f"/>
              </v:shape>
            </w:pict>
          </mc:Fallback>
        </mc:AlternateContent>
      </w:r>
    </w:p>
    <w:p>
      <w:pPr>
        <w:pStyle w:val="8"/>
        <w:rPr>
          <w:rFonts w:ascii="Times New Roman" w:hAnsi="Times New Roman" w:cs="Times New Roman"/>
          <w:color w:val="FF0000"/>
        </w:rPr>
      </w:pPr>
    </w:p>
    <w:p>
      <w:pPr>
        <w:rPr>
          <w:color w:val="FF0000"/>
          <w:sz w:val="24"/>
          <w:szCs w:val="24"/>
        </w:rPr>
      </w:pPr>
      <w:r>
        <w:rPr>
          <w:sz w:val="24"/>
        </w:rPr>
        <mc:AlternateContent>
          <mc:Choice Requires="wps">
            <w:drawing>
              <wp:anchor distT="0" distB="0" distL="114300" distR="114300" simplePos="0" relativeHeight="251646976" behindDoc="0" locked="0" layoutInCell="1" allowOverlap="1">
                <wp:simplePos x="0" y="0"/>
                <wp:positionH relativeFrom="column">
                  <wp:posOffset>2478405</wp:posOffset>
                </wp:positionH>
                <wp:positionV relativeFrom="paragraph">
                  <wp:posOffset>54610</wp:posOffset>
                </wp:positionV>
                <wp:extent cx="874395" cy="299720"/>
                <wp:effectExtent l="4445" t="4445" r="16510" b="19685"/>
                <wp:wrapNone/>
                <wp:docPr id="210" name="文本框 6"/>
                <wp:cNvGraphicFramePr/>
                <a:graphic xmlns:a="http://schemas.openxmlformats.org/drawingml/2006/main">
                  <a:graphicData uri="http://schemas.microsoft.com/office/word/2010/wordprocessingShape">
                    <wps:wsp>
                      <wps:cNvSpPr txBox="1"/>
                      <wps:spPr>
                        <a:xfrm>
                          <a:off x="0" y="0"/>
                          <a:ext cx="874395" cy="299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10" w:firstLineChars="100"/>
                            </w:pPr>
                            <w:r>
                              <w:rPr>
                                <w:rFonts w:hint="eastAsia"/>
                              </w:rPr>
                              <w:t>调节池</w:t>
                            </w:r>
                          </w:p>
                        </w:txbxContent>
                      </wps:txbx>
                      <wps:bodyPr vert="horz" anchor="t" upright="1"/>
                    </wps:wsp>
                  </a:graphicData>
                </a:graphic>
              </wp:anchor>
            </w:drawing>
          </mc:Choice>
          <mc:Fallback>
            <w:pict>
              <v:shape id="文本框 6" o:spid="_x0000_s1026" o:spt="202" type="#_x0000_t202" style="position:absolute;left:0pt;margin-left:195.15pt;margin-top:4.3pt;height:23.6pt;width:68.85pt;z-index:251646976;mso-width-relative:page;mso-height-relative:page;" fillcolor="#FFFFFF" filled="t" stroked="t" coordsize="21600,21600" o:gfxdata="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&#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76Vy7XAAAACAEAAA8AAAAAAAAAAQAgAAAAIgAAAGRy&#10;cy9kb3ducmV2LnhtbFBLAQIUABQAAAAIAIdO4kCyE6gaBgIAAA4EAAAOAAAAAAAAAAEAIAAAACYB&#10;AABkcnMvZTJvRG9jLnhtbFBLBQYAAAAABgAGAFkBAACeBQAAAAA=&#10;">
                <v:fill on="t" focussize="0,0"/>
                <v:stroke color="#000000" joinstyle="miter"/>
                <v:imagedata o:title=""/>
                <o:lock v:ext="edit" aspectratio="f"/>
                <v:textbox>
                  <w:txbxContent>
                    <w:p>
                      <w:pPr>
                        <w:ind w:firstLine="210" w:firstLineChars="100"/>
                      </w:pPr>
                      <w:r>
                        <w:rPr>
                          <w:rFonts w:hint="eastAsia"/>
                        </w:rPr>
                        <w:t>调节池</w:t>
                      </w:r>
                    </w:p>
                  </w:txbxContent>
                </v:textbox>
              </v:shape>
            </w:pict>
          </mc:Fallback>
        </mc:AlternateContent>
      </w:r>
    </w:p>
    <w:p>
      <w:pPr>
        <w:pStyle w:val="8"/>
        <w:rPr>
          <w:rFonts w:ascii="Times New Roman" w:hAnsi="Times New Roman" w:cs="Times New Roman"/>
          <w:color w:val="FF0000"/>
        </w:rPr>
      </w:pPr>
      <w:r>
        <w:rPr>
          <w:rFonts w:ascii="Times New Roman" w:hAnsi="Times New Roman" w:cs="Times New Roman"/>
        </w:rPr>
        <mc:AlternateContent>
          <mc:Choice Requires="wps">
            <w:drawing>
              <wp:anchor distT="0" distB="0" distL="114300" distR="114300" simplePos="0" relativeHeight="251639808" behindDoc="0" locked="0" layoutInCell="1" allowOverlap="1">
                <wp:simplePos x="0" y="0"/>
                <wp:positionH relativeFrom="column">
                  <wp:posOffset>4250690</wp:posOffset>
                </wp:positionH>
                <wp:positionV relativeFrom="paragraph">
                  <wp:posOffset>265430</wp:posOffset>
                </wp:positionV>
                <wp:extent cx="627380" cy="28765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627380" cy="287655"/>
                        </a:xfrm>
                        <a:prstGeom prst="rect">
                          <a:avLst/>
                        </a:prstGeom>
                        <a:noFill/>
                        <a:ln w="6350">
                          <a:noFill/>
                        </a:ln>
                        <a:effectLst/>
                      </wps:spPr>
                      <wps:txbx>
                        <w:txbxContent>
                          <w:p>
                            <w:r>
                              <w:rPr>
                                <w:rFonts w:hint="eastAsia"/>
                              </w:rPr>
                              <w:t>压滤液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7pt;margin-top:20.9pt;height:22.65pt;width:49.4pt;z-index:251639808;mso-width-relative:page;mso-height-relative:page;" filled="f" stroked="f" coordsize="21600,21600" o:gfxdata="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FrXdTbAAAACQEAAA8AAAAAAAAAAQAgAAAAIgAAAGRycy9kb3ducmV2LnhtbFBLAQIUABQAAAAI&#10;AIdO4kCZWZFNIwIAACcEAAAOAAAAAAAAAAEAIAAAACoBAABkcnMvZTJvRG9jLnhtbFBLBQYAAAAA&#10;BgAGAFkBAAC/BQAAAAA=&#10;">
                <v:fill on="f" focussize="0,0"/>
                <v:stroke on="f" weight="0.5pt"/>
                <v:imagedata o:title=""/>
                <o:lock v:ext="edit" aspectratio="f"/>
                <v:textbox>
                  <w:txbxContent>
                    <w:p>
                      <w:r>
                        <w:rPr>
                          <w:rFonts w:hint="eastAsia"/>
                        </w:rPr>
                        <w:t>压滤液</w:t>
                      </w:r>
                    </w:p>
                  </w:txbxContent>
                </v:textbox>
              </v:shape>
            </w:pict>
          </mc:Fallback>
        </mc:AlternateContent>
      </w:r>
      <w:r>
        <w:rPr>
          <w:sz w:val="24"/>
        </w:rPr>
        <mc:AlternateContent>
          <mc:Choice Requires="wps">
            <w:drawing>
              <wp:anchor distT="0" distB="0" distL="114300" distR="114300" simplePos="0" relativeHeight="251578368" behindDoc="1" locked="0" layoutInCell="1" allowOverlap="1">
                <wp:simplePos x="0" y="0"/>
                <wp:positionH relativeFrom="column">
                  <wp:posOffset>3813175</wp:posOffset>
                </wp:positionH>
                <wp:positionV relativeFrom="paragraph">
                  <wp:posOffset>100330</wp:posOffset>
                </wp:positionV>
                <wp:extent cx="1176655" cy="2041525"/>
                <wp:effectExtent l="0" t="38100" r="15875" b="4445"/>
                <wp:wrapNone/>
                <wp:docPr id="1" name="肘形连接符 159"/>
                <wp:cNvGraphicFramePr/>
                <a:graphic xmlns:a="http://schemas.openxmlformats.org/drawingml/2006/main">
                  <a:graphicData uri="http://schemas.microsoft.com/office/word/2010/wordprocessingShape">
                    <wps:wsp>
                      <wps:cNvCnPr>
                        <a:stCxn id="199" idx="0"/>
                      </wps:cNvCnPr>
                      <wps:spPr>
                        <a:xfrm rot="16200000" flipV="1">
                          <a:off x="0" y="0"/>
                          <a:ext cx="1176655" cy="2041525"/>
                        </a:xfrm>
                        <a:prstGeom prst="bentConnector2">
                          <a:avLst/>
                        </a:prstGeom>
                        <a:ln w="6350" cap="flat" cmpd="sng">
                          <a:solidFill>
                            <a:srgbClr val="000000"/>
                          </a:solidFill>
                          <a:prstDash val="dash"/>
                          <a:miter/>
                          <a:headEnd type="none" w="med" len="med"/>
                          <a:tailEnd type="triangle" w="med" len="med"/>
                        </a:ln>
                      </wps:spPr>
                      <wps:bodyPr/>
                    </wps:wsp>
                  </a:graphicData>
                </a:graphic>
              </wp:anchor>
            </w:drawing>
          </mc:Choice>
          <mc:Fallback>
            <w:pict>
              <v:shape id="肘形连接符 159" o:spid="_x0000_s1026" o:spt="33" type="#_x0000_t33" style="position:absolute;left:0pt;flip:y;margin-left:300.25pt;margin-top:7.9pt;height:160.75pt;width:92.65pt;rotation:5898240f;z-index:-251738112;mso-width-relative:page;mso-height-relative:page;" filled="f" stroked="t" coordsize="21600,21600" o:gfxdata="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Re6WNoAAAAKAQAADwAAAAAAAAAB&#10;ACAAAAAiAAAAZHJzL2Rvd25yZXYueG1sUEsBAhQAFAAAAAgAh07iQDR7jxwOAgAA6gMAAA4AAAAA&#10;AAAAAQAgAAAAKQEAAGRycy9lMm9Eb2MueG1sUEsFBgAAAAAGAAYAWQEAAKkFAAAAAA==&#10;">
                <v:fill on="f" focussize="0,0"/>
                <v:stroke weight="0.5pt" color="#000000" joinstyle="miter" dashstyle="dash"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45952" behindDoc="0" locked="0" layoutInCell="1" allowOverlap="1">
                <wp:simplePos x="0" y="0"/>
                <wp:positionH relativeFrom="column">
                  <wp:posOffset>2916555</wp:posOffset>
                </wp:positionH>
                <wp:positionV relativeFrom="paragraph">
                  <wp:posOffset>72390</wp:posOffset>
                </wp:positionV>
                <wp:extent cx="11430" cy="347345"/>
                <wp:effectExtent l="29210" t="0" r="35560" b="14605"/>
                <wp:wrapNone/>
                <wp:docPr id="209" name="自选图形 5"/>
                <wp:cNvGraphicFramePr/>
                <a:graphic xmlns:a="http://schemas.openxmlformats.org/drawingml/2006/main">
                  <a:graphicData uri="http://schemas.microsoft.com/office/word/2010/wordprocessingShape">
                    <wps:wsp>
                      <wps:cNvCnPr/>
                      <wps:spPr>
                        <a:xfrm>
                          <a:off x="0" y="0"/>
                          <a:ext cx="11430" cy="3473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5" o:spid="_x0000_s1026" o:spt="32" type="#_x0000_t32" style="position:absolute;left:0pt;margin-left:229.65pt;margin-top:5.7pt;height:27.35pt;width:0.9pt;z-index:251645952;mso-width-relative:page;mso-height-relative:page;" filled="f" stroked="t" coordsize="21600,21600" o:gfxdata="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bvLhdkAAAAJAQAADwAAAAAAAAABACAAAAAiAAAAZHJzL2Rvd25yZXYueG1sUEsBAhQAFAAAAAgA&#10;h07iQGCCl97rAQAArAMAAA4AAAAAAAAAAQAgAAAAKAEAAGRycy9lMm9Eb2MueG1sUEsFBgAAAAAG&#10;AAYAWQEAAIUFAAAAAA==&#10;">
                <v:fill on="f" focussize="0,0"/>
                <v:stroke color="#000000" joinstyle="round" endarrow="block"/>
                <v:imagedata o:title=""/>
                <o:lock v:ext="edit" aspectratio="f"/>
              </v:shape>
            </w:pict>
          </mc:Fallback>
        </mc:AlternateContent>
      </w:r>
    </w:p>
    <w:p>
      <w:pPr>
        <w:rPr>
          <w:color w:val="FF0000"/>
          <w:sz w:val="24"/>
          <w:szCs w:val="24"/>
        </w:rPr>
      </w:pPr>
      <w:r>
        <w:rPr>
          <w:rFonts w:ascii="Times New Roman" w:hAnsi="Times New Roman" w:cs="Times New Roman"/>
        </w:rPr>
        <mc:AlternateContent>
          <mc:Choice Requires="wps">
            <w:drawing>
              <wp:anchor distT="0" distB="0" distL="114300" distR="114300" simplePos="0" relativeHeight="251644928" behindDoc="0" locked="0" layoutInCell="1" allowOverlap="1">
                <wp:simplePos x="0" y="0"/>
                <wp:positionH relativeFrom="column">
                  <wp:posOffset>2484755</wp:posOffset>
                </wp:positionH>
                <wp:positionV relativeFrom="paragraph">
                  <wp:posOffset>104140</wp:posOffset>
                </wp:positionV>
                <wp:extent cx="874395" cy="310515"/>
                <wp:effectExtent l="4445" t="4445" r="16510" b="8890"/>
                <wp:wrapNone/>
                <wp:docPr id="208" name="文本框 4"/>
                <wp:cNvGraphicFramePr/>
                <a:graphic xmlns:a="http://schemas.openxmlformats.org/drawingml/2006/main">
                  <a:graphicData uri="http://schemas.microsoft.com/office/word/2010/wordprocessingShape">
                    <wps:wsp>
                      <wps:cNvSpPr txBox="1"/>
                      <wps:spPr>
                        <a:xfrm>
                          <a:off x="0" y="0"/>
                          <a:ext cx="874395" cy="310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lang w:eastAsia="zh-CN"/>
                              </w:rPr>
                              <w:t>兼氧水解池</w:t>
                            </w:r>
                          </w:p>
                        </w:txbxContent>
                      </wps:txbx>
                      <wps:bodyPr vert="horz" anchor="t" upright="1"/>
                    </wps:wsp>
                  </a:graphicData>
                </a:graphic>
              </wp:anchor>
            </w:drawing>
          </mc:Choice>
          <mc:Fallback>
            <w:pict>
              <v:shape id="文本框 4" o:spid="_x0000_s1026" o:spt="202" type="#_x0000_t202" style="position:absolute;left:0pt;margin-left:195.65pt;margin-top:8.2pt;height:24.45pt;width:68.85pt;z-index:251644928;mso-width-relative:page;mso-height-relative:page;" fillcolor="#FFFFFF" filled="t" stroked="t" coordsize="21600,21600" o:gfxdata="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&#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jCQD2QAAAAkBAAAPAAAAAAAAAAEAIAAAACIAAABk&#10;cnMvZG93bnJldi54bWxQSwECFAAUAAAACACHTuJAFmJvGwUCAAAOBAAADgAAAAAAAAABACAAAAAo&#10;AQAAZHJzL2Uyb0RvYy54bWxQSwUGAAAAAAYABgBZAQAAnwUAAAAA&#10;">
                <v:fill on="t" focussize="0,0"/>
                <v:stroke color="#000000" joinstyle="miter"/>
                <v:imagedata o:title=""/>
                <o:lock v:ext="edit" aspectratio="f"/>
                <v:textbox>
                  <w:txbxContent>
                    <w:p>
                      <w:pPr>
                        <w:rPr>
                          <w:rFonts w:hint="eastAsia" w:eastAsia="宋体"/>
                          <w:lang w:eastAsia="zh-CN"/>
                        </w:rPr>
                      </w:pPr>
                      <w:r>
                        <w:rPr>
                          <w:rFonts w:hint="eastAsia"/>
                          <w:lang w:eastAsia="zh-CN"/>
                        </w:rPr>
                        <w:t>兼氧水解池</w:t>
                      </w:r>
                    </w:p>
                  </w:txbxContent>
                </v:textbox>
              </v:shape>
            </w:pict>
          </mc:Fallback>
        </mc:AlternateContent>
      </w:r>
    </w:p>
    <w:p>
      <w:pPr>
        <w:pStyle w:val="8"/>
        <w:rPr>
          <w:rFonts w:ascii="Times New Roman" w:hAnsi="Times New Roman" w:cs="Times New Roman"/>
          <w:color w:val="FF0000"/>
        </w:rPr>
      </w:pPr>
      <w:r>
        <w:rPr>
          <w:rFonts w:ascii="Times New Roman" w:hAnsi="Times New Roman" w:cs="Times New Roman"/>
        </w:rPr>
        <mc:AlternateContent>
          <mc:Choice Requires="wps">
            <w:drawing>
              <wp:anchor distT="0" distB="0" distL="114300" distR="114300" simplePos="0" relativeHeight="251648000" behindDoc="0" locked="0" layoutInCell="1" allowOverlap="1">
                <wp:simplePos x="0" y="0"/>
                <wp:positionH relativeFrom="column">
                  <wp:posOffset>2915285</wp:posOffset>
                </wp:positionH>
                <wp:positionV relativeFrom="paragraph">
                  <wp:posOffset>141605</wp:posOffset>
                </wp:positionV>
                <wp:extent cx="635" cy="398780"/>
                <wp:effectExtent l="37465" t="0" r="38100" b="1270"/>
                <wp:wrapNone/>
                <wp:docPr id="211" name="自选图形 7"/>
                <wp:cNvGraphicFramePr/>
                <a:graphic xmlns:a="http://schemas.openxmlformats.org/drawingml/2006/main">
                  <a:graphicData uri="http://schemas.microsoft.com/office/word/2010/wordprocessingShape">
                    <wps:wsp>
                      <wps:cNvCnPr/>
                      <wps:spPr>
                        <a:xfrm>
                          <a:off x="0" y="0"/>
                          <a:ext cx="635" cy="3987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7" o:spid="_x0000_s1026" o:spt="32" type="#_x0000_t32" style="position:absolute;left:0pt;margin-left:229.55pt;margin-top:11.15pt;height:31.4pt;width:0.05pt;z-index:251648000;mso-width-relative:page;mso-height-relative:page;" filled="f" stroked="t" coordsize="21600,21600" o:gfxdata="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O&#10;OPf92gAAAAkBAAAPAAAAAAAAAAEAIAAAACIAAABkcnMvZG93bnJldi54bWxQSwECFAAUAAAACACH&#10;TuJA2xeCp+kBAACqAwAADgAAAAAAAAABACAAAAApAQAAZHJzL2Uyb0RvYy54bWxQSwUGAAAAAAYA&#10;BgBZAQAAhAUAAAAA&#10;">
                <v:fill on="f" focussize="0,0"/>
                <v:stroke color="#000000" joinstyle="round" endarrow="block"/>
                <v:imagedata o:title=""/>
                <o:lock v:ext="edit" aspectratio="f"/>
              </v:shape>
            </w:pict>
          </mc:Fallback>
        </mc:AlternateContent>
      </w:r>
    </w:p>
    <w:p>
      <w:pPr>
        <w:rPr>
          <w:color w:val="FF0000"/>
          <w:sz w:val="24"/>
          <w:szCs w:val="24"/>
        </w:rPr>
      </w:pPr>
      <w:r>
        <w:rPr>
          <w:sz w:val="24"/>
        </w:rPr>
        <mc:AlternateContent>
          <mc:Choice Requires="wps">
            <w:drawing>
              <wp:anchor distT="0" distB="0" distL="114300" distR="114300" simplePos="0" relativeHeight="251660288" behindDoc="0" locked="0" layoutInCell="1" allowOverlap="1">
                <wp:simplePos x="0" y="0"/>
                <wp:positionH relativeFrom="column">
                  <wp:posOffset>3460115</wp:posOffset>
                </wp:positionH>
                <wp:positionV relativeFrom="paragraph">
                  <wp:posOffset>88265</wp:posOffset>
                </wp:positionV>
                <wp:extent cx="627380" cy="287655"/>
                <wp:effectExtent l="0" t="0" r="0" b="0"/>
                <wp:wrapNone/>
                <wp:docPr id="194" name="文本框 194"/>
                <wp:cNvGraphicFramePr/>
                <a:graphic xmlns:a="http://schemas.openxmlformats.org/drawingml/2006/main">
                  <a:graphicData uri="http://schemas.microsoft.com/office/word/2010/wordprocessingShape">
                    <wps:wsp>
                      <wps:cNvSpPr txBox="1"/>
                      <wps:spPr>
                        <a:xfrm>
                          <a:off x="4570095" y="3656330"/>
                          <a:ext cx="627380" cy="287655"/>
                        </a:xfrm>
                        <a:prstGeom prst="rect">
                          <a:avLst/>
                        </a:prstGeom>
                        <a:noFill/>
                        <a:ln w="6350">
                          <a:noFill/>
                        </a:ln>
                        <a:effectLst/>
                      </wps:spPr>
                      <wps:txbx>
                        <w:txbxContent>
                          <w:p>
                            <w:r>
                              <w:rPr>
                                <w:rFonts w:hint="eastAsia"/>
                              </w:rPr>
                              <w:t>污泥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45pt;margin-top:6.95pt;height:22.65pt;width:49.4pt;z-index:251660288;mso-width-relative:page;mso-height-relative:page;" filled="f" stroked="f" coordsize="21600,21600" o:gfxdata="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7+M7XaAAAACQEAAA8AAAAAAAAAAQAgAAAAIgAAAGRycy9kb3ducmV2LnhtbFBL&#10;AQIUABQAAAAIAIdO4kAbluM5LQIAADUEAAAOAAAAAAAAAAEAIAAAACkBAABkcnMvZTJvRG9jLnht&#10;bFBLBQYAAAAABgAGAFkBAADIBQAAAAA=&#10;">
                <v:fill on="f" focussize="0,0"/>
                <v:stroke on="f" weight="0.5pt"/>
                <v:imagedata o:title=""/>
                <o:lock v:ext="edit" aspectratio="f"/>
                <v:textbox>
                  <w:txbxContent>
                    <w:p>
                      <w:r>
                        <w:rPr>
                          <w:rFonts w:hint="eastAsia"/>
                        </w:rPr>
                        <w:t>污泥</w:t>
                      </w:r>
                    </w:p>
                  </w:txbxContent>
                </v:textbox>
              </v:shape>
            </w:pict>
          </mc:Fallback>
        </mc:AlternateContent>
      </w:r>
      <w:r>
        <w:rPr>
          <w:sz w:val="24"/>
        </w:rPr>
        <mc:AlternateContent>
          <mc:Choice Requires="wps">
            <w:drawing>
              <wp:anchor distT="0" distB="0" distL="114300" distR="114300" simplePos="0" relativeHeight="251649024" behindDoc="0" locked="0" layoutInCell="1" allowOverlap="1">
                <wp:simplePos x="0" y="0"/>
                <wp:positionH relativeFrom="column">
                  <wp:posOffset>2355850</wp:posOffset>
                </wp:positionH>
                <wp:positionV relativeFrom="paragraph">
                  <wp:posOffset>217170</wp:posOffset>
                </wp:positionV>
                <wp:extent cx="998220" cy="299720"/>
                <wp:effectExtent l="5080" t="4445" r="6350" b="19685"/>
                <wp:wrapNone/>
                <wp:docPr id="212" name="文本框 8"/>
                <wp:cNvGraphicFramePr/>
                <a:graphic xmlns:a="http://schemas.openxmlformats.org/drawingml/2006/main">
                  <a:graphicData uri="http://schemas.microsoft.com/office/word/2010/wordprocessingShape">
                    <wps:wsp>
                      <wps:cNvSpPr txBox="1"/>
                      <wps:spPr>
                        <a:xfrm>
                          <a:off x="0" y="0"/>
                          <a:ext cx="998220" cy="299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10" w:firstLineChars="100"/>
                              <w:rPr>
                                <w:rFonts w:hint="eastAsia" w:eastAsia="宋体"/>
                                <w:lang w:eastAsia="zh-CN"/>
                              </w:rPr>
                            </w:pPr>
                            <w:r>
                              <w:rPr>
                                <w:rFonts w:hint="eastAsia"/>
                                <w:lang w:eastAsia="zh-CN"/>
                              </w:rPr>
                              <w:t>接触氧化池</w:t>
                            </w:r>
                          </w:p>
                        </w:txbxContent>
                      </wps:txbx>
                      <wps:bodyPr upright="1"/>
                    </wps:wsp>
                  </a:graphicData>
                </a:graphic>
              </wp:anchor>
            </w:drawing>
          </mc:Choice>
          <mc:Fallback>
            <w:pict>
              <v:shape id="文本框 8" o:spid="_x0000_s1026" o:spt="202" type="#_x0000_t202" style="position:absolute;left:0pt;margin-left:185.5pt;margin-top:17.1pt;height:23.6pt;width:78.6pt;z-index:251649024;mso-width-relative:page;mso-height-relative:page;" fillcolor="#FFFFFF" filled="t" stroked="t" coordsize="21600,21600" o:gfxdata="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M62NtgAAAAJAQAADwAAAAAAAAABACAAAAAiAAAAZHJzL2Rvd25yZXYueG1sUEsB&#10;AhQAFAAAAAgAh07iQFneqqz1AQAA9wMAAA4AAAAAAAAAAQAgAAAAJwEAAGRycy9lMm9Eb2MueG1s&#10;UEsFBgAAAAAGAAYAWQEAAI4FAAAAAA==&#10;">
                <v:fill on="t" focussize="0,0"/>
                <v:stroke color="#000000" joinstyle="miter"/>
                <v:imagedata o:title=""/>
                <o:lock v:ext="edit" aspectratio="f"/>
                <v:textbox>
                  <w:txbxContent>
                    <w:p>
                      <w:pPr>
                        <w:ind w:firstLine="210" w:firstLineChars="100"/>
                        <w:rPr>
                          <w:rFonts w:hint="eastAsia" w:eastAsia="宋体"/>
                          <w:lang w:eastAsia="zh-CN"/>
                        </w:rPr>
                      </w:pPr>
                      <w:r>
                        <w:rPr>
                          <w:rFonts w:hint="eastAsia"/>
                          <w:lang w:eastAsia="zh-CN"/>
                        </w:rPr>
                        <w:t>接触氧化池</w:t>
                      </w:r>
                    </w:p>
                  </w:txbxContent>
                </v:textbox>
              </v:shape>
            </w:pict>
          </mc:Fallback>
        </mc:AlternateContent>
      </w:r>
    </w:p>
    <w:p>
      <w:pPr>
        <w:pStyle w:val="8"/>
        <w:rPr>
          <w:rFonts w:ascii="Times New Roman" w:hAnsi="Times New Roman" w:cs="Times New Roman"/>
          <w:color w:val="FF0000"/>
        </w:rPr>
      </w:pPr>
      <w:r>
        <w:rPr>
          <w:rFonts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3354070</wp:posOffset>
                </wp:positionH>
                <wp:positionV relativeFrom="paragraph">
                  <wp:posOffset>104140</wp:posOffset>
                </wp:positionV>
                <wp:extent cx="812165" cy="546100"/>
                <wp:effectExtent l="0" t="4445" r="45085" b="1905"/>
                <wp:wrapNone/>
                <wp:docPr id="62" name="自选图形 20"/>
                <wp:cNvGraphicFramePr/>
                <a:graphic xmlns:a="http://schemas.openxmlformats.org/drawingml/2006/main">
                  <a:graphicData uri="http://schemas.microsoft.com/office/word/2010/wordprocessingShape">
                    <wps:wsp>
                      <wps:cNvCnPr>
                        <a:endCxn id="115" idx="0"/>
                      </wps:cNvCnPr>
                      <wps:spPr>
                        <a:xfrm>
                          <a:off x="0" y="0"/>
                          <a:ext cx="812165" cy="546100"/>
                        </a:xfrm>
                        <a:prstGeom prst="bentConnector2">
                          <a:avLst/>
                        </a:prstGeom>
                        <a:ln w="6350" cap="flat" cmpd="sng">
                          <a:solidFill>
                            <a:srgbClr val="000000"/>
                          </a:solidFill>
                          <a:prstDash val="dash"/>
                          <a:miter/>
                          <a:headEnd type="none" w="med" len="med"/>
                          <a:tailEnd type="triangle" w="med" len="med"/>
                        </a:ln>
                      </wps:spPr>
                      <wps:bodyPr/>
                    </wps:wsp>
                  </a:graphicData>
                </a:graphic>
              </wp:anchor>
            </w:drawing>
          </mc:Choice>
          <mc:Fallback>
            <w:pict>
              <v:shape id="自选图形 20" o:spid="_x0000_s1026" o:spt="33" type="#_x0000_t33" style="position:absolute;left:0pt;margin-left:264.1pt;margin-top:8.2pt;height:43pt;width:63.95pt;z-index:251659264;mso-width-relative:page;mso-height-relative:page;" filled="f" stroked="t" coordsize="21600,21600" o:gfxdata="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Z8i5vYAAAACgEAAA8AAAAAAAAAAQAgAAAAIgAAAGRycy9kb3ducmV2LnhtbFBL&#10;AQIUABQAAAAIAIdO4kCccEER9gEAAM0DAAAOAAAAAAAAAAEAIAAAACcBAABkcnMvZTJvRG9jLnht&#10;bFBLBQYAAAAABgAGAFkBAACPBQAAAAA=&#10;">
                <v:fill on="f" focussize="0,0"/>
                <v:stroke weight="0.5pt" color="#000000" joinstyle="miter" dashstyle="dash"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50048" behindDoc="0" locked="0" layoutInCell="1" allowOverlap="1">
                <wp:simplePos x="0" y="0"/>
                <wp:positionH relativeFrom="column">
                  <wp:posOffset>2920365</wp:posOffset>
                </wp:positionH>
                <wp:positionV relativeFrom="paragraph">
                  <wp:posOffset>245745</wp:posOffset>
                </wp:positionV>
                <wp:extent cx="635" cy="398780"/>
                <wp:effectExtent l="37465" t="0" r="38100" b="1270"/>
                <wp:wrapNone/>
                <wp:docPr id="213" name="自选图形 9"/>
                <wp:cNvGraphicFramePr/>
                <a:graphic xmlns:a="http://schemas.openxmlformats.org/drawingml/2006/main">
                  <a:graphicData uri="http://schemas.microsoft.com/office/word/2010/wordprocessingShape">
                    <wps:wsp>
                      <wps:cNvCnPr/>
                      <wps:spPr>
                        <a:xfrm>
                          <a:off x="0" y="0"/>
                          <a:ext cx="635" cy="3987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9" o:spid="_x0000_s1026" o:spt="32" type="#_x0000_t32" style="position:absolute;left:0pt;margin-left:229.95pt;margin-top:19.35pt;height:31.4pt;width:0.05pt;z-index:251650048;mso-width-relative:page;mso-height-relative:page;" filled="f" stroked="t" coordsize="21600,21600" o:gfxdata="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0&#10;6ShV2gAAAAoBAAAPAAAAAAAAAAEAIAAAACIAAABkcnMvZG93bnJldi54bWxQSwECFAAUAAAACACH&#10;TuJAXD44I+kBAACqAwAADgAAAAAAAAABACAAAAApAQAAZHJzL2Uyb0RvYy54bWxQSwUGAAAAAAYA&#10;BgBZAQAAhAUAAAAA&#10;">
                <v:fill on="f" focussize="0,0"/>
                <v:stroke color="#000000" joinstyle="round" endarrow="block"/>
                <v:imagedata o:title=""/>
                <o:lock v:ext="edit" aspectratio="f"/>
              </v:shape>
            </w:pict>
          </mc:Fallback>
        </mc:AlternateContent>
      </w:r>
    </w:p>
    <w:p>
      <w:r>
        <w:rPr>
          <w:sz w:val="24"/>
        </w:rPr>
        <mc:AlternateContent>
          <mc:Choice Requires="wps">
            <w:drawing>
              <wp:anchor distT="0" distB="0" distL="114300" distR="114300" simplePos="0" relativeHeight="251661312" behindDoc="0" locked="0" layoutInCell="1" allowOverlap="1">
                <wp:simplePos x="0" y="0"/>
                <wp:positionH relativeFrom="column">
                  <wp:posOffset>3321050</wp:posOffset>
                </wp:positionH>
                <wp:positionV relativeFrom="paragraph">
                  <wp:posOffset>193675</wp:posOffset>
                </wp:positionV>
                <wp:extent cx="627380" cy="287655"/>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627380" cy="287655"/>
                        </a:xfrm>
                        <a:prstGeom prst="rect">
                          <a:avLst/>
                        </a:prstGeom>
                        <a:noFill/>
                        <a:ln w="6350">
                          <a:noFill/>
                        </a:ln>
                        <a:effectLst/>
                      </wps:spPr>
                      <wps:txbx>
                        <w:txbxContent>
                          <w:p>
                            <w:r>
                              <w:rPr>
                                <w:rFonts w:hint="eastAsia"/>
                              </w:rPr>
                              <w:t>污泥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5pt;margin-top:15.25pt;height:22.65pt;width:49.4pt;z-index:251661312;mso-width-relative:page;mso-height-relative:page;" filled="f" stroked="f" coordsize="21600,21600" o:gfxdata="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E/pAjaAAAACQEAAA8AAAAAAAAAAQAgAAAAIgAAAGRycy9kb3ducmV2LnhtbFBLAQIUABQAAAAI&#10;AIdO4kBzUms4JAIAACkEAAAOAAAAAAAAAAEAIAAAACkBAABkcnMvZTJvRG9jLnhtbFBLBQYAAAAA&#10;BgAGAFkBAAC/BQAAAAA=&#10;">
                <v:fill on="f" focussize="0,0"/>
                <v:stroke on="f" weight="0.5pt"/>
                <v:imagedata o:title=""/>
                <o:lock v:ext="edit" aspectratio="f"/>
                <v:textbox>
                  <w:txbxContent>
                    <w:p>
                      <w:r>
                        <w:rPr>
                          <w:rFonts w:hint="eastAsia"/>
                        </w:rPr>
                        <w:t>污泥</w:t>
                      </w:r>
                    </w:p>
                  </w:txbxContent>
                </v:textbox>
              </v:shape>
            </w:pict>
          </mc:Fallback>
        </mc:AlternateContent>
      </w:r>
      <w:r>
        <w:rPr>
          <w:sz w:val="24"/>
        </w:rPr>
        <mc:AlternateContent>
          <mc:Choice Requires="wps">
            <w:drawing>
              <wp:anchor distT="0" distB="0" distL="114300" distR="114300" simplePos="0" relativeHeight="434777088" behindDoc="0" locked="0" layoutInCell="1" allowOverlap="1">
                <wp:simplePos x="0" y="0"/>
                <wp:positionH relativeFrom="column">
                  <wp:posOffset>528955</wp:posOffset>
                </wp:positionH>
                <wp:positionV relativeFrom="paragraph">
                  <wp:posOffset>102870</wp:posOffset>
                </wp:positionV>
                <wp:extent cx="920115" cy="342900"/>
                <wp:effectExtent l="0" t="0" r="0" b="0"/>
                <wp:wrapNone/>
                <wp:docPr id="95" name="文本框 436"/>
                <wp:cNvGraphicFramePr/>
                <a:graphic xmlns:a="http://schemas.openxmlformats.org/drawingml/2006/main">
                  <a:graphicData uri="http://schemas.microsoft.com/office/word/2010/wordprocessingShape">
                    <wps:wsp>
                      <wps:cNvSpPr txBox="1"/>
                      <wps:spPr>
                        <a:xfrm>
                          <a:off x="0" y="0"/>
                          <a:ext cx="920115" cy="342900"/>
                        </a:xfrm>
                        <a:prstGeom prst="rect">
                          <a:avLst/>
                        </a:prstGeom>
                        <a:noFill/>
                        <a:ln w="9525">
                          <a:noFill/>
                        </a:ln>
                        <a:effectLst/>
                      </wps:spPr>
                      <wps:txbx>
                        <w:txbxContent>
                          <w:p>
                            <w:r>
                              <w:rPr>
                                <w:rFonts w:hint="eastAsia"/>
                                <w:lang w:eastAsia="zh-CN"/>
                              </w:rPr>
                              <w:t>生活污水</w:t>
                            </w:r>
                          </w:p>
                        </w:txbxContent>
                      </wps:txbx>
                      <wps:bodyPr vert="horz" anchor="t" upright="1"/>
                    </wps:wsp>
                  </a:graphicData>
                </a:graphic>
              </wp:anchor>
            </w:drawing>
          </mc:Choice>
          <mc:Fallback>
            <w:pict>
              <v:shape id="文本框 436" o:spid="_x0000_s1026" o:spt="202" type="#_x0000_t202" style="position:absolute;left:0pt;margin-left:41.65pt;margin-top:8.1pt;height:27pt;width:72.45pt;z-index:434777088;mso-width-relative:page;mso-height-relative:page;" filled="f" stroked="f" coordsize="21600,21600" o:gfxdata="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jE9sb1gAA&#10;AAgBAAAPAAAAAAAAAAEAIAAAACIAAABkcnMvZG93bnJldi54bWxQSwECFAAUAAAACACHTuJAxIKP&#10;cK4BAAAwAwAADgAAAAAAAAABACAAAAAlAQAAZHJzL2Uyb0RvYy54bWxQSwUGAAAAAAYABgBZAQAA&#10;RQUAAAAA&#10;">
                <v:fill on="f" focussize="0,0"/>
                <v:stroke on="f"/>
                <v:imagedata o:title=""/>
                <o:lock v:ext="edit" aspectratio="f"/>
                <v:textbox>
                  <w:txbxContent>
                    <w:p>
                      <w:r>
                        <w:rPr>
                          <w:rFonts w:hint="eastAsia"/>
                          <w:lang w:eastAsia="zh-CN"/>
                        </w:rPr>
                        <w:t>生活污水</w:t>
                      </w:r>
                    </w:p>
                  </w:txbxContent>
                </v:textbox>
              </v:shape>
            </w:pict>
          </mc:Fallback>
        </mc:AlternateContent>
      </w:r>
    </w:p>
    <w:p>
      <w:r>
        <w:rPr>
          <w:sz w:val="24"/>
        </w:rPr>
        <mc:AlternateContent>
          <mc:Choice Requires="wps">
            <w:drawing>
              <wp:anchor distT="0" distB="0" distL="114300" distR="114300" simplePos="0" relativeHeight="251665408" behindDoc="0" locked="0" layoutInCell="1" allowOverlap="1">
                <wp:simplePos x="0" y="0"/>
                <wp:positionH relativeFrom="column">
                  <wp:posOffset>4985385</wp:posOffset>
                </wp:positionH>
                <wp:positionV relativeFrom="paragraph">
                  <wp:posOffset>96520</wp:posOffset>
                </wp:positionV>
                <wp:extent cx="874395" cy="299720"/>
                <wp:effectExtent l="4445" t="4445" r="16510" b="19685"/>
                <wp:wrapNone/>
                <wp:docPr id="199" name="文本框 12"/>
                <wp:cNvGraphicFramePr/>
                <a:graphic xmlns:a="http://schemas.openxmlformats.org/drawingml/2006/main">
                  <a:graphicData uri="http://schemas.microsoft.com/office/word/2010/wordprocessingShape">
                    <wps:wsp>
                      <wps:cNvSpPr txBox="1"/>
                      <wps:spPr>
                        <a:xfrm>
                          <a:off x="0" y="0"/>
                          <a:ext cx="874395" cy="299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10" w:firstLineChars="100"/>
                            </w:pPr>
                            <w:r>
                              <w:rPr>
                                <w:rFonts w:hint="eastAsia"/>
                              </w:rPr>
                              <w:t>压滤机</w:t>
                            </w:r>
                          </w:p>
                        </w:txbxContent>
                      </wps:txbx>
                      <wps:bodyPr upright="1"/>
                    </wps:wsp>
                  </a:graphicData>
                </a:graphic>
              </wp:anchor>
            </w:drawing>
          </mc:Choice>
          <mc:Fallback>
            <w:pict>
              <v:shape id="文本框 12" o:spid="_x0000_s1026" o:spt="202" type="#_x0000_t202" style="position:absolute;left:0pt;margin-left:392.55pt;margin-top:7.6pt;height:23.6pt;width:68.85pt;z-index:251665408;mso-width-relative:page;mso-height-relative:page;" fillcolor="#FFFFFF" filled="t" stroked="t" coordsize="21600,21600" o:gfxdata="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hqT6J2QAAAAkBAAAPAAAAAAAAAAEAIAAAACIAAABkcnMvZG93bnJldi54&#10;bWxQSwECFAAUAAAACACHTuJAvnG66fkBAAD4AwAADgAAAAAAAAABACAAAAAoAQAAZHJzL2Uyb0Rv&#10;Yy54bWxQSwUGAAAAAAYABgBZAQAAkwUAAAAA&#10;">
                <v:fill on="t" focussize="0,0"/>
                <v:stroke color="#000000" joinstyle="miter"/>
                <v:imagedata o:title=""/>
                <o:lock v:ext="edit" aspectratio="f"/>
                <v:textbox>
                  <w:txbxContent>
                    <w:p>
                      <w:pPr>
                        <w:ind w:firstLine="210" w:firstLineChars="100"/>
                      </w:pPr>
                      <w:r>
                        <w:rPr>
                          <w:rFonts w:hint="eastAsia"/>
                        </w:rPr>
                        <w:t>压滤机</w:t>
                      </w:r>
                    </w:p>
                  </w:txbxContent>
                </v:textbox>
              </v:shape>
            </w:pict>
          </mc:Fallback>
        </mc:AlternateContent>
      </w:r>
      <w:r>
        <w:rPr>
          <w:sz w:val="24"/>
        </w:rPr>
        <mc:AlternateContent>
          <mc:Choice Requires="wps">
            <w:drawing>
              <wp:anchor distT="0" distB="0" distL="114300" distR="114300" simplePos="0" relativeHeight="251657216" behindDoc="0" locked="0" layoutInCell="1" allowOverlap="1">
                <wp:simplePos x="0" y="0"/>
                <wp:positionH relativeFrom="column">
                  <wp:posOffset>3728720</wp:posOffset>
                </wp:positionH>
                <wp:positionV relativeFrom="paragraph">
                  <wp:posOffset>134620</wp:posOffset>
                </wp:positionV>
                <wp:extent cx="874395" cy="299720"/>
                <wp:effectExtent l="4445" t="4445" r="16510" b="19685"/>
                <wp:wrapNone/>
                <wp:docPr id="115" name="文本框 12"/>
                <wp:cNvGraphicFramePr/>
                <a:graphic xmlns:a="http://schemas.openxmlformats.org/drawingml/2006/main">
                  <a:graphicData uri="http://schemas.microsoft.com/office/word/2010/wordprocessingShape">
                    <wps:wsp>
                      <wps:cNvSpPr txBox="1"/>
                      <wps:spPr>
                        <a:xfrm>
                          <a:off x="0" y="0"/>
                          <a:ext cx="874395" cy="299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10" w:firstLineChars="100"/>
                            </w:pPr>
                            <w:r>
                              <w:rPr>
                                <w:rFonts w:hint="eastAsia"/>
                              </w:rPr>
                              <w:t>污泥池</w:t>
                            </w:r>
                          </w:p>
                        </w:txbxContent>
                      </wps:txbx>
                      <wps:bodyPr upright="1"/>
                    </wps:wsp>
                  </a:graphicData>
                </a:graphic>
              </wp:anchor>
            </w:drawing>
          </mc:Choice>
          <mc:Fallback>
            <w:pict>
              <v:shape id="文本框 12" o:spid="_x0000_s1026" o:spt="202" type="#_x0000_t202" style="position:absolute;left:0pt;margin-left:293.6pt;margin-top:10.6pt;height:23.6pt;width:68.85pt;z-index:251657216;mso-width-relative:page;mso-height-relative:page;" fillcolor="#FFFFFF" filled="t" stroked="t" coordsize="21600,21600" o:gfxdata="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BZDF9oAAAAJAQAADwAAAAAAAAABACAAAAAiAAAAZHJzL2Rvd25yZXYu&#10;eG1sUEsBAhQAFAAAAAgAh07iQJYStgD5AQAA+AMAAA4AAAAAAAAAAQAgAAAAKQEAAGRycy9lMm9E&#10;b2MueG1sUEsFBgAAAAAGAAYAWQEAAJQFAAAAAA==&#10;">
                <v:fill on="t" focussize="0,0"/>
                <v:stroke color="#000000" joinstyle="miter"/>
                <v:imagedata o:title=""/>
                <o:lock v:ext="edit" aspectratio="f"/>
                <v:textbox>
                  <w:txbxContent>
                    <w:p>
                      <w:pPr>
                        <w:ind w:firstLine="210" w:firstLineChars="100"/>
                      </w:pPr>
                      <w:r>
                        <w:rPr>
                          <w:rFonts w:hint="eastAsia"/>
                        </w:rPr>
                        <w:t>污泥池</w:t>
                      </w:r>
                    </w:p>
                  </w:txbxContent>
                </v:textbox>
              </v:shape>
            </w:pict>
          </mc:Fallback>
        </mc:AlternateContent>
      </w:r>
      <w:r>
        <w:rPr>
          <w:sz w:val="24"/>
        </w:rPr>
        <mc:AlternateContent>
          <mc:Choice Requires="wps">
            <w:drawing>
              <wp:anchor distT="0" distB="0" distL="114300" distR="114300" simplePos="0" relativeHeight="251654144" behindDoc="0" locked="0" layoutInCell="1" allowOverlap="1">
                <wp:simplePos x="0" y="0"/>
                <wp:positionH relativeFrom="column">
                  <wp:posOffset>913765</wp:posOffset>
                </wp:positionH>
                <wp:positionV relativeFrom="paragraph">
                  <wp:posOffset>104140</wp:posOffset>
                </wp:positionV>
                <wp:extent cx="635" cy="398780"/>
                <wp:effectExtent l="37465" t="0" r="38100" b="1270"/>
                <wp:wrapNone/>
                <wp:docPr id="218" name="自选图形 13"/>
                <wp:cNvGraphicFramePr/>
                <a:graphic xmlns:a="http://schemas.openxmlformats.org/drawingml/2006/main">
                  <a:graphicData uri="http://schemas.microsoft.com/office/word/2010/wordprocessingShape">
                    <wps:wsp>
                      <wps:cNvCnPr/>
                      <wps:spPr>
                        <a:xfrm>
                          <a:off x="0" y="0"/>
                          <a:ext cx="635" cy="3987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3" o:spid="_x0000_s1026" o:spt="32" type="#_x0000_t32" style="position:absolute;left:0pt;margin-left:71.95pt;margin-top:8.2pt;height:31.4pt;width:0.05pt;z-index:251654144;mso-width-relative:page;mso-height-relative:page;" filled="f" stroked="t" coordsize="21600,21600" o:gfxdata="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GEW&#10;pdgAAAAJAQAADwAAAAAAAAABACAAAAAiAAAAZHJzL2Rvd25yZXYueG1sUEsBAhQAFAAAAAgAh07i&#10;QI4m/UPpAQAAqwMAAA4AAAAAAAAAAQAgAAAAJwEAAGRycy9lMm9Eb2MueG1sUEsFBgAAAAAGAAYA&#10;WQEAAII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51072" behindDoc="0" locked="0" layoutInCell="1" allowOverlap="1">
                <wp:simplePos x="0" y="0"/>
                <wp:positionH relativeFrom="column">
                  <wp:posOffset>2433955</wp:posOffset>
                </wp:positionH>
                <wp:positionV relativeFrom="paragraph">
                  <wp:posOffset>99060</wp:posOffset>
                </wp:positionV>
                <wp:extent cx="951230" cy="299720"/>
                <wp:effectExtent l="4445" t="4445" r="15875" b="19685"/>
                <wp:wrapNone/>
                <wp:docPr id="214" name="文本框 10"/>
                <wp:cNvGraphicFramePr/>
                <a:graphic xmlns:a="http://schemas.openxmlformats.org/drawingml/2006/main">
                  <a:graphicData uri="http://schemas.microsoft.com/office/word/2010/wordprocessingShape">
                    <wps:wsp>
                      <wps:cNvSpPr txBox="1"/>
                      <wps:spPr>
                        <a:xfrm>
                          <a:off x="0" y="0"/>
                          <a:ext cx="951230" cy="299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10" w:firstLineChars="100"/>
                              <w:rPr>
                                <w:rFonts w:hint="eastAsia" w:eastAsia="宋体"/>
                                <w:lang w:eastAsia="zh-CN"/>
                              </w:rPr>
                            </w:pPr>
                            <w:r>
                              <w:rPr>
                                <w:rFonts w:hint="eastAsia"/>
                                <w:lang w:eastAsia="zh-CN"/>
                              </w:rPr>
                              <w:t>二沉池</w:t>
                            </w:r>
                          </w:p>
                        </w:txbxContent>
                      </wps:txbx>
                      <wps:bodyPr upright="1"/>
                    </wps:wsp>
                  </a:graphicData>
                </a:graphic>
              </wp:anchor>
            </w:drawing>
          </mc:Choice>
          <mc:Fallback>
            <w:pict>
              <v:shape id="文本框 10" o:spid="_x0000_s1026" o:spt="202" type="#_x0000_t202" style="position:absolute;left:0pt;margin-left:191.65pt;margin-top:7.8pt;height:23.6pt;width:74.9pt;z-index:251651072;mso-width-relative:page;mso-height-relative:page;" fillcolor="#FFFFFF" filled="t" stroked="t" coordsize="21600,21600" o:gfxdata="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k8vQPYAAAACQEAAA8AAAAAAAAAAQAgAAAAIgAAAGRycy9kb3ducmV2LnhtbFBL&#10;AQIUABQAAAAIAIdO4kCzxy+J9gEAAPgDAAAOAAAAAAAAAAEAIAAAACcBAABkcnMvZTJvRG9jLnht&#10;bFBLBQYAAAAABgAGAFkBAACPBQAAAAA=&#10;">
                <v:fill on="t" focussize="0,0"/>
                <v:stroke color="#000000" joinstyle="miter"/>
                <v:imagedata o:title=""/>
                <o:lock v:ext="edit" aspectratio="f"/>
                <v:textbox>
                  <w:txbxContent>
                    <w:p>
                      <w:pPr>
                        <w:ind w:firstLine="210" w:firstLineChars="100"/>
                        <w:rPr>
                          <w:rFonts w:hint="eastAsia" w:eastAsia="宋体"/>
                          <w:lang w:eastAsia="zh-CN"/>
                        </w:rPr>
                      </w:pPr>
                      <w:r>
                        <w:rPr>
                          <w:rFonts w:hint="eastAsia"/>
                          <w:lang w:eastAsia="zh-CN"/>
                        </w:rPr>
                        <w:t>二沉池</w:t>
                      </w:r>
                    </w:p>
                  </w:txbxContent>
                </v:textbox>
              </v:shape>
            </w:pict>
          </mc:Fallback>
        </mc:AlternateContent>
      </w:r>
    </w:p>
    <w:p>
      <w:pPr>
        <w:ind w:firstLine="523" w:firstLineChars="218"/>
        <w:rPr>
          <w:color w:val="FF0000"/>
          <w:sz w:val="24"/>
          <w:szCs w:val="24"/>
        </w:rPr>
      </w:pPr>
      <w:r>
        <w:rPr>
          <w:sz w:val="24"/>
        </w:rPr>
        <mc:AlternateContent>
          <mc:Choice Requires="wps">
            <w:drawing>
              <wp:anchor distT="0" distB="0" distL="114300" distR="114300" simplePos="0" relativeHeight="251666432" behindDoc="0" locked="0" layoutInCell="1" allowOverlap="1">
                <wp:simplePos x="0" y="0"/>
                <wp:positionH relativeFrom="column">
                  <wp:posOffset>5429885</wp:posOffset>
                </wp:positionH>
                <wp:positionV relativeFrom="paragraph">
                  <wp:posOffset>198755</wp:posOffset>
                </wp:positionV>
                <wp:extent cx="635" cy="398780"/>
                <wp:effectExtent l="37465" t="0" r="38100" b="1270"/>
                <wp:wrapNone/>
                <wp:docPr id="200" name="自选图形 13"/>
                <wp:cNvGraphicFramePr/>
                <a:graphic xmlns:a="http://schemas.openxmlformats.org/drawingml/2006/main">
                  <a:graphicData uri="http://schemas.microsoft.com/office/word/2010/wordprocessingShape">
                    <wps:wsp>
                      <wps:cNvCnPr/>
                      <wps:spPr>
                        <a:xfrm>
                          <a:off x="0" y="0"/>
                          <a:ext cx="635" cy="3987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3" o:spid="_x0000_s1026" o:spt="32" type="#_x0000_t32" style="position:absolute;left:0pt;margin-left:427.55pt;margin-top:15.65pt;height:31.4pt;width:0.05pt;z-index:251666432;mso-width-relative:page;mso-height-relative:page;" filled="f" stroked="t" coordsize="21600,21600" o:gfxdata="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JK&#10;vG7aAAAACQEAAA8AAAAAAAAAAQAgAAAAIgAAAGRycy9kb3ducmV2LnhtbFBLAQIUABQAAAAIAIdO&#10;4kBOEf4l6AEAAKsDAAAOAAAAAAAAAAEAIAAAACkBAABkcnMvZTJvRG9jLnhtbFBLBQYAAAAABgAG&#10;AFkBAACD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4615815</wp:posOffset>
                </wp:positionH>
                <wp:positionV relativeFrom="paragraph">
                  <wp:posOffset>24765</wp:posOffset>
                </wp:positionV>
                <wp:extent cx="360045" cy="1270"/>
                <wp:effectExtent l="0" t="36830" r="1905" b="38100"/>
                <wp:wrapNone/>
                <wp:docPr id="196" name="直接箭头连接符 196"/>
                <wp:cNvGraphicFramePr/>
                <a:graphic xmlns:a="http://schemas.openxmlformats.org/drawingml/2006/main">
                  <a:graphicData uri="http://schemas.microsoft.com/office/word/2010/wordprocessingShape">
                    <wps:wsp>
                      <wps:cNvCnPr/>
                      <wps:spPr>
                        <a:xfrm>
                          <a:off x="4267200" y="5243195"/>
                          <a:ext cx="360045" cy="1270"/>
                        </a:xfrm>
                        <a:prstGeom prst="straightConnector1">
                          <a:avLst/>
                        </a:prstGeom>
                        <a:noFill/>
                        <a:ln w="6350" cap="flat" cmpd="sng" algn="ctr">
                          <a:solidFill>
                            <a:sysClr val="windowText" lastClr="000000"/>
                          </a:solidFill>
                          <a:prstDash val="dash"/>
                          <a:miter lim="800000"/>
                          <a:headEnd type="none"/>
                          <a:tailEnd type="triangle" w="med" len="med"/>
                        </a:ln>
                        <a:effectLst/>
                      </wps:spPr>
                      <wps:bodyPr/>
                    </wps:wsp>
                  </a:graphicData>
                </a:graphic>
              </wp:anchor>
            </w:drawing>
          </mc:Choice>
          <mc:Fallback>
            <w:pict>
              <v:shape id="_x0000_s1026" o:spid="_x0000_s1026" o:spt="32" type="#_x0000_t32" style="position:absolute;left:0pt;margin-left:363.45pt;margin-top:1.95pt;height:0.1pt;width:28.35pt;z-index:251662336;mso-width-relative:page;mso-height-relative:page;" filled="f" stroked="t" coordsize="21600,21600" o:gfxdata="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kf6&#10;RdcAAAAHAQAADwAAAAAAAAABACAAAAAiAAAAZHJzL2Rvd25yZXYueG1sUEsBAhQAFAAAAAgAh07i&#10;QBjfujEjAgAA8AMAAA4AAAAAAAAAAQAgAAAAJgEAAGRycy9lMm9Eb2MueG1sUEsFBgAAAAAGAAYA&#10;WQEAALsFAAAAAA==&#10;">
                <v:fill on="f" focussize="0,0"/>
                <v:stroke weight="0.5pt" color="#000000" miterlimit="8" joinstyle="miter" dashstyle="dash" endarrow="block"/>
                <v:imagedata o:title=""/>
                <o:lock v:ext="edit" aspectratio="f"/>
              </v:shape>
            </w:pict>
          </mc:Fallback>
        </mc:AlternateContent>
      </w:r>
      <w:r>
        <w:rPr>
          <w:sz w:val="24"/>
        </w:rPr>
        <mc:AlternateContent>
          <mc:Choice Requires="wps">
            <w:drawing>
              <wp:anchor distT="0" distB="0" distL="114300" distR="114300" simplePos="0" relativeHeight="251658240" behindDoc="0" locked="0" layoutInCell="1" allowOverlap="1">
                <wp:simplePos x="0" y="0"/>
                <wp:positionH relativeFrom="column">
                  <wp:posOffset>3395345</wp:posOffset>
                </wp:positionH>
                <wp:positionV relativeFrom="paragraph">
                  <wp:posOffset>25400</wp:posOffset>
                </wp:positionV>
                <wp:extent cx="352425" cy="635"/>
                <wp:effectExtent l="0" t="38100" r="9525" b="37465"/>
                <wp:wrapNone/>
                <wp:docPr id="126" name="直接箭头连接符 126"/>
                <wp:cNvGraphicFramePr/>
                <a:graphic xmlns:a="http://schemas.openxmlformats.org/drawingml/2006/main">
                  <a:graphicData uri="http://schemas.microsoft.com/office/word/2010/wordprocessingShape">
                    <wps:wsp>
                      <wps:cNvCnPr/>
                      <wps:spPr>
                        <a:xfrm flipV="1">
                          <a:off x="4267200" y="5243195"/>
                          <a:ext cx="352425" cy="635"/>
                        </a:xfrm>
                        <a:prstGeom prst="straightConnector1">
                          <a:avLst/>
                        </a:prstGeom>
                        <a:noFill/>
                        <a:ln w="6350" cap="flat" cmpd="sng" algn="ctr">
                          <a:solidFill>
                            <a:srgbClr val="000000"/>
                          </a:solidFill>
                          <a:prstDash val="dash"/>
                          <a:miter lim="800000"/>
                          <a:headEnd type="none"/>
                          <a:tailEnd type="triangle" w="med" len="med"/>
                        </a:ln>
                        <a:effectLst/>
                      </wps:spPr>
                      <wps:bodyPr/>
                    </wps:wsp>
                  </a:graphicData>
                </a:graphic>
              </wp:anchor>
            </w:drawing>
          </mc:Choice>
          <mc:Fallback>
            <w:pict>
              <v:shape id="_x0000_s1026" o:spid="_x0000_s1026" o:spt="32" type="#_x0000_t32" style="position:absolute;left:0pt;flip:y;margin-left:267.35pt;margin-top:2pt;height:0.05pt;width:27.75pt;z-index:251658240;mso-width-relative:page;mso-height-relative:page;" filled="f" stroked="t" coordsize="21600,21600" o:gfxdata="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Ll3L/XAAAABwEAAA8A&#10;AAAAAAAAAQAgAAAAIgAAAGRycy9kb3ducmV2LnhtbFBLAQIUABQAAAAIAIdO4kBDa/g1GAIAAOUD&#10;AAAOAAAAAAAAAAEAIAAAACYBAABkcnMvZTJvRG9jLnhtbFBLBQYAAAAABgAGAFkBAACwBQAAAAA=&#10;">
                <v:fill on="f" focussize="0,0"/>
                <v:stroke weight="0.5pt" color="#000000" miterlimit="8" joinstyle="miter" dashstyle="dash" endarrow="block"/>
                <v:imagedata o:title=""/>
                <o:lock v:ext="edit" aspectratio="f"/>
              </v:shape>
            </w:pict>
          </mc:Fallback>
        </mc:AlternateContent>
      </w:r>
      <w:r>
        <w:rPr>
          <w:sz w:val="24"/>
        </w:rPr>
        <mc:AlternateContent>
          <mc:Choice Requires="wps">
            <w:drawing>
              <wp:anchor distT="0" distB="0" distL="114300" distR="114300" simplePos="0" relativeHeight="251656192" behindDoc="0" locked="0" layoutInCell="1" allowOverlap="1">
                <wp:simplePos x="0" y="0"/>
                <wp:positionH relativeFrom="column">
                  <wp:posOffset>1791335</wp:posOffset>
                </wp:positionH>
                <wp:positionV relativeFrom="paragraph">
                  <wp:posOffset>38735</wp:posOffset>
                </wp:positionV>
                <wp:extent cx="410210" cy="764540"/>
                <wp:effectExtent l="0" t="0" r="0" b="0"/>
                <wp:wrapNone/>
                <wp:docPr id="104" name="文本框 104"/>
                <wp:cNvGraphicFramePr/>
                <a:graphic xmlns:a="http://schemas.openxmlformats.org/drawingml/2006/main">
                  <a:graphicData uri="http://schemas.microsoft.com/office/word/2010/wordprocessingShape">
                    <wps:wsp>
                      <wps:cNvSpPr txBox="1"/>
                      <wps:spPr>
                        <a:xfrm>
                          <a:off x="4605655" y="4594225"/>
                          <a:ext cx="410210" cy="764540"/>
                        </a:xfrm>
                        <a:prstGeom prst="rect">
                          <a:avLst/>
                        </a:prstGeom>
                        <a:noFill/>
                        <a:ln w="6350">
                          <a:noFill/>
                        </a:ln>
                        <a:effectLst/>
                      </wps:spPr>
                      <wps:txbx>
                        <w:txbxContent>
                          <w:p>
                            <w:r>
                              <w:rPr>
                                <w:rFonts w:hint="eastAsia"/>
                              </w:rPr>
                              <w:t>污泥回流</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05pt;margin-top:3.05pt;height:60.2pt;width:32.3pt;z-index:251656192;mso-width-relative:page;mso-height-relative:page;" filled="f" stroked="f" coordsize="21600,21600" o:gfxdata="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Ni40PZAAAACQEAAA8AAAAAAAAAAQAgAAAAIgAAAGRycy9kb3ducmV2&#10;LnhtbFBLAQIUABQAAAAIAIdO4kB0EBgDNAIAADcEAAAOAAAAAAAAAAEAIAAAACgBAABkcnMvZTJv&#10;RG9jLnhtbFBLBQYAAAAABgAGAFkBAADOBQAAAAA=&#10;">
                <v:fill on="f" focussize="0,0"/>
                <v:stroke on="f" weight="0.5pt"/>
                <v:imagedata o:title=""/>
                <o:lock v:ext="edit" aspectratio="f"/>
                <v:textbox style="layout-flow:vertical-ideographic;">
                  <w:txbxContent>
                    <w:p>
                      <w:r>
                        <w:rPr>
                          <w:rFonts w:hint="eastAsia"/>
                        </w:rPr>
                        <w:t>污泥回流</w:t>
                      </w:r>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2433955</wp:posOffset>
                </wp:positionH>
                <wp:positionV relativeFrom="paragraph">
                  <wp:posOffset>18415</wp:posOffset>
                </wp:positionV>
                <wp:extent cx="58420" cy="690245"/>
                <wp:effectExtent l="243205" t="38100" r="3175" b="14605"/>
                <wp:wrapNone/>
                <wp:docPr id="198" name="肘形连接符 198"/>
                <wp:cNvGraphicFramePr/>
                <a:graphic xmlns:a="http://schemas.openxmlformats.org/drawingml/2006/main">
                  <a:graphicData uri="http://schemas.microsoft.com/office/word/2010/wordprocessingShape">
                    <wps:wsp>
                      <wps:cNvCnPr/>
                      <wps:spPr>
                        <a:xfrm rot="10800000">
                          <a:off x="3334385" y="4552315"/>
                          <a:ext cx="58420" cy="690245"/>
                        </a:xfrm>
                        <a:prstGeom prst="bentConnector3">
                          <a:avLst>
                            <a:gd name="adj1" fmla="val 507609"/>
                          </a:avLst>
                        </a:prstGeom>
                        <a:noFill/>
                        <a:ln w="6350" cap="flat" cmpd="sng" algn="ctr">
                          <a:solidFill>
                            <a:srgbClr val="000000"/>
                          </a:solidFill>
                          <a:prstDash val="dash"/>
                          <a:miter lim="800000"/>
                          <a:headEnd type="none"/>
                          <a:tailEnd type="triangle" w="med" len="med"/>
                        </a:ln>
                        <a:effectLst/>
                      </wps:spPr>
                      <wps:bodyPr/>
                    </wps:wsp>
                  </a:graphicData>
                </a:graphic>
              </wp:anchor>
            </w:drawing>
          </mc:Choice>
          <mc:Fallback>
            <w:pict>
              <v:shape id="_x0000_s1026" o:spid="_x0000_s1026" o:spt="34" type="#_x0000_t34" style="position:absolute;left:0pt;margin-left:191.65pt;margin-top:1.45pt;height:54.35pt;width:4.6pt;rotation:11796480f;z-index:251663360;mso-width-relative:page;mso-height-relative:page;" filled="f" stroked="t" coordsize="21600,21600" o:gfxdata="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tnie9kAAAAJAQAADwAAAAAAAAABACAAAAAiAAAAZHJzL2Rvd25yZXYu&#10;eG1sUEsBAhQAFAAAAAgAh07iQHWrczszAgAAEAQAAA4AAAAAAAAAAQAgAAAAKAEAAGRycy9lMm9E&#10;b2MueG1sUEsFBgAAAAAGAAYAWQEAAM0FAAAAAA==&#10;" adj="109644">
                <v:fill on="f" focussize="0,0"/>
                <v:stroke weight="0.5pt" color="#000000" miterlimit="8" joinstyle="miter" dashstyle="dash" endarrow="block"/>
                <v:imagedata o:title=""/>
                <o:lock v:ext="edit" aspectratio="f"/>
              </v:shape>
            </w:pict>
          </mc:Fallback>
        </mc:AlternateContent>
      </w:r>
      <w:r>
        <w:rPr>
          <w:sz w:val="24"/>
        </w:rPr>
        <mc:AlternateContent>
          <mc:Choice Requires="wps">
            <w:drawing>
              <wp:anchor distT="0" distB="0" distL="114300" distR="114300" simplePos="0" relativeHeight="251652096" behindDoc="0" locked="0" layoutInCell="1" allowOverlap="1">
                <wp:simplePos x="0" y="0"/>
                <wp:positionH relativeFrom="column">
                  <wp:posOffset>2908300</wp:posOffset>
                </wp:positionH>
                <wp:positionV relativeFrom="paragraph">
                  <wp:posOffset>177165</wp:posOffset>
                </wp:positionV>
                <wp:extent cx="635" cy="398780"/>
                <wp:effectExtent l="37465" t="0" r="38100" b="1270"/>
                <wp:wrapNone/>
                <wp:docPr id="215" name="自选图形 11"/>
                <wp:cNvGraphicFramePr/>
                <a:graphic xmlns:a="http://schemas.openxmlformats.org/drawingml/2006/main">
                  <a:graphicData uri="http://schemas.microsoft.com/office/word/2010/wordprocessingShape">
                    <wps:wsp>
                      <wps:cNvCnPr/>
                      <wps:spPr>
                        <a:xfrm>
                          <a:off x="0" y="0"/>
                          <a:ext cx="635" cy="3987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1" o:spid="_x0000_s1026" o:spt="32" type="#_x0000_t32" style="position:absolute;left:0pt;margin-left:229pt;margin-top:13.95pt;height:31.4pt;width:0.05pt;z-index:251652096;mso-width-relative:page;mso-height-relative:page;" filled="f" stroked="t" coordsize="21600,21600" o:gfxdata="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f93gNoAAAAJAQAADwAAAAAAAAABACAAAAAiAAAAZHJzL2Rvd25yZXYueG1sUEsBAhQAFAAAAAgA&#10;h07iQOhtFhnqAQAAqwMAAA4AAAAAAAAAAQAgAAAAKQEAAGRycy9lMm9Eb2MueG1sUEsFBgAAAAAG&#10;AAYAWQEAAIUFAAAAAA==&#10;">
                <v:fill on="f" focussize="0,0"/>
                <v:stroke color="#000000" joinstyle="round" endarrow="block"/>
                <v:imagedata o:title=""/>
                <o:lock v:ext="edit" aspectratio="f"/>
              </v:shape>
            </w:pict>
          </mc:Fallback>
        </mc:AlternateContent>
      </w:r>
    </w:p>
    <w:p>
      <w:pPr>
        <w:ind w:firstLine="523" w:firstLineChars="218"/>
        <w:rPr>
          <w:color w:val="FF0000"/>
          <w:sz w:val="24"/>
          <w:szCs w:val="24"/>
        </w:rPr>
      </w:pPr>
      <w:r>
        <w:rPr>
          <w:sz w:val="24"/>
        </w:rPr>
        <mc:AlternateContent>
          <mc:Choice Requires="wps">
            <w:drawing>
              <wp:anchor distT="0" distB="0" distL="114300" distR="114300" simplePos="0" relativeHeight="434787328" behindDoc="0" locked="0" layoutInCell="1" allowOverlap="1">
                <wp:simplePos x="0" y="0"/>
                <wp:positionH relativeFrom="column">
                  <wp:posOffset>519430</wp:posOffset>
                </wp:positionH>
                <wp:positionV relativeFrom="paragraph">
                  <wp:posOffset>15875</wp:posOffset>
                </wp:positionV>
                <wp:extent cx="951230" cy="299720"/>
                <wp:effectExtent l="4445" t="4445" r="15875" b="19685"/>
                <wp:wrapNone/>
                <wp:docPr id="108" name="文本框 10"/>
                <wp:cNvGraphicFramePr/>
                <a:graphic xmlns:a="http://schemas.openxmlformats.org/drawingml/2006/main">
                  <a:graphicData uri="http://schemas.microsoft.com/office/word/2010/wordprocessingShape">
                    <wps:wsp>
                      <wps:cNvSpPr txBox="1"/>
                      <wps:spPr>
                        <a:xfrm>
                          <a:off x="0" y="0"/>
                          <a:ext cx="951230" cy="299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10" w:firstLineChars="100"/>
                              <w:rPr>
                                <w:rFonts w:hint="eastAsia" w:eastAsia="宋体"/>
                                <w:lang w:eastAsia="zh-CN"/>
                              </w:rPr>
                            </w:pPr>
                            <w:r>
                              <w:rPr>
                                <w:rFonts w:hint="eastAsia"/>
                                <w:lang w:eastAsia="zh-CN"/>
                              </w:rPr>
                              <w:t>隔油池</w:t>
                            </w:r>
                          </w:p>
                        </w:txbxContent>
                      </wps:txbx>
                      <wps:bodyPr upright="1"/>
                    </wps:wsp>
                  </a:graphicData>
                </a:graphic>
              </wp:anchor>
            </w:drawing>
          </mc:Choice>
          <mc:Fallback>
            <w:pict>
              <v:shape id="文本框 10" o:spid="_x0000_s1026" o:spt="202" type="#_x0000_t202" style="position:absolute;left:0pt;margin-left:40.9pt;margin-top:1.25pt;height:23.6pt;width:74.9pt;z-index:434787328;mso-width-relative:page;mso-height-relative:page;" fillcolor="#FFFFFF" filled="t" stroked="t" coordsize="21600,21600" o:gfxdata="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8c/Q7WAAAABwEAAA8AAAAAAAAAAQAgAAAAIgAAAGRycy9kb3ducmV2LnhtbFBLAQIU&#10;ABQAAAAIAIdO4kBPDAkF9QEAAPgDAAAOAAAAAAAAAAEAIAAAACUBAABkcnMvZTJvRG9jLnhtbFBL&#10;BQYAAAAABgAGAFkBAACMBQAAAAA=&#10;">
                <v:fill on="t" focussize="0,0"/>
                <v:stroke color="#000000" joinstyle="miter"/>
                <v:imagedata o:title=""/>
                <o:lock v:ext="edit" aspectratio="f"/>
                <v:textbox>
                  <w:txbxContent>
                    <w:p>
                      <w:pPr>
                        <w:ind w:firstLine="210" w:firstLineChars="100"/>
                        <w:rPr>
                          <w:rFonts w:hint="eastAsia" w:eastAsia="宋体"/>
                          <w:lang w:eastAsia="zh-CN"/>
                        </w:rPr>
                      </w:pPr>
                      <w:r>
                        <w:rPr>
                          <w:rFonts w:hint="eastAsia"/>
                          <w:lang w:eastAsia="zh-CN"/>
                        </w:rPr>
                        <w:t>隔油池</w:t>
                      </w:r>
                    </w:p>
                  </w:txbxContent>
                </v:textbox>
              </v:shape>
            </w:pict>
          </mc:Fallback>
        </mc:AlternateContent>
      </w:r>
    </w:p>
    <w:p>
      <w:pPr>
        <w:ind w:firstLine="523" w:firstLineChars="218"/>
        <w:rPr>
          <w:color w:val="FF0000"/>
          <w:sz w:val="24"/>
          <w:szCs w:val="24"/>
        </w:rPr>
      </w:pPr>
      <w:r>
        <w:rPr>
          <w:sz w:val="24"/>
        </w:rPr>
        <mc:AlternateContent>
          <mc:Choice Requires="wps">
            <w:drawing>
              <wp:anchor distT="0" distB="0" distL="114300" distR="114300" simplePos="0" relativeHeight="251667456" behindDoc="0" locked="0" layoutInCell="1" allowOverlap="1">
                <wp:simplePos x="0" y="0"/>
                <wp:positionH relativeFrom="column">
                  <wp:posOffset>5283200</wp:posOffset>
                </wp:positionH>
                <wp:positionV relativeFrom="paragraph">
                  <wp:posOffset>147955</wp:posOffset>
                </wp:positionV>
                <wp:extent cx="495935" cy="299720"/>
                <wp:effectExtent l="0" t="0" r="0" b="0"/>
                <wp:wrapNone/>
                <wp:docPr id="201" name="文本框 14"/>
                <wp:cNvGraphicFramePr/>
                <a:graphic xmlns:a="http://schemas.openxmlformats.org/drawingml/2006/main">
                  <a:graphicData uri="http://schemas.microsoft.com/office/word/2010/wordprocessingShape">
                    <wps:wsp>
                      <wps:cNvSpPr txBox="1"/>
                      <wps:spPr>
                        <a:xfrm>
                          <a:off x="0" y="0"/>
                          <a:ext cx="495935" cy="299720"/>
                        </a:xfrm>
                        <a:prstGeom prst="rect">
                          <a:avLst/>
                        </a:prstGeom>
                        <a:noFill/>
                        <a:ln w="9525" cap="flat" cmpd="sng">
                          <a:noFill/>
                          <a:prstDash val="solid"/>
                          <a:miter/>
                          <a:headEnd type="none" w="med" len="med"/>
                          <a:tailEnd type="none" w="med" len="med"/>
                        </a:ln>
                        <a:effectLst/>
                      </wps:spPr>
                      <wps:txbx>
                        <w:txbxContent>
                          <w:p>
                            <w:r>
                              <w:rPr>
                                <w:rFonts w:hint="eastAsia"/>
                              </w:rPr>
                              <w:t>外运</w:t>
                            </w:r>
                          </w:p>
                        </w:txbxContent>
                      </wps:txbx>
                      <wps:bodyPr vert="horz" anchor="t" upright="1"/>
                    </wps:wsp>
                  </a:graphicData>
                </a:graphic>
              </wp:anchor>
            </w:drawing>
          </mc:Choice>
          <mc:Fallback>
            <w:pict>
              <v:shape id="文本框 14" o:spid="_x0000_s1026" o:spt="202" type="#_x0000_t202" style="position:absolute;left:0pt;margin-left:416pt;margin-top:11.65pt;height:23.6pt;width:39.05pt;z-index:251667456;mso-width-relative:page;mso-height-relative:page;" filled="f" stroked="f" coordsize="21600,21600" o:gfxdata="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u9I+HXAAAACQEAAA8AAAAAAAAAAQAgAAAAIgAAAGRycy9kb3ducmV2LnhtbFBLAQIUABQAAAAI&#10;AIdO4kCVrAhB7gEAAL0DAAAOAAAAAAAAAAEAIAAAACYBAABkcnMvZTJvRG9jLnhtbFBLBQYAAAAA&#10;BgAGAFkBAACGBQAAAAA=&#10;">
                <v:fill on="f" focussize="0,0"/>
                <v:stroke on="f" joinstyle="miter"/>
                <v:imagedata o:title=""/>
                <o:lock v:ext="edit" aspectratio="f"/>
                <v:textbox>
                  <w:txbxContent>
                    <w:p>
                      <w:r>
                        <w:rPr>
                          <w:rFonts w:hint="eastAsia"/>
                        </w:rPr>
                        <w:t>外运</w:t>
                      </w:r>
                    </w:p>
                  </w:txbxContent>
                </v:textbox>
              </v:shape>
            </w:pict>
          </mc:Fallback>
        </mc:AlternateContent>
      </w:r>
      <w:r>
        <w:rPr>
          <w:sz w:val="24"/>
        </w:rPr>
        <mc:AlternateContent>
          <mc:Choice Requires="wps">
            <w:drawing>
              <wp:anchor distT="0" distB="0" distL="114300" distR="114300" simplePos="0" relativeHeight="434790400" behindDoc="0" locked="0" layoutInCell="1" allowOverlap="1">
                <wp:simplePos x="0" y="0"/>
                <wp:positionH relativeFrom="column">
                  <wp:posOffset>942340</wp:posOffset>
                </wp:positionH>
                <wp:positionV relativeFrom="paragraph">
                  <wp:posOffset>62865</wp:posOffset>
                </wp:positionV>
                <wp:extent cx="635" cy="398780"/>
                <wp:effectExtent l="37465" t="0" r="38100" b="1270"/>
                <wp:wrapNone/>
                <wp:docPr id="107" name="自选图形 13"/>
                <wp:cNvGraphicFramePr/>
                <a:graphic xmlns:a="http://schemas.openxmlformats.org/drawingml/2006/main">
                  <a:graphicData uri="http://schemas.microsoft.com/office/word/2010/wordprocessingShape">
                    <wps:wsp>
                      <wps:cNvCnPr/>
                      <wps:spPr>
                        <a:xfrm>
                          <a:off x="0" y="0"/>
                          <a:ext cx="635" cy="3987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3" o:spid="_x0000_s1026" o:spt="32" type="#_x0000_t32" style="position:absolute;left:0pt;margin-left:74.2pt;margin-top:4.95pt;height:31.4pt;width:0.05pt;z-index:434790400;mso-width-relative:page;mso-height-relative:page;" filled="f" stroked="t" coordsize="21600,21600" o:gfxdata="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fR&#10;HdvZAAAACAEAAA8AAAAAAAAAAQAgAAAAIgAAAGRycy9kb3ducmV2LnhtbFBLAQIUABQAAAAIAIdO&#10;4kAIgCd06QEAAKsDAAAOAAAAAAAAAAEAIAAAACgBAABkcnMvZTJvRG9jLnhtbFBLBQYAAAAABgAG&#10;AFkBAACD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53120" behindDoc="0" locked="0" layoutInCell="1" allowOverlap="1">
                <wp:simplePos x="0" y="0"/>
                <wp:positionH relativeFrom="column">
                  <wp:posOffset>2492375</wp:posOffset>
                </wp:positionH>
                <wp:positionV relativeFrom="paragraph">
                  <wp:posOffset>33655</wp:posOffset>
                </wp:positionV>
                <wp:extent cx="874395" cy="299720"/>
                <wp:effectExtent l="4445" t="4445" r="16510" b="19685"/>
                <wp:wrapNone/>
                <wp:docPr id="217" name="文本框 12"/>
                <wp:cNvGraphicFramePr/>
                <a:graphic xmlns:a="http://schemas.openxmlformats.org/drawingml/2006/main">
                  <a:graphicData uri="http://schemas.microsoft.com/office/word/2010/wordprocessingShape">
                    <wps:wsp>
                      <wps:cNvSpPr txBox="1"/>
                      <wps:spPr>
                        <a:xfrm>
                          <a:off x="0" y="0"/>
                          <a:ext cx="874395" cy="299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10" w:firstLineChars="100"/>
                              <w:rPr>
                                <w:rFonts w:hint="eastAsia" w:eastAsia="宋体"/>
                                <w:lang w:eastAsia="zh-CN"/>
                              </w:rPr>
                            </w:pPr>
                            <w:r>
                              <w:rPr>
                                <w:rFonts w:hint="eastAsia"/>
                                <w:lang w:eastAsia="zh-CN"/>
                              </w:rPr>
                              <w:t>清水池</w:t>
                            </w:r>
                          </w:p>
                        </w:txbxContent>
                      </wps:txbx>
                      <wps:bodyPr upright="1"/>
                    </wps:wsp>
                  </a:graphicData>
                </a:graphic>
              </wp:anchor>
            </w:drawing>
          </mc:Choice>
          <mc:Fallback>
            <w:pict>
              <v:shape id="文本框 12" o:spid="_x0000_s1026" o:spt="202" type="#_x0000_t202" style="position:absolute;left:0pt;margin-left:196.25pt;margin-top:2.65pt;height:23.6pt;width:68.85pt;z-index:251653120;mso-width-relative:page;mso-height-relative:page;" fillcolor="#FFFFFF" filled="t" stroked="t" coordsize="21600,21600" o:gfxdata="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r5MnYAAAACAEAAA8AAAAAAAAAAQAgAAAAIgAAAGRycy9kb3ducmV2Lnht&#10;bFBLAQIUABQAAAAIAIdO4kC7L4J3+QEAAPgDAAAOAAAAAAAAAAEAIAAAACcBAABkcnMvZTJvRG9j&#10;LnhtbFBLBQYAAAAABgAGAFkBAACSBQAAAAA=&#10;">
                <v:fill on="t" focussize="0,0"/>
                <v:stroke color="#000000" joinstyle="miter"/>
                <v:imagedata o:title=""/>
                <o:lock v:ext="edit" aspectratio="f"/>
                <v:textbox>
                  <w:txbxContent>
                    <w:p>
                      <w:pPr>
                        <w:ind w:firstLine="210" w:firstLineChars="100"/>
                        <w:rPr>
                          <w:rFonts w:hint="eastAsia" w:eastAsia="宋体"/>
                          <w:lang w:eastAsia="zh-CN"/>
                        </w:rPr>
                      </w:pPr>
                      <w:r>
                        <w:rPr>
                          <w:rFonts w:hint="eastAsia"/>
                          <w:lang w:eastAsia="zh-CN"/>
                        </w:rPr>
                        <w:t>清水池</w:t>
                      </w:r>
                    </w:p>
                  </w:txbxContent>
                </v:textbox>
              </v:shape>
            </w:pict>
          </mc:Fallback>
        </mc:AlternateContent>
      </w:r>
    </w:p>
    <w:p>
      <w:pPr>
        <w:ind w:firstLine="523" w:firstLineChars="218"/>
        <w:rPr>
          <w:color w:val="FF0000"/>
          <w:sz w:val="24"/>
          <w:szCs w:val="24"/>
        </w:rPr>
      </w:pPr>
      <w:r>
        <w:rPr>
          <w:sz w:val="24"/>
        </w:rPr>
        <mc:AlternateContent>
          <mc:Choice Requires="wps">
            <w:drawing>
              <wp:anchor distT="0" distB="0" distL="114300" distR="114300" simplePos="0" relativeHeight="434787328" behindDoc="0" locked="0" layoutInCell="1" allowOverlap="1">
                <wp:simplePos x="0" y="0"/>
                <wp:positionH relativeFrom="column">
                  <wp:posOffset>500380</wp:posOffset>
                </wp:positionH>
                <wp:positionV relativeFrom="paragraph">
                  <wp:posOffset>185420</wp:posOffset>
                </wp:positionV>
                <wp:extent cx="951230" cy="299720"/>
                <wp:effectExtent l="4445" t="4445" r="15875" b="19685"/>
                <wp:wrapNone/>
                <wp:docPr id="109" name="文本框 10"/>
                <wp:cNvGraphicFramePr/>
                <a:graphic xmlns:a="http://schemas.openxmlformats.org/drawingml/2006/main">
                  <a:graphicData uri="http://schemas.microsoft.com/office/word/2010/wordprocessingShape">
                    <wps:wsp>
                      <wps:cNvSpPr txBox="1"/>
                      <wps:spPr>
                        <a:xfrm>
                          <a:off x="0" y="0"/>
                          <a:ext cx="951230" cy="299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10" w:firstLineChars="100"/>
                              <w:rPr>
                                <w:rFonts w:hint="eastAsia" w:eastAsia="宋体"/>
                                <w:lang w:eastAsia="zh-CN"/>
                              </w:rPr>
                            </w:pPr>
                            <w:r>
                              <w:rPr>
                                <w:rFonts w:hint="eastAsia"/>
                                <w:lang w:eastAsia="zh-CN"/>
                              </w:rPr>
                              <w:t>化粪池</w:t>
                            </w:r>
                          </w:p>
                        </w:txbxContent>
                      </wps:txbx>
                      <wps:bodyPr upright="1"/>
                    </wps:wsp>
                  </a:graphicData>
                </a:graphic>
              </wp:anchor>
            </w:drawing>
          </mc:Choice>
          <mc:Fallback>
            <w:pict>
              <v:shape id="文本框 10" o:spid="_x0000_s1026" o:spt="202" type="#_x0000_t202" style="position:absolute;left:0pt;margin-left:39.4pt;margin-top:14.6pt;height:23.6pt;width:74.9pt;z-index:434787328;mso-width-relative:page;mso-height-relative:page;" fillcolor="#FFFFFF" filled="t" stroked="t" coordsize="21600,21600" o:gfxdata="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qRxrNcAAAAIAQAADwAAAAAAAAABACAAAAAiAAAAZHJzL2Rvd25yZXYueG1sUEsB&#10;AhQAFAAAAAgAh07iQO/xpYj2AQAA+AMAAA4AAAAAAAAAAQAgAAAAJgEAAGRycy9lMm9Eb2MueG1s&#10;UEsFBgAAAAAGAAYAWQEAAI4FAAAAAA==&#10;">
                <v:fill on="t" focussize="0,0"/>
                <v:stroke color="#000000" joinstyle="miter"/>
                <v:imagedata o:title=""/>
                <o:lock v:ext="edit" aspectratio="f"/>
                <v:textbox>
                  <w:txbxContent>
                    <w:p>
                      <w:pPr>
                        <w:ind w:firstLine="210" w:firstLineChars="100"/>
                        <w:rPr>
                          <w:rFonts w:hint="eastAsia" w:eastAsia="宋体"/>
                          <w:lang w:eastAsia="zh-CN"/>
                        </w:rPr>
                      </w:pPr>
                      <w:r>
                        <w:rPr>
                          <w:rFonts w:hint="eastAsia"/>
                          <w:lang w:eastAsia="zh-CN"/>
                        </w:rPr>
                        <w:t>化粪池</w:t>
                      </w:r>
                    </w:p>
                  </w:txbxContent>
                </v:textbox>
              </v:shape>
            </w:pict>
          </mc:Fallback>
        </mc:AlternateContent>
      </w:r>
      <w:r>
        <w:rPr>
          <w:sz w:val="24"/>
        </w:rPr>
        <mc:AlternateContent>
          <mc:Choice Requires="wps">
            <w:drawing>
              <wp:anchor distT="0" distB="0" distL="114300" distR="114300" simplePos="0" relativeHeight="434790400" behindDoc="0" locked="0" layoutInCell="1" allowOverlap="1">
                <wp:simplePos x="0" y="0"/>
                <wp:positionH relativeFrom="column">
                  <wp:posOffset>2923540</wp:posOffset>
                </wp:positionH>
                <wp:positionV relativeFrom="paragraph">
                  <wp:posOffset>85725</wp:posOffset>
                </wp:positionV>
                <wp:extent cx="635" cy="398780"/>
                <wp:effectExtent l="37465" t="0" r="38100" b="1270"/>
                <wp:wrapNone/>
                <wp:docPr id="96" name="自选图形 13"/>
                <wp:cNvGraphicFramePr/>
                <a:graphic xmlns:a="http://schemas.openxmlformats.org/drawingml/2006/main">
                  <a:graphicData uri="http://schemas.microsoft.com/office/word/2010/wordprocessingShape">
                    <wps:wsp>
                      <wps:cNvCnPr/>
                      <wps:spPr>
                        <a:xfrm>
                          <a:off x="0" y="0"/>
                          <a:ext cx="635" cy="3987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3" o:spid="_x0000_s1026" o:spt="32" type="#_x0000_t32" style="position:absolute;left:0pt;margin-left:230.2pt;margin-top:6.75pt;height:31.4pt;width:0.05pt;z-index:434790400;mso-width-relative:page;mso-height-relative:page;" filled="f" stroked="t" coordsize="21600,21600" o:gfxdata="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0KEKo&#10;2AAAAAkBAAAPAAAAAAAAAAEAIAAAACIAAABkcnMvZG93bnJldi54bWxQSwECFAAUAAAACACHTuJA&#10;4nY7HOgBAACqAwAADgAAAAAAAAABACAAAAAnAQAAZHJzL2Uyb0RvYy54bWxQSwUGAAAAAAYABgBZ&#10;AQAAgQUAAAAA&#10;">
                <v:fill on="f" focussize="0,0"/>
                <v:stroke color="#000000" joinstyle="round" endarrow="block"/>
                <v:imagedata o:title=""/>
                <o:lock v:ext="edit" aspectratio="f"/>
              </v:shape>
            </w:pict>
          </mc:Fallback>
        </mc:AlternateContent>
      </w:r>
    </w:p>
    <w:p>
      <w:pPr>
        <w:ind w:firstLine="523" w:firstLineChars="218"/>
        <w:rPr>
          <w:color w:val="FF0000"/>
          <w:sz w:val="24"/>
          <w:szCs w:val="24"/>
        </w:rPr>
      </w:pPr>
      <w:r>
        <w:rPr>
          <w:sz w:val="24"/>
        </w:rPr>
        <mc:AlternateContent>
          <mc:Choice Requires="wps">
            <w:drawing>
              <wp:anchor distT="0" distB="0" distL="114300" distR="114300" simplePos="0" relativeHeight="251744256" behindDoc="0" locked="0" layoutInCell="1" allowOverlap="1">
                <wp:simplePos x="0" y="0"/>
                <wp:positionH relativeFrom="column">
                  <wp:posOffset>2473325</wp:posOffset>
                </wp:positionH>
                <wp:positionV relativeFrom="paragraph">
                  <wp:posOffset>203200</wp:posOffset>
                </wp:positionV>
                <wp:extent cx="874395" cy="299720"/>
                <wp:effectExtent l="4445" t="4445" r="16510" b="19685"/>
                <wp:wrapNone/>
                <wp:docPr id="145" name="文本框 12"/>
                <wp:cNvGraphicFramePr/>
                <a:graphic xmlns:a="http://schemas.openxmlformats.org/drawingml/2006/main">
                  <a:graphicData uri="http://schemas.microsoft.com/office/word/2010/wordprocessingShape">
                    <wps:wsp>
                      <wps:cNvSpPr txBox="1"/>
                      <wps:spPr>
                        <a:xfrm>
                          <a:off x="0" y="0"/>
                          <a:ext cx="874395" cy="299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lang w:eastAsia="zh-CN"/>
                              </w:rPr>
                              <w:t>机械过滤器</w:t>
                            </w:r>
                          </w:p>
                        </w:txbxContent>
                      </wps:txbx>
                      <wps:bodyPr upright="1"/>
                    </wps:wsp>
                  </a:graphicData>
                </a:graphic>
              </wp:anchor>
            </w:drawing>
          </mc:Choice>
          <mc:Fallback>
            <w:pict>
              <v:shape id="文本框 12" o:spid="_x0000_s1026" o:spt="202" type="#_x0000_t202" style="position:absolute;left:0pt;margin-left:194.75pt;margin-top:16pt;height:23.6pt;width:68.85pt;z-index:251744256;mso-width-relative:page;mso-height-relative:page;" fillcolor="#FFFFFF" filled="t" stroked="t" coordsize="21600,21600" o:gfxdata="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yp1E2QAAAAkBAAAPAAAAAAAAAAEAIAAAACIAAABkcnMvZG93bnJldi54&#10;bWxQSwECFAAUAAAACACHTuJAVS1jOfkBAAD4AwAADgAAAAAAAAABACAAAAAoAQAAZHJzL2Uyb0Rv&#10;Yy54bWxQSwUGAAAAAAYABgBZAQAAkwUAAAAA&#10;">
                <v:fill on="t" focussize="0,0"/>
                <v:stroke color="#000000" joinstyle="miter"/>
                <v:imagedata o:title=""/>
                <o:lock v:ext="edit" aspectratio="f"/>
                <v:textbox>
                  <w:txbxContent>
                    <w:p>
                      <w:pPr>
                        <w:rPr>
                          <w:rFonts w:hint="eastAsia" w:eastAsia="宋体"/>
                          <w:lang w:eastAsia="zh-CN"/>
                        </w:rPr>
                      </w:pPr>
                      <w:r>
                        <w:rPr>
                          <w:rFonts w:hint="eastAsia"/>
                          <w:lang w:eastAsia="zh-CN"/>
                        </w:rPr>
                        <w:t>机械过滤器</w:t>
                      </w:r>
                    </w:p>
                  </w:txbxContent>
                </v:textbox>
              </v:shape>
            </w:pict>
          </mc:Fallback>
        </mc:AlternateContent>
      </w:r>
    </w:p>
    <w:p>
      <w:pPr>
        <w:ind w:firstLine="523" w:firstLineChars="218"/>
        <w:rPr>
          <w:color w:val="FF0000"/>
          <w:sz w:val="24"/>
          <w:szCs w:val="24"/>
        </w:rPr>
      </w:pPr>
      <w:r>
        <w:rPr>
          <w:sz w:val="24"/>
        </w:rPr>
        <mc:AlternateContent>
          <mc:Choice Requires="wps">
            <w:drawing>
              <wp:anchor distT="0" distB="0" distL="114300" distR="114300" simplePos="0" relativeHeight="434790400" behindDoc="0" locked="0" layoutInCell="1" allowOverlap="1">
                <wp:simplePos x="0" y="0"/>
                <wp:positionH relativeFrom="column">
                  <wp:posOffset>975995</wp:posOffset>
                </wp:positionH>
                <wp:positionV relativeFrom="paragraph">
                  <wp:posOffset>-40640</wp:posOffset>
                </wp:positionV>
                <wp:extent cx="5080" cy="454660"/>
                <wp:effectExtent l="33655" t="0" r="37465" b="2540"/>
                <wp:wrapNone/>
                <wp:docPr id="97" name="自选图形 13"/>
                <wp:cNvGraphicFramePr/>
                <a:graphic xmlns:a="http://schemas.openxmlformats.org/drawingml/2006/main">
                  <a:graphicData uri="http://schemas.microsoft.com/office/word/2010/wordprocessingShape">
                    <wps:wsp>
                      <wps:cNvCnPr>
                        <a:stCxn id="109" idx="2"/>
                      </wps:cNvCnPr>
                      <wps:spPr>
                        <a:xfrm>
                          <a:off x="0" y="0"/>
                          <a:ext cx="5080" cy="4546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3" o:spid="_x0000_s1026" o:spt="32" type="#_x0000_t32" style="position:absolute;left:0pt;margin-left:76.85pt;margin-top:-3.2pt;height:35.8pt;width:0.4pt;z-index:434790400;mso-width-relative:page;mso-height-relative:page;" filled="f" stroked="t" coordsize="21600,21600" o:gfxdata="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7TVrV2gAAAAkBAAAPAAAAAAAAAAEAIAAAACIAAABkcnMvZG93bnJl&#10;di54bWxQSwECFAAUAAAACACHTuJA/PykdvsBAADTAwAADgAAAAAAAAABACAAAAApAQAAZHJzL2Uy&#10;b0RvYy54bWxQSwUGAAAAAAYABgBZAQAAlg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434794496" behindDoc="0" locked="0" layoutInCell="1" allowOverlap="1">
                <wp:simplePos x="0" y="0"/>
                <wp:positionH relativeFrom="column">
                  <wp:posOffset>968375</wp:posOffset>
                </wp:positionH>
                <wp:positionV relativeFrom="paragraph">
                  <wp:posOffset>406400</wp:posOffset>
                </wp:positionV>
                <wp:extent cx="1951990" cy="7620"/>
                <wp:effectExtent l="0" t="0" r="0" b="0"/>
                <wp:wrapNone/>
                <wp:docPr id="111" name="直接连接符 111"/>
                <wp:cNvGraphicFramePr/>
                <a:graphic xmlns:a="http://schemas.openxmlformats.org/drawingml/2006/main">
                  <a:graphicData uri="http://schemas.microsoft.com/office/word/2010/wordprocessingShape">
                    <wps:wsp>
                      <wps:cNvCnPr/>
                      <wps:spPr>
                        <a:xfrm flipV="1">
                          <a:off x="1858645" y="9109710"/>
                          <a:ext cx="195199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76.25pt;margin-top:32pt;height:0.6pt;width:153.7pt;z-index:434794496;mso-width-relative:page;mso-height-relative:page;" filled="f" stroked="t" coordsize="21600,21600" o:gfxdata="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qfmD3WAAAACQEAAA8A&#10;AAAAAAAAAQAgAAAAIgAAAGRycy9kb3ducmV2LnhtbFBLAQIUABQAAAAIAIdO4kBWeh5D4AEAAIAD&#10;AAAOAAAAAAAAAAEAIAAAACUBAABkcnMvZTJvRG9jLnhtbFBLBQYAAAAABgAGAFkBAAB3BQAAAAA=&#10;">
                <v:fill on="f" focussize="0,0"/>
                <v:stroke weight="0.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576320" behindDoc="1" locked="0" layoutInCell="1" allowOverlap="1">
                <wp:simplePos x="0" y="0"/>
                <wp:positionH relativeFrom="column">
                  <wp:posOffset>2923540</wp:posOffset>
                </wp:positionH>
                <wp:positionV relativeFrom="paragraph">
                  <wp:posOffset>255270</wp:posOffset>
                </wp:positionV>
                <wp:extent cx="635" cy="398780"/>
                <wp:effectExtent l="37465" t="0" r="38100" b="1270"/>
                <wp:wrapNone/>
                <wp:docPr id="146" name="自选图形 13"/>
                <wp:cNvGraphicFramePr/>
                <a:graphic xmlns:a="http://schemas.openxmlformats.org/drawingml/2006/main">
                  <a:graphicData uri="http://schemas.microsoft.com/office/word/2010/wordprocessingShape">
                    <wps:wsp>
                      <wps:cNvCnPr/>
                      <wps:spPr>
                        <a:xfrm>
                          <a:off x="0" y="0"/>
                          <a:ext cx="635" cy="3987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3" o:spid="_x0000_s1026" o:spt="32" type="#_x0000_t32" style="position:absolute;left:0pt;margin-left:230.2pt;margin-top:20.1pt;height:31.4pt;width:0.05pt;z-index:-251740160;mso-width-relative:page;mso-height-relative:page;" filled="f" stroked="t" coordsize="21600,21600" o:gfxdata="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RBV&#10;HdgAAAAKAQAADwAAAAAAAAABACAAAAAiAAAAZHJzL2Rvd25yZXYueG1sUEsBAhQAFAAAAAgAh07i&#10;QDcf17jpAQAAqwMAAA4AAAAAAAAAAQAgAAAAJwEAAGRycy9lMm9Eb2MueG1sUEsFBgAAAAAGAAYA&#10;WQEAAIIFAAAAAA==&#10;">
                <v:fill on="f" focussize="0,0"/>
                <v:stroke color="#000000" joinstyle="round" endarrow="block"/>
                <v:imagedata o:title=""/>
                <o:lock v:ext="edit" aspectratio="f"/>
              </v:shape>
            </w:pict>
          </mc:Fallback>
        </mc:AlternateContent>
      </w:r>
    </w:p>
    <w:p>
      <w:pPr>
        <w:ind w:firstLine="523" w:firstLineChars="218"/>
        <w:rPr>
          <w:color w:val="FF0000"/>
          <w:sz w:val="24"/>
          <w:szCs w:val="24"/>
        </w:rPr>
      </w:pPr>
    </w:p>
    <w:p>
      <w:pPr>
        <w:ind w:firstLine="523" w:firstLineChars="218"/>
        <w:rPr>
          <w:color w:val="FF0000"/>
          <w:sz w:val="24"/>
          <w:szCs w:val="24"/>
        </w:rPr>
      </w:pPr>
      <w:r>
        <w:rPr>
          <w:sz w:val="24"/>
        </w:rPr>
        <mc:AlternateContent>
          <mc:Choice Requires="wps">
            <w:drawing>
              <wp:anchor distT="0" distB="0" distL="114300" distR="114300" simplePos="0" relativeHeight="251655168" behindDoc="0" locked="0" layoutInCell="1" allowOverlap="1">
                <wp:simplePos x="0" y="0"/>
                <wp:positionH relativeFrom="column">
                  <wp:posOffset>2446020</wp:posOffset>
                </wp:positionH>
                <wp:positionV relativeFrom="paragraph">
                  <wp:posOffset>173355</wp:posOffset>
                </wp:positionV>
                <wp:extent cx="965200" cy="299720"/>
                <wp:effectExtent l="0" t="0" r="0" b="0"/>
                <wp:wrapNone/>
                <wp:docPr id="219" name="文本框 14"/>
                <wp:cNvGraphicFramePr/>
                <a:graphic xmlns:a="http://schemas.openxmlformats.org/drawingml/2006/main">
                  <a:graphicData uri="http://schemas.microsoft.com/office/word/2010/wordprocessingShape">
                    <wps:wsp>
                      <wps:cNvSpPr txBox="1"/>
                      <wps:spPr>
                        <a:xfrm>
                          <a:off x="0" y="0"/>
                          <a:ext cx="965200" cy="299720"/>
                        </a:xfrm>
                        <a:prstGeom prst="rect">
                          <a:avLst/>
                        </a:prstGeom>
                        <a:noFill/>
                        <a:ln w="9525" cap="flat" cmpd="sng">
                          <a:noFill/>
                          <a:prstDash val="solid"/>
                          <a:miter/>
                          <a:headEnd type="none" w="med" len="med"/>
                          <a:tailEnd type="none" w="med" len="med"/>
                        </a:ln>
                        <a:effectLst/>
                      </wps:spPr>
                      <wps:txbx>
                        <w:txbxContent>
                          <w:p>
                            <w:pPr>
                              <w:rPr>
                                <w:rFonts w:hint="eastAsia" w:eastAsia="宋体"/>
                                <w:lang w:eastAsia="zh-CN"/>
                              </w:rPr>
                            </w:pPr>
                            <w:r>
                              <w:rPr>
                                <w:rFonts w:hint="eastAsia"/>
                              </w:rPr>
                              <w:t>达标后</w:t>
                            </w:r>
                            <w:r>
                              <w:rPr>
                                <w:rFonts w:hint="eastAsia"/>
                                <w:lang w:eastAsia="zh-CN"/>
                              </w:rPr>
                              <w:t>外排</w:t>
                            </w:r>
                          </w:p>
                        </w:txbxContent>
                      </wps:txbx>
                      <wps:bodyPr vert="horz" anchor="t" upright="1"/>
                    </wps:wsp>
                  </a:graphicData>
                </a:graphic>
              </wp:anchor>
            </w:drawing>
          </mc:Choice>
          <mc:Fallback>
            <w:pict>
              <v:shape id="文本框 14" o:spid="_x0000_s1026" o:spt="202" type="#_x0000_t202" style="position:absolute;left:0pt;margin-left:192.6pt;margin-top:13.65pt;height:23.6pt;width:76pt;z-index:251655168;mso-width-relative:page;mso-height-relative:page;" filled="f" stroked="f" coordsize="21600,21600" o:gfxdata="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8bf9/1wAAAAkBAAAPAAAAAAAAAAEAIAAAACIAAABkcnMvZG93bnJldi54bWxQSwECFAAUAAAA&#10;CACHTuJAFjyql+8BAAC9AwAADgAAAAAAAAABACAAAAAmAQAAZHJzL2Uyb0RvYy54bWxQSwUGAAAA&#10;AAYABgBZAQAAhwUAAAAA&#10;">
                <v:fill on="f" focussize="0,0"/>
                <v:stroke on="f" joinstyle="miter"/>
                <v:imagedata o:title=""/>
                <o:lock v:ext="edit" aspectratio="f"/>
                <v:textbox>
                  <w:txbxContent>
                    <w:p>
                      <w:pPr>
                        <w:rPr>
                          <w:rFonts w:hint="eastAsia" w:eastAsia="宋体"/>
                          <w:lang w:eastAsia="zh-CN"/>
                        </w:rPr>
                      </w:pPr>
                      <w:r>
                        <w:rPr>
                          <w:rFonts w:hint="eastAsia"/>
                        </w:rPr>
                        <w:t>达标后</w:t>
                      </w:r>
                      <w:r>
                        <w:rPr>
                          <w:rFonts w:hint="eastAsia"/>
                          <w:lang w:eastAsia="zh-CN"/>
                        </w:rPr>
                        <w:t>外排</w:t>
                      </w:r>
                    </w:p>
                  </w:txbxContent>
                </v:textbox>
              </v:shape>
            </w:pict>
          </mc:Fallback>
        </mc:AlternateContent>
      </w:r>
    </w:p>
    <w:p>
      <w:pPr>
        <w:rPr>
          <w:color w:val="FF0000"/>
          <w:sz w:val="24"/>
          <w:szCs w:val="24"/>
        </w:rPr>
      </w:pPr>
      <w:r>
        <w:rPr>
          <w:sz w:val="24"/>
        </w:rPr>
        <mc:AlternateContent>
          <mc:Choice Requires="wps">
            <w:drawing>
              <wp:anchor distT="0" distB="0" distL="114300" distR="114300" simplePos="0" relativeHeight="251673600" behindDoc="0" locked="0" layoutInCell="1" allowOverlap="1">
                <wp:simplePos x="0" y="0"/>
                <wp:positionH relativeFrom="column">
                  <wp:posOffset>1512570</wp:posOffset>
                </wp:positionH>
                <wp:positionV relativeFrom="paragraph">
                  <wp:posOffset>19050</wp:posOffset>
                </wp:positionV>
                <wp:extent cx="2990850" cy="410210"/>
                <wp:effectExtent l="0" t="0" r="0" b="0"/>
                <wp:wrapNone/>
                <wp:docPr id="220" name="文本框 220"/>
                <wp:cNvGraphicFramePr/>
                <a:graphic xmlns:a="http://schemas.openxmlformats.org/drawingml/2006/main">
                  <a:graphicData uri="http://schemas.microsoft.com/office/word/2010/wordprocessingShape">
                    <wps:wsp>
                      <wps:cNvSpPr txBox="1"/>
                      <wps:spPr>
                        <a:xfrm>
                          <a:off x="2656205" y="6097905"/>
                          <a:ext cx="2990850" cy="410210"/>
                        </a:xfrm>
                        <a:prstGeom prst="rect">
                          <a:avLst/>
                        </a:prstGeom>
                        <a:noFill/>
                        <a:ln w="6350">
                          <a:noFill/>
                        </a:ln>
                        <a:effectLst/>
                      </wps:spPr>
                      <wps:txbx>
                        <w:txbxContent>
                          <w:p>
                            <w:pPr>
                              <w:rPr>
                                <w:b/>
                                <w:bCs/>
                                <w:sz w:val="24"/>
                                <w:szCs w:val="24"/>
                              </w:rPr>
                            </w:pPr>
                            <w:r>
                              <w:rPr>
                                <w:rFonts w:hint="eastAsia"/>
                                <w:b/>
                                <w:bCs/>
                                <w:sz w:val="24"/>
                                <w:szCs w:val="24"/>
                              </w:rPr>
                              <w:t>图6.2-1污水处理工艺流程示意图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1pt;margin-top:1.5pt;height:32.3pt;width:235.5pt;z-index:251673600;mso-width-relative:page;mso-height-relative:page;" filled="f" stroked="f" coordsize="21600,21600" o:gfxdata="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MW8lzZAAAACAEAAA8AAAAAAAAAAQAgAAAAIgAAAGRycy9kb3ducmV2Lnht&#10;bFBLAQIUABQAAAAIAIdO4kCJGU10MQIAADYEAAAOAAAAAAAAAAEAIAAAACgBAABkcnMvZTJvRG9j&#10;LnhtbFBLBQYAAAAABgAGAFkBAADLBQAAAAA=&#10;">
                <v:fill on="f" focussize="0,0"/>
                <v:stroke on="f" weight="0.5pt"/>
                <v:imagedata o:title=""/>
                <o:lock v:ext="edit" aspectratio="f"/>
                <v:textbox>
                  <w:txbxContent>
                    <w:p>
                      <w:pPr>
                        <w:rPr>
                          <w:b/>
                          <w:bCs/>
                          <w:sz w:val="24"/>
                          <w:szCs w:val="24"/>
                        </w:rPr>
                      </w:pPr>
                      <w:r>
                        <w:rPr>
                          <w:rFonts w:hint="eastAsia"/>
                          <w:b/>
                          <w:bCs/>
                          <w:sz w:val="24"/>
                          <w:szCs w:val="24"/>
                        </w:rPr>
                        <w:t>图6.2-1污水处理工艺流程示意图</w:t>
                      </w:r>
                    </w:p>
                  </w:txbxContent>
                </v:textbox>
              </v:shape>
            </w:pict>
          </mc:Fallback>
        </mc:AlternateContent>
      </w:r>
    </w:p>
    <w:p>
      <w:pPr>
        <w:pStyle w:val="8"/>
        <w:rPr>
          <w:rFonts w:ascii="Times New Roman" w:hAnsi="Times New Roman" w:cs="Times New Roman"/>
          <w:b w:val="0"/>
          <w:bCs w:val="0"/>
        </w:rPr>
      </w:pPr>
    </w:p>
    <w:p>
      <w:pPr>
        <w:ind w:firstLine="480" w:firstLineChars="200"/>
        <w:rPr>
          <w:sz w:val="24"/>
          <w:szCs w:val="24"/>
        </w:rPr>
      </w:pPr>
      <w:r>
        <w:rPr>
          <w:sz w:val="24"/>
          <w:szCs w:val="24"/>
        </w:rPr>
        <w:t>（1）主要工艺说明：</w:t>
      </w:r>
    </w:p>
    <w:p>
      <w:pPr>
        <w:keepNext/>
        <w:keepLines w:val="0"/>
        <w:pageBreakBefore w:val="0"/>
        <w:widowControl w:val="0"/>
        <w:kinsoku/>
        <w:wordWrap/>
        <w:overflowPunct/>
        <w:topLinePunct w:val="0"/>
        <w:autoSpaceDE/>
        <w:autoSpaceDN/>
        <w:bidi w:val="0"/>
        <w:adjustRightInd/>
        <w:snapToGrid/>
        <w:ind w:firstLine="472" w:firstLineChars="200"/>
        <w:jc w:val="left"/>
        <w:textAlignment w:val="auto"/>
        <w:rPr>
          <w:spacing w:val="-2"/>
          <w:kern w:val="0"/>
          <w:sz w:val="24"/>
          <w:szCs w:val="24"/>
        </w:rPr>
      </w:pPr>
      <w:r>
        <w:rPr>
          <w:spacing w:val="-2"/>
          <w:kern w:val="0"/>
          <w:sz w:val="24"/>
          <w:szCs w:val="24"/>
        </w:rPr>
        <w:t>生产废水通过厂区管网收集经格栅</w:t>
      </w:r>
      <w:r>
        <w:rPr>
          <w:rFonts w:hint="eastAsia"/>
          <w:spacing w:val="-2"/>
          <w:kern w:val="0"/>
          <w:sz w:val="24"/>
          <w:szCs w:val="24"/>
        </w:rPr>
        <w:t>池</w:t>
      </w:r>
      <w:r>
        <w:rPr>
          <w:spacing w:val="-2"/>
          <w:kern w:val="0"/>
          <w:sz w:val="24"/>
          <w:szCs w:val="24"/>
        </w:rPr>
        <w:t>隔去大的漂浮物杂质后进入调节池，在调节池内</w:t>
      </w:r>
      <w:r>
        <w:rPr>
          <w:rFonts w:hint="default" w:ascii="Times New Roman" w:hAnsi="Times New Roman" w:eastAsia="宋体" w:cs="Times New Roman"/>
          <w:spacing w:val="-2"/>
          <w:kern w:val="0"/>
          <w:sz w:val="24"/>
          <w:szCs w:val="24"/>
        </w:rPr>
        <w:t>进行水量调节和水质均化，经调节后的废水</w:t>
      </w:r>
      <w:r>
        <w:rPr>
          <w:rFonts w:hint="default" w:ascii="Times New Roman" w:hAnsi="Times New Roman" w:eastAsia="宋体" w:cs="Times New Roman"/>
          <w:spacing w:val="-7"/>
          <w:kern w:val="0"/>
          <w:sz w:val="24"/>
          <w:szCs w:val="24"/>
          <w:lang w:val="zh-CN" w:bidi="zh-CN"/>
        </w:rPr>
        <w:t>进入兼氧水解池，兼氧水解阶段将大分子有机物转化为小分子化合物，大大提高废水的可生化性。同时污水中的有机碳被反硝化菌所利用，减轻其后好氧池有机负荷，反硝化反应产生的碱度可以补偿好氧池中进行硝化反应对碱度的需求。综合污水经兼氧水解池处理后进入好氧生物接触氧化池，污水层内有机物不断被膜中微生物吸附、氧化分解。生物膜表面附着的滞留薄水层内污染物浓度显著低于流动层，流动层内有机物不断向附着层转移，使流动水层在整体流动中逐步得到净化。好氧生物接触氧化池后设置二沉池，可投加凝聚剂和絮凝剂加强沉淀效果，污水处理后再经过机械过滤器过滤达到</w:t>
      </w:r>
    </w:p>
    <w:p>
      <w:pPr>
        <w:ind w:firstLine="480" w:firstLineChars="200"/>
        <w:rPr>
          <w:sz w:val="24"/>
          <w:szCs w:val="24"/>
        </w:rPr>
      </w:pPr>
      <w:r>
        <w:rPr>
          <w:sz w:val="24"/>
          <w:szCs w:val="24"/>
        </w:rPr>
        <w:t>（2）工艺单元设计说明</w:t>
      </w:r>
    </w:p>
    <w:p>
      <w:pPr>
        <w:ind w:firstLine="480" w:firstLineChars="200"/>
        <w:rPr>
          <w:sz w:val="24"/>
          <w:szCs w:val="24"/>
        </w:rPr>
      </w:pPr>
      <w:r>
        <w:rPr>
          <w:sz w:val="24"/>
          <w:szCs w:val="24"/>
        </w:rPr>
        <w:t>生产废水经集水池中机械格栅分离去除浮渣、较大悬浮物后，进入调节池、UASB池</w:t>
      </w:r>
      <w:r>
        <w:rPr>
          <w:rFonts w:hint="eastAsia"/>
          <w:sz w:val="24"/>
          <w:szCs w:val="24"/>
        </w:rPr>
        <w:t>厌氧池、缺氧池、好氧池等</w:t>
      </w:r>
      <w:r>
        <w:rPr>
          <w:sz w:val="24"/>
          <w:szCs w:val="24"/>
        </w:rPr>
        <w:t>进行污水处理，最终出水可通过</w:t>
      </w:r>
      <w:r>
        <w:rPr>
          <w:rFonts w:hint="eastAsia"/>
          <w:sz w:val="24"/>
          <w:szCs w:val="24"/>
        </w:rPr>
        <w:t>水泵抽至</w:t>
      </w:r>
      <w:r>
        <w:rPr>
          <w:rFonts w:hint="eastAsia"/>
          <w:sz w:val="24"/>
          <w:szCs w:val="24"/>
          <w:lang w:eastAsia="zh-CN"/>
        </w:rPr>
        <w:t>罐车</w:t>
      </w:r>
      <w:r>
        <w:rPr>
          <w:rFonts w:hint="eastAsia"/>
          <w:sz w:val="24"/>
          <w:szCs w:val="24"/>
        </w:rPr>
        <w:t>云运至满溪镇污水处理站</w:t>
      </w:r>
      <w:r>
        <w:rPr>
          <w:sz w:val="24"/>
          <w:szCs w:val="24"/>
        </w:rPr>
        <w:t>进一步达标后最终排入</w:t>
      </w:r>
      <w:r>
        <w:rPr>
          <w:rFonts w:hint="eastAsia"/>
          <w:sz w:val="24"/>
          <w:szCs w:val="24"/>
          <w:lang w:eastAsia="zh-CN"/>
        </w:rPr>
        <w:t>淠河</w:t>
      </w:r>
      <w:r>
        <w:rPr>
          <w:sz w:val="24"/>
          <w:szCs w:val="24"/>
        </w:rPr>
        <w:t>。</w:t>
      </w:r>
    </w:p>
    <w:p>
      <w:pPr>
        <w:ind w:firstLine="480" w:firstLineChars="200"/>
        <w:rPr>
          <w:sz w:val="24"/>
          <w:szCs w:val="24"/>
        </w:rPr>
      </w:pPr>
      <w:r>
        <w:rPr>
          <w:sz w:val="24"/>
          <w:szCs w:val="24"/>
        </w:rPr>
        <w:t>①机械格栅：屠宰废水由于污水中含有大颗粒的悬浮物，因此设置本装置以隔离大颗粒悬浮物，该装置主要起隔离污水中的大颗粒悬殊浮物的目的，以减轻后级设备处理负荷，防止水泵堵塞。</w:t>
      </w:r>
    </w:p>
    <w:p>
      <w:pPr>
        <w:ind w:firstLine="480" w:firstLineChars="200"/>
        <w:rPr>
          <w:sz w:val="24"/>
          <w:szCs w:val="24"/>
        </w:rPr>
      </w:pPr>
      <w:r>
        <w:rPr>
          <w:sz w:val="24"/>
          <w:szCs w:val="24"/>
        </w:rPr>
        <w:t>②调节池：废水经格栅处理后进入调节池进行水量、水质的调节均化，保证后续生化处理系统水量、水质的均衡、稳定，并设置预曝气系统，用于充氧搅拌，以防止污水中悬浮颗粒沉淀而发臭，又对污水中有机物起到一定的降解功效，提高整个系统的抗冲击性能和处理效果。</w:t>
      </w:r>
    </w:p>
    <w:p>
      <w:pPr>
        <w:ind w:firstLine="480" w:firstLineChars="200"/>
        <w:rPr>
          <w:kern w:val="0"/>
          <w:sz w:val="24"/>
          <w:szCs w:val="24"/>
        </w:rPr>
      </w:pPr>
      <w:r>
        <w:rPr>
          <w:sz w:val="24"/>
          <w:szCs w:val="24"/>
        </w:rPr>
        <w:t>③</w:t>
      </w:r>
      <w:r>
        <w:rPr>
          <w:rFonts w:hint="eastAsia"/>
          <w:sz w:val="24"/>
          <w:szCs w:val="24"/>
          <w:lang w:eastAsia="zh-CN"/>
        </w:rPr>
        <w:t>兼氧水解池：</w:t>
      </w:r>
      <w:r>
        <w:rPr>
          <w:kern w:val="0"/>
          <w:sz w:val="24"/>
          <w:szCs w:val="24"/>
        </w:rPr>
        <w:t>污水中有机成份比较高，因此采用生物处理方法大幅度降低有机物含量是最经济的。因此我们采用A/O工艺对有机转化分解进行处理。在兼氧池，由于污水中有机物浓度比较高，微生物处于缺氧状态，此时微生物为缺氧性微生物，它们将污水中的有机氮转达化分解成氨氮，此时利用有机碳源作为电子供体将NO</w:t>
      </w:r>
      <w:r>
        <w:rPr>
          <w:kern w:val="0"/>
          <w:sz w:val="24"/>
          <w:szCs w:val="24"/>
          <w:vertAlign w:val="subscript"/>
        </w:rPr>
        <w:t>3</w:t>
      </w:r>
      <w:r>
        <w:rPr>
          <w:kern w:val="0"/>
          <w:sz w:val="24"/>
          <w:szCs w:val="24"/>
        </w:rPr>
        <w:t>、NO</w:t>
      </w:r>
      <w:r>
        <w:rPr>
          <w:kern w:val="0"/>
          <w:sz w:val="24"/>
          <w:szCs w:val="24"/>
          <w:vertAlign w:val="subscript"/>
        </w:rPr>
        <w:t>2</w:t>
      </w:r>
      <w:r>
        <w:rPr>
          <w:kern w:val="0"/>
          <w:sz w:val="24"/>
          <w:szCs w:val="24"/>
        </w:rPr>
        <w:t>转化为N，而且还利用部分有机物碳源和氨氮合成新的细胞物质。所以兼氧池不仅具有一定的有机物去除功能，减轻后续好氧池的有机负荷，以利于硝化作用进行；而且依靠原水中存在的较高浓度有机物，完全反硝化作用，提高B/C比。</w:t>
      </w:r>
    </w:p>
    <w:p>
      <w:pPr>
        <w:ind w:firstLine="480" w:firstLineChars="200"/>
        <w:rPr>
          <w:sz w:val="24"/>
          <w:szCs w:val="24"/>
        </w:rPr>
      </w:pPr>
      <w:r>
        <w:rPr>
          <w:sz w:val="24"/>
          <w:szCs w:val="24"/>
        </w:rPr>
        <w:t>④</w:t>
      </w:r>
      <w:r>
        <w:rPr>
          <w:rFonts w:hint="eastAsia"/>
          <w:sz w:val="24"/>
          <w:szCs w:val="24"/>
          <w:lang w:eastAsia="zh-CN"/>
        </w:rPr>
        <w:t>接触氧化池</w:t>
      </w:r>
      <w:r>
        <w:rPr>
          <w:sz w:val="24"/>
          <w:szCs w:val="24"/>
        </w:rPr>
        <w:t>：在有氧的条件下，有机污染物作为好氧微生物的营养基质而被氧化分解，使有机物的浓度下降而微生物量增加。由于有机污染物结构和性质的不同，好氧微生物的优势种群组成和数量也相应地发生变化。有机污染物好氧微生物处理的过程为：大分子的有机污染物首先在微生物产生的各类胞外酶的作用下分解为小分子有机物，进而被好氧微生物继续氧化分解，通过不同途径进人三羧酸循环，最终被彻底分解为二氧化碳、水、硝酸盐和硫酸盐等简单的无机物。</w:t>
      </w:r>
    </w:p>
    <w:p>
      <w:pPr>
        <w:pStyle w:val="36"/>
        <w:spacing w:line="360" w:lineRule="auto"/>
        <w:ind w:firstLine="480" w:firstLineChars="200"/>
        <w:rPr>
          <w:rFonts w:ascii="Times New Roman" w:cs="Times New Roman"/>
        </w:rPr>
      </w:pPr>
      <w:r>
        <w:rPr>
          <w:rFonts w:hint="eastAsia" w:ascii="宋体" w:hAnsi="宋体" w:eastAsia="宋体" w:cs="宋体"/>
        </w:rPr>
        <w:t>⑤</w:t>
      </w:r>
      <w:r>
        <w:rPr>
          <w:rFonts w:hint="eastAsia" w:ascii="Times New Roman" w:cs="Times New Roman"/>
          <w:color w:val="auto"/>
        </w:rPr>
        <w:t>二沉</w:t>
      </w:r>
      <w:r>
        <w:rPr>
          <w:rFonts w:ascii="Times New Roman" w:cs="Times New Roman"/>
          <w:color w:val="auto"/>
        </w:rPr>
        <w:t>池：经过</w:t>
      </w:r>
      <w:r>
        <w:rPr>
          <w:rFonts w:hint="eastAsia" w:ascii="Times New Roman" w:cs="Times New Roman"/>
          <w:color w:val="auto"/>
        </w:rPr>
        <w:t>生化处理后的综合废水进入二沉池</w:t>
      </w:r>
      <w:r>
        <w:rPr>
          <w:rFonts w:ascii="Times New Roman" w:cs="Times New Roman"/>
          <w:color w:val="auto"/>
        </w:rPr>
        <w:t>后</w:t>
      </w:r>
      <w:r>
        <w:rPr>
          <w:rFonts w:hint="eastAsia" w:ascii="Times New Roman" w:cs="Times New Roman"/>
          <w:color w:val="auto"/>
        </w:rPr>
        <w:t>可投加凝聚剂和絮凝剂加强沉淀效果</w:t>
      </w:r>
      <w:r>
        <w:rPr>
          <w:rFonts w:hint="eastAsia" w:ascii="Times New Roman" w:cs="Times New Roman"/>
          <w:color w:val="auto"/>
          <w:lang w:eastAsia="zh-CN"/>
        </w:rPr>
        <w:t>，之后经过机械过滤器过滤达到排放标准</w:t>
      </w:r>
      <w:r>
        <w:rPr>
          <w:rFonts w:hint="eastAsia" w:ascii="Times New Roman" w:cs="Times New Roman"/>
          <w:color w:val="auto"/>
        </w:rPr>
        <w:t>。</w:t>
      </w:r>
    </w:p>
    <w:p>
      <w:pPr>
        <w:ind w:firstLine="480" w:firstLineChars="200"/>
        <w:rPr>
          <w:sz w:val="24"/>
          <w:szCs w:val="24"/>
        </w:rPr>
      </w:pPr>
      <w:r>
        <w:rPr>
          <w:rFonts w:hint="eastAsia"/>
          <w:sz w:val="24"/>
          <w:szCs w:val="24"/>
          <w:lang w:eastAsia="zh-CN"/>
        </w:rPr>
        <w:t>⑥</w:t>
      </w:r>
      <w:r>
        <w:rPr>
          <w:sz w:val="24"/>
          <w:szCs w:val="24"/>
        </w:rPr>
        <w:t>污泥池：对污水处理过程中产生的污泥进行浓缩，脱水浓缩后污泥进行堆肥处理。</w:t>
      </w:r>
    </w:p>
    <w:p>
      <w:pPr>
        <w:ind w:firstLine="480" w:firstLineChars="200"/>
        <w:rPr>
          <w:sz w:val="24"/>
          <w:szCs w:val="24"/>
        </w:rPr>
      </w:pPr>
      <w:r>
        <w:rPr>
          <w:sz w:val="24"/>
          <w:szCs w:val="24"/>
        </w:rPr>
        <w:t>3、污水处理可行性分析</w:t>
      </w:r>
    </w:p>
    <w:p>
      <w:pPr>
        <w:ind w:firstLine="480" w:firstLineChars="200"/>
        <w:rPr>
          <w:sz w:val="24"/>
          <w:szCs w:val="24"/>
        </w:rPr>
      </w:pPr>
      <w:r>
        <w:rPr>
          <w:sz w:val="24"/>
          <w:szCs w:val="24"/>
        </w:rPr>
        <w:t>（1）工艺处理可行性分析</w:t>
      </w:r>
    </w:p>
    <w:p>
      <w:pPr>
        <w:ind w:firstLine="480" w:firstLineChars="200"/>
        <w:rPr>
          <w:sz w:val="24"/>
          <w:szCs w:val="24"/>
        </w:rPr>
      </w:pPr>
      <w:r>
        <w:rPr>
          <w:sz w:val="24"/>
          <w:szCs w:val="24"/>
        </w:rPr>
        <w:t>本项目</w:t>
      </w:r>
      <w:r>
        <w:rPr>
          <w:rFonts w:hint="eastAsia"/>
          <w:sz w:val="24"/>
          <w:szCs w:val="24"/>
          <w:lang w:eastAsia="zh-CN"/>
        </w:rPr>
        <w:t>生产</w:t>
      </w:r>
      <w:r>
        <w:rPr>
          <w:rFonts w:hint="eastAsia"/>
          <w:sz w:val="24"/>
          <w:szCs w:val="24"/>
        </w:rPr>
        <w:t>废水</w:t>
      </w:r>
      <w:r>
        <w:rPr>
          <w:sz w:val="24"/>
          <w:szCs w:val="24"/>
        </w:rPr>
        <w:t>经“</w:t>
      </w:r>
      <w:r>
        <w:rPr>
          <w:rFonts w:hint="eastAsia"/>
          <w:sz w:val="24"/>
          <w:szCs w:val="24"/>
          <w:lang w:eastAsia="zh-CN"/>
        </w:rPr>
        <w:t>预处理</w:t>
      </w:r>
      <w:r>
        <w:rPr>
          <w:rFonts w:hint="eastAsia"/>
          <w:sz w:val="24"/>
          <w:szCs w:val="24"/>
          <w:lang w:val="en-US" w:eastAsia="zh-CN"/>
        </w:rPr>
        <w:t>+</w:t>
      </w:r>
      <w:r>
        <w:rPr>
          <w:rFonts w:hint="eastAsia"/>
          <w:sz w:val="24"/>
          <w:szCs w:val="24"/>
        </w:rPr>
        <w:t>A</w:t>
      </w:r>
      <w:r>
        <w:rPr>
          <w:rFonts w:hint="eastAsia"/>
          <w:sz w:val="24"/>
          <w:szCs w:val="24"/>
          <w:lang w:val="en-US" w:eastAsia="zh-CN"/>
        </w:rPr>
        <w:t>/</w:t>
      </w:r>
      <w:r>
        <w:rPr>
          <w:rFonts w:hint="eastAsia"/>
          <w:sz w:val="24"/>
          <w:szCs w:val="24"/>
        </w:rPr>
        <w:t>O</w:t>
      </w:r>
      <w:r>
        <w:rPr>
          <w:sz w:val="24"/>
          <w:szCs w:val="24"/>
        </w:rPr>
        <w:t>”污水处理工艺，其各构筑物污水处理效率如下：</w:t>
      </w:r>
    </w:p>
    <w:p>
      <w:pPr>
        <w:keepNext/>
        <w:adjustRightInd/>
        <w:snapToGrid/>
        <w:jc w:val="center"/>
        <w:rPr>
          <w:rFonts w:hint="default" w:eastAsia="宋体"/>
          <w:b/>
          <w:bCs/>
          <w:spacing w:val="-2"/>
          <w:kern w:val="0"/>
          <w:sz w:val="24"/>
          <w:szCs w:val="24"/>
          <w:lang w:val="en-US" w:eastAsia="zh-CN"/>
        </w:rPr>
      </w:pPr>
      <w:r>
        <w:rPr>
          <w:rFonts w:hint="eastAsia"/>
          <w:b/>
          <w:bCs/>
          <w:spacing w:val="-2"/>
          <w:kern w:val="0"/>
          <w:sz w:val="24"/>
          <w:szCs w:val="24"/>
          <w:lang w:val="en-US" w:eastAsia="zh-CN"/>
        </w:rPr>
        <w:t xml:space="preserve">      </w:t>
      </w:r>
      <w:r>
        <w:rPr>
          <w:b/>
          <w:bCs/>
          <w:spacing w:val="-2"/>
          <w:kern w:val="0"/>
          <w:sz w:val="24"/>
          <w:szCs w:val="24"/>
        </w:rPr>
        <w:t>表6.2-</w:t>
      </w:r>
      <w:r>
        <w:rPr>
          <w:rFonts w:hint="eastAsia"/>
          <w:b/>
          <w:bCs/>
          <w:spacing w:val="-2"/>
          <w:kern w:val="0"/>
          <w:sz w:val="24"/>
          <w:szCs w:val="24"/>
          <w:lang w:val="en-US" w:eastAsia="zh-CN"/>
        </w:rPr>
        <w:t>1</w:t>
      </w:r>
      <w:r>
        <w:rPr>
          <w:b/>
          <w:bCs/>
          <w:spacing w:val="-2"/>
          <w:kern w:val="0"/>
          <w:sz w:val="24"/>
          <w:szCs w:val="24"/>
        </w:rPr>
        <w:t xml:space="preserve"> 项目生产废水排放浓度及污染物排放量分析表</w:t>
      </w:r>
      <w:r>
        <w:rPr>
          <w:rFonts w:hint="eastAsia"/>
          <w:b/>
          <w:bCs/>
          <w:spacing w:val="-2"/>
          <w:kern w:val="0"/>
          <w:sz w:val="24"/>
          <w:szCs w:val="24"/>
          <w:lang w:val="en-US" w:eastAsia="zh-CN"/>
        </w:rPr>
        <w:t xml:space="preserve">   单位：mg/L</w:t>
      </w:r>
    </w:p>
    <w:tbl>
      <w:tblPr>
        <w:tblStyle w:val="23"/>
        <w:tblW w:w="8943" w:type="dxa"/>
        <w:jc w:val="center"/>
        <w:tblInd w:w="-19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8"/>
        <w:gridCol w:w="932"/>
        <w:gridCol w:w="1095"/>
        <w:gridCol w:w="1087"/>
        <w:gridCol w:w="931"/>
        <w:gridCol w:w="931"/>
        <w:gridCol w:w="932"/>
        <w:gridCol w:w="855"/>
        <w:gridCol w:w="692"/>
        <w:gridCol w:w="6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8" w:type="dxa"/>
            <w:tcBorders>
              <w:tl2br w:val="nil"/>
              <w:tr2bl w:val="nil"/>
            </w:tcBorders>
            <w:vAlign w:val="center"/>
          </w:tcPr>
          <w:p>
            <w:pPr>
              <w:spacing w:line="240" w:lineRule="auto"/>
              <w:jc w:val="center"/>
            </w:pPr>
            <w:r>
              <w:t>序号</w:t>
            </w:r>
          </w:p>
        </w:tc>
        <w:tc>
          <w:tcPr>
            <w:tcW w:w="2027" w:type="dxa"/>
            <w:gridSpan w:val="2"/>
            <w:tcBorders>
              <w:tl2br w:val="nil"/>
              <w:tr2bl w:val="nil"/>
            </w:tcBorders>
            <w:vAlign w:val="center"/>
          </w:tcPr>
          <w:p>
            <w:pPr>
              <w:spacing w:line="240" w:lineRule="auto"/>
              <w:jc w:val="center"/>
            </w:pPr>
            <w:r>
              <w:t>项目处理单元</w:t>
            </w:r>
          </w:p>
        </w:tc>
        <w:tc>
          <w:tcPr>
            <w:tcW w:w="1087" w:type="dxa"/>
            <w:tcBorders>
              <w:tl2br w:val="nil"/>
              <w:tr2bl w:val="nil"/>
            </w:tcBorders>
            <w:vAlign w:val="center"/>
          </w:tcPr>
          <w:p>
            <w:pPr>
              <w:spacing w:line="240" w:lineRule="auto"/>
              <w:jc w:val="center"/>
            </w:pPr>
            <w:r>
              <w:t>COD）</w:t>
            </w:r>
          </w:p>
        </w:tc>
        <w:tc>
          <w:tcPr>
            <w:tcW w:w="931" w:type="dxa"/>
            <w:tcBorders>
              <w:tl2br w:val="nil"/>
              <w:tr2bl w:val="nil"/>
            </w:tcBorders>
            <w:vAlign w:val="center"/>
          </w:tcPr>
          <w:p>
            <w:pPr>
              <w:spacing w:line="240" w:lineRule="auto"/>
              <w:jc w:val="center"/>
            </w:pPr>
            <w:r>
              <w:t>BOD</w:t>
            </w:r>
            <w:r>
              <w:rPr>
                <w:vertAlign w:val="subscript"/>
              </w:rPr>
              <w:t>5</w:t>
            </w:r>
          </w:p>
        </w:tc>
        <w:tc>
          <w:tcPr>
            <w:tcW w:w="931" w:type="dxa"/>
            <w:tcBorders>
              <w:tl2br w:val="nil"/>
              <w:tr2bl w:val="nil"/>
            </w:tcBorders>
            <w:vAlign w:val="center"/>
          </w:tcPr>
          <w:p>
            <w:pPr>
              <w:spacing w:line="240" w:lineRule="auto"/>
              <w:jc w:val="center"/>
            </w:pPr>
            <w:r>
              <w:t>SS</w:t>
            </w:r>
          </w:p>
        </w:tc>
        <w:tc>
          <w:tcPr>
            <w:tcW w:w="932" w:type="dxa"/>
            <w:tcBorders>
              <w:tl2br w:val="nil"/>
              <w:tr2bl w:val="nil"/>
            </w:tcBorders>
            <w:vAlign w:val="center"/>
          </w:tcPr>
          <w:p>
            <w:pPr>
              <w:spacing w:line="240" w:lineRule="auto"/>
              <w:jc w:val="center"/>
            </w:pPr>
            <w:r>
              <w:t>NH</w:t>
            </w:r>
            <w:r>
              <w:rPr>
                <w:vertAlign w:val="subscript"/>
              </w:rPr>
              <w:t>3</w:t>
            </w:r>
            <w:r>
              <w:t>-N</w:t>
            </w:r>
          </w:p>
        </w:tc>
        <w:tc>
          <w:tcPr>
            <w:tcW w:w="855" w:type="dxa"/>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TP</w:t>
            </w:r>
          </w:p>
        </w:tc>
        <w:tc>
          <w:tcPr>
            <w:tcW w:w="692" w:type="dxa"/>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LAS</w:t>
            </w:r>
          </w:p>
        </w:tc>
        <w:tc>
          <w:tcPr>
            <w:tcW w:w="680" w:type="dxa"/>
            <w:tcBorders>
              <w:tl2br w:val="nil"/>
              <w:tr2bl w:val="nil"/>
            </w:tcBorders>
            <w:vAlign w:val="center"/>
          </w:tcPr>
          <w:p>
            <w:pPr>
              <w:spacing w:line="240" w:lineRule="auto"/>
              <w:jc w:val="center"/>
              <w:rPr>
                <w:rFonts w:hint="eastAsia"/>
                <w:lang w:val="en-US" w:eastAsia="zh-CN"/>
              </w:rPr>
            </w:pPr>
            <w:r>
              <w:rPr>
                <w:rFonts w:hint="eastAsia"/>
                <w:lang w:val="en-US" w:eastAsia="zh-CN"/>
              </w:rPr>
              <w:t>色度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8" w:type="dxa"/>
            <w:tcBorders>
              <w:tl2br w:val="nil"/>
              <w:tr2bl w:val="nil"/>
            </w:tcBorders>
            <w:vAlign w:val="center"/>
          </w:tcPr>
          <w:p>
            <w:pPr>
              <w:spacing w:line="240" w:lineRule="auto"/>
              <w:jc w:val="center"/>
            </w:pPr>
            <w:r>
              <w:t>1</w:t>
            </w:r>
          </w:p>
        </w:tc>
        <w:tc>
          <w:tcPr>
            <w:tcW w:w="2027" w:type="dxa"/>
            <w:gridSpan w:val="2"/>
            <w:tcBorders>
              <w:tl2br w:val="nil"/>
              <w:tr2bl w:val="nil"/>
            </w:tcBorders>
            <w:vAlign w:val="center"/>
          </w:tcPr>
          <w:p>
            <w:pPr>
              <w:spacing w:line="240" w:lineRule="auto"/>
              <w:jc w:val="center"/>
            </w:pPr>
            <w:r>
              <w:t>进水</w:t>
            </w:r>
          </w:p>
        </w:tc>
        <w:tc>
          <w:tcPr>
            <w:tcW w:w="1087" w:type="dxa"/>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1000</w:t>
            </w:r>
          </w:p>
        </w:tc>
        <w:tc>
          <w:tcPr>
            <w:tcW w:w="931" w:type="dxa"/>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600</w:t>
            </w:r>
          </w:p>
        </w:tc>
        <w:tc>
          <w:tcPr>
            <w:tcW w:w="931" w:type="dxa"/>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400</w:t>
            </w:r>
          </w:p>
        </w:tc>
        <w:tc>
          <w:tcPr>
            <w:tcW w:w="932" w:type="dxa"/>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50</w:t>
            </w:r>
          </w:p>
        </w:tc>
        <w:tc>
          <w:tcPr>
            <w:tcW w:w="855" w:type="dxa"/>
            <w:tcBorders>
              <w:tl2br w:val="nil"/>
              <w:tr2bl w:val="nil"/>
            </w:tcBorders>
            <w:vAlign w:val="center"/>
          </w:tcPr>
          <w:p>
            <w:pPr>
              <w:spacing w:line="240" w:lineRule="auto"/>
              <w:jc w:val="center"/>
              <w:rPr>
                <w:rFonts w:hint="eastAsia" w:eastAsia="宋体"/>
                <w:lang w:val="en-US" w:eastAsia="zh-CN"/>
              </w:rPr>
            </w:pPr>
            <w:r>
              <w:rPr>
                <w:rFonts w:hint="eastAsia"/>
                <w:lang w:val="en-US" w:eastAsia="zh-CN"/>
              </w:rPr>
              <w:t>8</w:t>
            </w:r>
          </w:p>
        </w:tc>
        <w:tc>
          <w:tcPr>
            <w:tcW w:w="692" w:type="dxa"/>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30</w:t>
            </w:r>
          </w:p>
        </w:tc>
        <w:tc>
          <w:tcPr>
            <w:tcW w:w="680" w:type="dxa"/>
            <w:tcBorders>
              <w:tl2br w:val="nil"/>
              <w:tr2bl w:val="nil"/>
            </w:tcBorders>
            <w:vAlign w:val="center"/>
          </w:tcPr>
          <w:p>
            <w:pPr>
              <w:spacing w:line="240" w:lineRule="auto"/>
              <w:jc w:val="center"/>
              <w:rPr>
                <w:rFonts w:hint="default"/>
                <w:lang w:val="en-US" w:eastAsia="zh-CN"/>
              </w:rPr>
            </w:pPr>
            <w:r>
              <w:rPr>
                <w:rFonts w:hint="eastAsia"/>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8" w:type="dxa"/>
            <w:vMerge w:val="restart"/>
            <w:tcBorders>
              <w:tl2br w:val="nil"/>
              <w:tr2bl w:val="nil"/>
            </w:tcBorders>
            <w:vAlign w:val="center"/>
          </w:tcPr>
          <w:p>
            <w:pPr>
              <w:spacing w:line="240" w:lineRule="auto"/>
              <w:jc w:val="center"/>
            </w:pPr>
            <w:r>
              <w:t>2</w:t>
            </w:r>
          </w:p>
        </w:tc>
        <w:tc>
          <w:tcPr>
            <w:tcW w:w="932" w:type="dxa"/>
            <w:vMerge w:val="restart"/>
            <w:tcBorders>
              <w:tl2br w:val="nil"/>
              <w:tr2bl w:val="nil"/>
            </w:tcBorders>
            <w:vAlign w:val="center"/>
          </w:tcPr>
          <w:p>
            <w:pPr>
              <w:spacing w:line="240" w:lineRule="auto"/>
              <w:jc w:val="center"/>
            </w:pPr>
            <w:r>
              <w:t>格栅</w:t>
            </w:r>
            <w:r>
              <w:rPr>
                <w:rFonts w:hint="eastAsia"/>
              </w:rPr>
              <w:t>池</w:t>
            </w:r>
          </w:p>
        </w:tc>
        <w:tc>
          <w:tcPr>
            <w:tcW w:w="1095" w:type="dxa"/>
            <w:tcBorders>
              <w:tl2br w:val="nil"/>
              <w:tr2bl w:val="nil"/>
            </w:tcBorders>
            <w:vAlign w:val="center"/>
          </w:tcPr>
          <w:p>
            <w:pPr>
              <w:spacing w:line="240" w:lineRule="auto"/>
              <w:jc w:val="center"/>
            </w:pPr>
            <w:r>
              <w:t>去除率</w:t>
            </w:r>
          </w:p>
        </w:tc>
        <w:tc>
          <w:tcPr>
            <w:tcW w:w="1087" w:type="dxa"/>
            <w:tcBorders>
              <w:tl2br w:val="nil"/>
              <w:tr2bl w:val="nil"/>
            </w:tcBorders>
            <w:vAlign w:val="center"/>
          </w:tcPr>
          <w:p>
            <w:pPr>
              <w:spacing w:line="240" w:lineRule="auto"/>
              <w:jc w:val="center"/>
            </w:pPr>
            <w:r>
              <w:t>2%</w:t>
            </w:r>
          </w:p>
        </w:tc>
        <w:tc>
          <w:tcPr>
            <w:tcW w:w="931" w:type="dxa"/>
            <w:tcBorders>
              <w:tl2br w:val="nil"/>
              <w:tr2bl w:val="nil"/>
            </w:tcBorders>
            <w:vAlign w:val="center"/>
          </w:tcPr>
          <w:p>
            <w:pPr>
              <w:spacing w:line="240" w:lineRule="auto"/>
              <w:jc w:val="center"/>
            </w:pPr>
            <w:r>
              <w:t>2%</w:t>
            </w:r>
          </w:p>
        </w:tc>
        <w:tc>
          <w:tcPr>
            <w:tcW w:w="931" w:type="dxa"/>
            <w:tcBorders>
              <w:tl2br w:val="nil"/>
              <w:tr2bl w:val="nil"/>
            </w:tcBorders>
            <w:vAlign w:val="center"/>
          </w:tcPr>
          <w:p>
            <w:pPr>
              <w:spacing w:line="240" w:lineRule="auto"/>
              <w:jc w:val="center"/>
            </w:pPr>
            <w:r>
              <w:rPr>
                <w:rFonts w:hint="eastAsia"/>
                <w:lang w:val="en-US" w:eastAsia="zh-CN"/>
              </w:rPr>
              <w:t>20</w:t>
            </w:r>
            <w:r>
              <w:t>%</w:t>
            </w:r>
          </w:p>
        </w:tc>
        <w:tc>
          <w:tcPr>
            <w:tcW w:w="932" w:type="dxa"/>
            <w:tcBorders>
              <w:tl2br w:val="nil"/>
              <w:tr2bl w:val="nil"/>
            </w:tcBorders>
            <w:vAlign w:val="center"/>
          </w:tcPr>
          <w:p>
            <w:pPr>
              <w:spacing w:line="240" w:lineRule="auto"/>
              <w:jc w:val="center"/>
            </w:pPr>
            <w:r>
              <w:t>/</w:t>
            </w:r>
          </w:p>
        </w:tc>
        <w:tc>
          <w:tcPr>
            <w:tcW w:w="855" w:type="dxa"/>
            <w:tcBorders>
              <w:tl2br w:val="nil"/>
              <w:tr2bl w:val="nil"/>
            </w:tcBorders>
            <w:vAlign w:val="center"/>
          </w:tcPr>
          <w:p>
            <w:pPr>
              <w:spacing w:line="240" w:lineRule="auto"/>
              <w:jc w:val="center"/>
              <w:rPr>
                <w:rFonts w:hint="eastAsia" w:eastAsia="宋体"/>
                <w:lang w:val="en-US" w:eastAsia="zh-CN"/>
              </w:rPr>
            </w:pPr>
            <w:r>
              <w:rPr>
                <w:rFonts w:hint="eastAsia"/>
                <w:lang w:val="en-US" w:eastAsia="zh-CN"/>
              </w:rPr>
              <w:t>/</w:t>
            </w:r>
          </w:p>
        </w:tc>
        <w:tc>
          <w:tcPr>
            <w:tcW w:w="692" w:type="dxa"/>
            <w:tcBorders>
              <w:tl2br w:val="nil"/>
              <w:tr2bl w:val="nil"/>
            </w:tcBorders>
            <w:vAlign w:val="center"/>
          </w:tcPr>
          <w:p>
            <w:pPr>
              <w:spacing w:line="240" w:lineRule="auto"/>
              <w:jc w:val="center"/>
              <w:rPr>
                <w:rFonts w:hint="eastAsia" w:eastAsia="宋体"/>
                <w:lang w:val="en-US" w:eastAsia="zh-CN"/>
              </w:rPr>
            </w:pPr>
            <w:r>
              <w:rPr>
                <w:rFonts w:hint="eastAsia"/>
                <w:lang w:val="en-US" w:eastAsia="zh-CN"/>
              </w:rPr>
              <w:t>/</w:t>
            </w:r>
          </w:p>
        </w:tc>
        <w:tc>
          <w:tcPr>
            <w:tcW w:w="680" w:type="dxa"/>
            <w:tcBorders>
              <w:tl2br w:val="nil"/>
              <w:tr2bl w:val="nil"/>
            </w:tcBorders>
            <w:vAlign w:val="center"/>
          </w:tcPr>
          <w:p>
            <w:pPr>
              <w:spacing w:line="240" w:lineRule="auto"/>
              <w:jc w:val="center"/>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8" w:type="dxa"/>
            <w:vMerge w:val="continue"/>
            <w:tcBorders>
              <w:tl2br w:val="nil"/>
              <w:tr2bl w:val="nil"/>
            </w:tcBorders>
            <w:vAlign w:val="center"/>
          </w:tcPr>
          <w:p>
            <w:pPr>
              <w:spacing w:line="240" w:lineRule="auto"/>
              <w:jc w:val="center"/>
            </w:pPr>
          </w:p>
        </w:tc>
        <w:tc>
          <w:tcPr>
            <w:tcW w:w="932" w:type="dxa"/>
            <w:vMerge w:val="continue"/>
            <w:tcBorders>
              <w:tl2br w:val="nil"/>
              <w:tr2bl w:val="nil"/>
            </w:tcBorders>
            <w:vAlign w:val="center"/>
          </w:tcPr>
          <w:p>
            <w:pPr>
              <w:spacing w:line="240" w:lineRule="auto"/>
              <w:jc w:val="center"/>
            </w:pPr>
          </w:p>
        </w:tc>
        <w:tc>
          <w:tcPr>
            <w:tcW w:w="1095" w:type="dxa"/>
            <w:tcBorders>
              <w:tl2br w:val="nil"/>
              <w:tr2bl w:val="nil"/>
            </w:tcBorders>
            <w:vAlign w:val="center"/>
          </w:tcPr>
          <w:p>
            <w:pPr>
              <w:spacing w:line="240" w:lineRule="auto"/>
              <w:jc w:val="center"/>
            </w:pPr>
            <w:r>
              <w:t>出水</w:t>
            </w:r>
          </w:p>
        </w:tc>
        <w:tc>
          <w:tcPr>
            <w:tcW w:w="1087" w:type="dxa"/>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980</w:t>
            </w:r>
          </w:p>
        </w:tc>
        <w:tc>
          <w:tcPr>
            <w:tcW w:w="931" w:type="dxa"/>
            <w:tcBorders>
              <w:tl2br w:val="nil"/>
              <w:tr2bl w:val="nil"/>
            </w:tcBorders>
            <w:vAlign w:val="center"/>
          </w:tcPr>
          <w:p>
            <w:pPr>
              <w:spacing w:line="240" w:lineRule="auto"/>
              <w:jc w:val="center"/>
            </w:pPr>
          </w:p>
        </w:tc>
        <w:tc>
          <w:tcPr>
            <w:tcW w:w="931" w:type="dxa"/>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360</w:t>
            </w:r>
          </w:p>
        </w:tc>
        <w:tc>
          <w:tcPr>
            <w:tcW w:w="932" w:type="dxa"/>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50</w:t>
            </w:r>
          </w:p>
        </w:tc>
        <w:tc>
          <w:tcPr>
            <w:tcW w:w="855" w:type="dxa"/>
            <w:tcBorders>
              <w:tl2br w:val="nil"/>
              <w:tr2bl w:val="nil"/>
            </w:tcBorders>
            <w:vAlign w:val="center"/>
          </w:tcPr>
          <w:p>
            <w:pPr>
              <w:spacing w:line="240" w:lineRule="auto"/>
              <w:jc w:val="center"/>
              <w:rPr>
                <w:rFonts w:hint="eastAsia" w:eastAsia="宋体"/>
                <w:lang w:val="en-US" w:eastAsia="zh-CN"/>
              </w:rPr>
            </w:pPr>
            <w:r>
              <w:rPr>
                <w:rFonts w:hint="eastAsia"/>
                <w:lang w:val="en-US" w:eastAsia="zh-CN"/>
              </w:rPr>
              <w:t>/</w:t>
            </w:r>
          </w:p>
        </w:tc>
        <w:tc>
          <w:tcPr>
            <w:tcW w:w="692" w:type="dxa"/>
            <w:tcBorders>
              <w:tl2br w:val="nil"/>
              <w:tr2bl w:val="nil"/>
            </w:tcBorders>
            <w:vAlign w:val="center"/>
          </w:tcPr>
          <w:p>
            <w:pPr>
              <w:spacing w:line="240" w:lineRule="auto"/>
              <w:jc w:val="center"/>
              <w:rPr>
                <w:rFonts w:hint="eastAsia" w:eastAsia="宋体"/>
                <w:lang w:val="en-US" w:eastAsia="zh-CN"/>
              </w:rPr>
            </w:pPr>
            <w:r>
              <w:rPr>
                <w:rFonts w:hint="eastAsia"/>
                <w:lang w:val="en-US" w:eastAsia="zh-CN"/>
              </w:rPr>
              <w:t>/</w:t>
            </w:r>
          </w:p>
        </w:tc>
        <w:tc>
          <w:tcPr>
            <w:tcW w:w="680" w:type="dxa"/>
            <w:tcBorders>
              <w:tl2br w:val="nil"/>
              <w:tr2bl w:val="nil"/>
            </w:tcBorders>
            <w:vAlign w:val="center"/>
          </w:tcPr>
          <w:p>
            <w:pPr>
              <w:spacing w:line="240" w:lineRule="auto"/>
              <w:jc w:val="center"/>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8" w:type="dxa"/>
            <w:vMerge w:val="restart"/>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3</w:t>
            </w:r>
          </w:p>
        </w:tc>
        <w:tc>
          <w:tcPr>
            <w:tcW w:w="932" w:type="dxa"/>
            <w:vMerge w:val="restart"/>
            <w:tcBorders>
              <w:tl2br w:val="nil"/>
              <w:tr2bl w:val="nil"/>
            </w:tcBorders>
            <w:vAlign w:val="center"/>
          </w:tcPr>
          <w:p>
            <w:pPr>
              <w:spacing w:line="240" w:lineRule="auto"/>
              <w:jc w:val="center"/>
            </w:pPr>
            <w:r>
              <w:rPr>
                <w:rFonts w:hint="eastAsia"/>
              </w:rPr>
              <w:t>生化池（A/O）</w:t>
            </w:r>
          </w:p>
        </w:tc>
        <w:tc>
          <w:tcPr>
            <w:tcW w:w="1095" w:type="dxa"/>
            <w:tcBorders>
              <w:tl2br w:val="nil"/>
              <w:tr2bl w:val="nil"/>
            </w:tcBorders>
            <w:vAlign w:val="center"/>
          </w:tcPr>
          <w:p>
            <w:pPr>
              <w:spacing w:line="240" w:lineRule="auto"/>
              <w:jc w:val="center"/>
            </w:pPr>
            <w:r>
              <w:t>去除率</w:t>
            </w:r>
          </w:p>
        </w:tc>
        <w:tc>
          <w:tcPr>
            <w:tcW w:w="1087" w:type="dxa"/>
            <w:tcBorders>
              <w:tl2br w:val="nil"/>
              <w:tr2bl w:val="nil"/>
            </w:tcBorders>
            <w:vAlign w:val="center"/>
          </w:tcPr>
          <w:p>
            <w:pPr>
              <w:spacing w:line="240" w:lineRule="auto"/>
              <w:jc w:val="center"/>
            </w:pPr>
            <w:r>
              <w:rPr>
                <w:rFonts w:hint="eastAsia"/>
              </w:rPr>
              <w:t>7</w:t>
            </w:r>
            <w:r>
              <w:t>0%</w:t>
            </w:r>
          </w:p>
        </w:tc>
        <w:tc>
          <w:tcPr>
            <w:tcW w:w="931" w:type="dxa"/>
            <w:tcBorders>
              <w:tl2br w:val="nil"/>
              <w:tr2bl w:val="nil"/>
            </w:tcBorders>
            <w:vAlign w:val="center"/>
          </w:tcPr>
          <w:p>
            <w:pPr>
              <w:spacing w:line="240" w:lineRule="auto"/>
              <w:jc w:val="center"/>
            </w:pPr>
            <w:r>
              <w:rPr>
                <w:rFonts w:hint="eastAsia"/>
              </w:rPr>
              <w:t>5</w:t>
            </w:r>
            <w:r>
              <w:rPr>
                <w:rFonts w:hint="eastAsia"/>
                <w:lang w:val="en-US" w:eastAsia="zh-CN"/>
              </w:rPr>
              <w:t>5</w:t>
            </w:r>
            <w:r>
              <w:t>%</w:t>
            </w:r>
          </w:p>
        </w:tc>
        <w:tc>
          <w:tcPr>
            <w:tcW w:w="931" w:type="dxa"/>
            <w:tcBorders>
              <w:tl2br w:val="nil"/>
              <w:tr2bl w:val="nil"/>
            </w:tcBorders>
            <w:vAlign w:val="center"/>
          </w:tcPr>
          <w:p>
            <w:pPr>
              <w:spacing w:line="240" w:lineRule="auto"/>
              <w:jc w:val="center"/>
            </w:pPr>
            <w:r>
              <w:rPr>
                <w:rFonts w:hint="eastAsia"/>
                <w:lang w:val="en-US" w:eastAsia="zh-CN"/>
              </w:rPr>
              <w:t>1</w:t>
            </w:r>
            <w:r>
              <w:rPr>
                <w:rFonts w:hint="eastAsia"/>
              </w:rPr>
              <w:t>0</w:t>
            </w:r>
            <w:r>
              <w:t>%</w:t>
            </w:r>
          </w:p>
        </w:tc>
        <w:tc>
          <w:tcPr>
            <w:tcW w:w="932" w:type="dxa"/>
            <w:tcBorders>
              <w:tl2br w:val="nil"/>
              <w:tr2bl w:val="nil"/>
            </w:tcBorders>
            <w:vAlign w:val="center"/>
          </w:tcPr>
          <w:p>
            <w:pPr>
              <w:spacing w:line="240" w:lineRule="auto"/>
              <w:jc w:val="center"/>
            </w:pPr>
            <w:r>
              <w:rPr>
                <w:rFonts w:hint="eastAsia"/>
              </w:rPr>
              <w:t>50</w:t>
            </w:r>
            <w:r>
              <w:t>%</w:t>
            </w:r>
          </w:p>
        </w:tc>
        <w:tc>
          <w:tcPr>
            <w:tcW w:w="855" w:type="dxa"/>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50</w:t>
            </w:r>
          </w:p>
        </w:tc>
        <w:tc>
          <w:tcPr>
            <w:tcW w:w="692" w:type="dxa"/>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60</w:t>
            </w:r>
          </w:p>
        </w:tc>
        <w:tc>
          <w:tcPr>
            <w:tcW w:w="680" w:type="dxa"/>
            <w:tcBorders>
              <w:tl2br w:val="nil"/>
              <w:tr2bl w:val="nil"/>
            </w:tcBorders>
            <w:vAlign w:val="center"/>
          </w:tcPr>
          <w:p>
            <w:pPr>
              <w:spacing w:line="240" w:lineRule="auto"/>
              <w:jc w:val="center"/>
              <w:rPr>
                <w:rFonts w:hint="default"/>
                <w:lang w:val="en-US" w:eastAsia="zh-CN"/>
              </w:rPr>
            </w:pPr>
            <w:r>
              <w:rPr>
                <w:rFonts w:hint="eastAsia"/>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8" w:type="dxa"/>
            <w:vMerge w:val="continue"/>
            <w:tcBorders>
              <w:tl2br w:val="nil"/>
              <w:tr2bl w:val="nil"/>
            </w:tcBorders>
            <w:vAlign w:val="center"/>
          </w:tcPr>
          <w:p>
            <w:pPr>
              <w:spacing w:line="240" w:lineRule="auto"/>
              <w:jc w:val="center"/>
            </w:pPr>
          </w:p>
        </w:tc>
        <w:tc>
          <w:tcPr>
            <w:tcW w:w="932" w:type="dxa"/>
            <w:vMerge w:val="continue"/>
            <w:tcBorders>
              <w:tl2br w:val="nil"/>
              <w:tr2bl w:val="nil"/>
            </w:tcBorders>
            <w:vAlign w:val="center"/>
          </w:tcPr>
          <w:p>
            <w:pPr>
              <w:spacing w:line="240" w:lineRule="auto"/>
              <w:jc w:val="center"/>
            </w:pPr>
          </w:p>
        </w:tc>
        <w:tc>
          <w:tcPr>
            <w:tcW w:w="1095" w:type="dxa"/>
            <w:tcBorders>
              <w:tl2br w:val="nil"/>
              <w:tr2bl w:val="nil"/>
            </w:tcBorders>
            <w:vAlign w:val="center"/>
          </w:tcPr>
          <w:p>
            <w:pPr>
              <w:spacing w:line="240" w:lineRule="auto"/>
              <w:jc w:val="center"/>
            </w:pPr>
            <w:r>
              <w:t>出水</w:t>
            </w:r>
          </w:p>
        </w:tc>
        <w:tc>
          <w:tcPr>
            <w:tcW w:w="1087" w:type="dxa"/>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294</w:t>
            </w:r>
          </w:p>
        </w:tc>
        <w:tc>
          <w:tcPr>
            <w:tcW w:w="931" w:type="dxa"/>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265</w:t>
            </w:r>
          </w:p>
        </w:tc>
        <w:tc>
          <w:tcPr>
            <w:tcW w:w="931" w:type="dxa"/>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288</w:t>
            </w:r>
          </w:p>
        </w:tc>
        <w:tc>
          <w:tcPr>
            <w:tcW w:w="932" w:type="dxa"/>
            <w:tcBorders>
              <w:tl2br w:val="nil"/>
              <w:tr2bl w:val="nil"/>
            </w:tcBorders>
            <w:vAlign w:val="center"/>
          </w:tcPr>
          <w:p>
            <w:pPr>
              <w:spacing w:line="240" w:lineRule="auto"/>
              <w:jc w:val="center"/>
              <w:rPr>
                <w:rFonts w:hint="default" w:eastAsia="宋体"/>
                <w:lang w:val="en-US" w:eastAsia="zh-CN"/>
              </w:rPr>
            </w:pPr>
            <w:r>
              <w:rPr>
                <w:rFonts w:hint="eastAsia"/>
                <w:lang w:val="en-US" w:eastAsia="zh-CN"/>
              </w:rPr>
              <w:t>25</w:t>
            </w:r>
          </w:p>
        </w:tc>
        <w:tc>
          <w:tcPr>
            <w:tcW w:w="855" w:type="dxa"/>
            <w:tcBorders>
              <w:tl2br w:val="nil"/>
              <w:tr2bl w:val="nil"/>
            </w:tcBorders>
            <w:vAlign w:val="center"/>
          </w:tcPr>
          <w:p>
            <w:pPr>
              <w:spacing w:line="240" w:lineRule="auto"/>
              <w:jc w:val="center"/>
              <w:rPr>
                <w:rFonts w:hint="default"/>
                <w:lang w:val="en-US" w:eastAsia="zh-CN"/>
              </w:rPr>
            </w:pPr>
            <w:r>
              <w:rPr>
                <w:rFonts w:hint="eastAsia"/>
                <w:lang w:val="en-US" w:eastAsia="zh-CN"/>
              </w:rPr>
              <w:t>4</w:t>
            </w:r>
          </w:p>
        </w:tc>
        <w:tc>
          <w:tcPr>
            <w:tcW w:w="692" w:type="dxa"/>
            <w:tcBorders>
              <w:tl2br w:val="nil"/>
              <w:tr2bl w:val="nil"/>
            </w:tcBorders>
            <w:vAlign w:val="center"/>
          </w:tcPr>
          <w:p>
            <w:pPr>
              <w:spacing w:line="240" w:lineRule="auto"/>
              <w:jc w:val="center"/>
              <w:rPr>
                <w:rFonts w:hint="default"/>
                <w:lang w:val="en-US" w:eastAsia="zh-CN"/>
              </w:rPr>
            </w:pPr>
            <w:r>
              <w:rPr>
                <w:rFonts w:hint="eastAsia"/>
                <w:lang w:val="en-US" w:eastAsia="zh-CN"/>
              </w:rPr>
              <w:t>12</w:t>
            </w:r>
          </w:p>
        </w:tc>
        <w:tc>
          <w:tcPr>
            <w:tcW w:w="680" w:type="dxa"/>
            <w:tcBorders>
              <w:tl2br w:val="nil"/>
              <w:tr2bl w:val="nil"/>
            </w:tcBorders>
            <w:vAlign w:val="center"/>
          </w:tcPr>
          <w:p>
            <w:pPr>
              <w:spacing w:line="240" w:lineRule="auto"/>
              <w:jc w:val="center"/>
              <w:rPr>
                <w:rFonts w:hint="default"/>
                <w:lang w:val="en-US" w:eastAsia="zh-CN"/>
              </w:rPr>
            </w:pPr>
            <w:r>
              <w:rPr>
                <w:rFonts w:hint="eastAsia"/>
                <w:lang w:val="en-US" w:eastAsia="zh-CN"/>
              </w:rPr>
              <w:t>60</w:t>
            </w:r>
          </w:p>
        </w:tc>
      </w:tr>
    </w:tbl>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sz w:val="24"/>
          <w:szCs w:val="24"/>
          <w:lang w:eastAsia="zh-CN"/>
        </w:rPr>
      </w:pPr>
      <w:r>
        <w:rPr>
          <w:rFonts w:hint="eastAsia"/>
          <w:sz w:val="24"/>
          <w:szCs w:val="24"/>
          <w:lang w:eastAsia="zh-CN"/>
        </w:rPr>
        <w:t>生产废水经自建污水处理站处理，生活污水经隔油池和化粪池预处理，经处理后的各废水汇合到一起经过排污口进入市政污水管网排入城北污水处理厂，则废水排放情况如下：</w:t>
      </w:r>
    </w:p>
    <w:p>
      <w:pPr>
        <w:widowControl/>
        <w:spacing w:line="480" w:lineRule="exact"/>
        <w:ind w:firstLine="2891" w:firstLineChars="1200"/>
        <w:rPr>
          <w:b/>
          <w:sz w:val="24"/>
          <w:szCs w:val="24"/>
        </w:rPr>
      </w:pPr>
      <w:r>
        <w:rPr>
          <w:b/>
          <w:sz w:val="24"/>
          <w:szCs w:val="24"/>
        </w:rPr>
        <w:t>表</w:t>
      </w:r>
      <w:r>
        <w:rPr>
          <w:rFonts w:hint="eastAsia"/>
          <w:b/>
          <w:sz w:val="24"/>
          <w:szCs w:val="24"/>
          <w:lang w:val="en-US" w:eastAsia="zh-CN"/>
        </w:rPr>
        <w:t>6.2-2</w:t>
      </w:r>
      <w:r>
        <w:rPr>
          <w:b/>
          <w:sz w:val="24"/>
          <w:szCs w:val="24"/>
        </w:rPr>
        <w:t xml:space="preserve">   生产废水源强</w:t>
      </w:r>
      <w:r>
        <w:rPr>
          <w:rFonts w:hint="eastAsia"/>
          <w:b/>
          <w:sz w:val="24"/>
          <w:szCs w:val="24"/>
          <w:lang w:eastAsia="zh-CN"/>
        </w:rPr>
        <w:t>排放</w:t>
      </w:r>
      <w:r>
        <w:rPr>
          <w:b/>
          <w:sz w:val="24"/>
          <w:szCs w:val="24"/>
        </w:rPr>
        <w:t>一览表</w:t>
      </w:r>
    </w:p>
    <w:tbl>
      <w:tblPr>
        <w:tblStyle w:val="22"/>
        <w:tblW w:w="9583" w:type="dxa"/>
        <w:jc w:val="center"/>
        <w:tblInd w:w="-98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1184"/>
        <w:gridCol w:w="915"/>
        <w:gridCol w:w="885"/>
        <w:gridCol w:w="870"/>
        <w:gridCol w:w="945"/>
        <w:gridCol w:w="979"/>
        <w:gridCol w:w="806"/>
        <w:gridCol w:w="810"/>
        <w:gridCol w:w="704"/>
        <w:gridCol w:w="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01" w:hRule="atLeast"/>
          <w:jc w:val="center"/>
        </w:trPr>
        <w:tc>
          <w:tcPr>
            <w:tcW w:w="2668" w:type="dxa"/>
            <w:gridSpan w:val="2"/>
            <w:vMerge w:val="restart"/>
            <w:vAlign w:val="center"/>
          </w:tcPr>
          <w:p>
            <w:pPr>
              <w:spacing w:line="240" w:lineRule="auto"/>
              <w:jc w:val="center"/>
            </w:pPr>
            <w:r>
              <w:t>废水类别</w:t>
            </w:r>
          </w:p>
        </w:tc>
        <w:tc>
          <w:tcPr>
            <w:tcW w:w="6914" w:type="dxa"/>
            <w:gridSpan w:val="8"/>
            <w:vAlign w:val="center"/>
          </w:tcPr>
          <w:p>
            <w:pPr>
              <w:spacing w:line="240" w:lineRule="auto"/>
              <w:jc w:val="center"/>
            </w:pPr>
            <w:r>
              <w:t>废  水  水  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2668" w:type="dxa"/>
            <w:gridSpan w:val="2"/>
            <w:vMerge w:val="continue"/>
            <w:vAlign w:val="center"/>
          </w:tcPr>
          <w:p>
            <w:pPr>
              <w:spacing w:line="240" w:lineRule="auto"/>
              <w:jc w:val="center"/>
            </w:pPr>
          </w:p>
        </w:tc>
        <w:tc>
          <w:tcPr>
            <w:tcW w:w="915" w:type="dxa"/>
            <w:vAlign w:val="center"/>
          </w:tcPr>
          <w:p>
            <w:pPr>
              <w:spacing w:line="240" w:lineRule="auto"/>
              <w:jc w:val="center"/>
            </w:pPr>
            <w:r>
              <w:t>COD</w:t>
            </w:r>
          </w:p>
        </w:tc>
        <w:tc>
          <w:tcPr>
            <w:tcW w:w="885" w:type="dxa"/>
            <w:vAlign w:val="center"/>
          </w:tcPr>
          <w:p>
            <w:pPr>
              <w:spacing w:line="240" w:lineRule="auto"/>
              <w:jc w:val="center"/>
            </w:pPr>
            <w:r>
              <w:t>BOD</w:t>
            </w:r>
            <w:r>
              <w:rPr>
                <w:vertAlign w:val="subscript"/>
              </w:rPr>
              <w:t>5</w:t>
            </w:r>
          </w:p>
        </w:tc>
        <w:tc>
          <w:tcPr>
            <w:tcW w:w="870" w:type="dxa"/>
            <w:vAlign w:val="center"/>
          </w:tcPr>
          <w:p>
            <w:pPr>
              <w:spacing w:line="240" w:lineRule="auto"/>
              <w:jc w:val="center"/>
            </w:pPr>
            <w:r>
              <w:t>SS</w:t>
            </w:r>
          </w:p>
        </w:tc>
        <w:tc>
          <w:tcPr>
            <w:tcW w:w="945" w:type="dxa"/>
            <w:vAlign w:val="center"/>
          </w:tcPr>
          <w:p>
            <w:pPr>
              <w:spacing w:line="240" w:lineRule="auto"/>
              <w:jc w:val="center"/>
            </w:pPr>
            <w:r>
              <w:t>NH</w:t>
            </w:r>
            <w:r>
              <w:rPr>
                <w:vertAlign w:val="subscript"/>
              </w:rPr>
              <w:t>3</w:t>
            </w:r>
            <w:r>
              <w:t>-N</w:t>
            </w:r>
          </w:p>
        </w:tc>
        <w:tc>
          <w:tcPr>
            <w:tcW w:w="979" w:type="dxa"/>
            <w:vAlign w:val="center"/>
          </w:tcPr>
          <w:p>
            <w:pPr>
              <w:spacing w:line="240" w:lineRule="auto"/>
              <w:jc w:val="center"/>
            </w:pPr>
            <w:r>
              <w:t>动植物油</w:t>
            </w:r>
          </w:p>
        </w:tc>
        <w:tc>
          <w:tcPr>
            <w:tcW w:w="806" w:type="dxa"/>
            <w:vAlign w:val="center"/>
          </w:tcPr>
          <w:p>
            <w:pPr>
              <w:spacing w:line="240" w:lineRule="auto"/>
              <w:jc w:val="center"/>
              <w:rPr>
                <w:rFonts w:hint="default" w:eastAsia="宋体"/>
                <w:lang w:val="en-US" w:eastAsia="zh-CN"/>
              </w:rPr>
            </w:pPr>
            <w:r>
              <w:rPr>
                <w:rFonts w:hint="eastAsia"/>
                <w:lang w:val="en-US" w:eastAsia="zh-CN"/>
              </w:rPr>
              <w:t>TP</w:t>
            </w:r>
          </w:p>
        </w:tc>
        <w:tc>
          <w:tcPr>
            <w:tcW w:w="810" w:type="dxa"/>
            <w:vAlign w:val="center"/>
          </w:tcPr>
          <w:p>
            <w:pPr>
              <w:spacing w:line="240" w:lineRule="auto"/>
              <w:jc w:val="center"/>
              <w:rPr>
                <w:rFonts w:hint="default" w:eastAsia="宋体"/>
                <w:lang w:val="en-US" w:eastAsia="zh-CN"/>
              </w:rPr>
            </w:pPr>
            <w:r>
              <w:rPr>
                <w:rFonts w:hint="eastAsia"/>
                <w:lang w:val="en-US" w:eastAsia="zh-CN"/>
              </w:rPr>
              <w:t>LAS</w:t>
            </w:r>
          </w:p>
        </w:tc>
        <w:tc>
          <w:tcPr>
            <w:tcW w:w="705" w:type="dxa"/>
            <w:gridSpan w:val="2"/>
            <w:vAlign w:val="center"/>
          </w:tcPr>
          <w:p>
            <w:pPr>
              <w:spacing w:line="240" w:lineRule="auto"/>
              <w:jc w:val="center"/>
              <w:rPr>
                <w:rFonts w:hint="default"/>
                <w:lang w:val="en-US" w:eastAsia="zh-CN"/>
              </w:rPr>
            </w:pPr>
            <w:r>
              <w:rPr>
                <w:rFonts w:hint="eastAsia"/>
                <w:lang w:val="en-US" w:eastAsia="zh-CN"/>
              </w:rPr>
              <w:t>色度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484" w:type="dxa"/>
            <w:vMerge w:val="restart"/>
            <w:vAlign w:val="center"/>
          </w:tcPr>
          <w:p>
            <w:pPr>
              <w:spacing w:line="240" w:lineRule="auto"/>
              <w:jc w:val="center"/>
              <w:rPr>
                <w:rFonts w:hint="eastAsia" w:eastAsia="宋体"/>
                <w:lang w:eastAsia="zh-CN"/>
              </w:rPr>
            </w:pPr>
            <w:r>
              <w:rPr>
                <w:rFonts w:hint="eastAsia"/>
                <w:lang w:eastAsia="zh-CN"/>
              </w:rPr>
              <w:t>生产废</w:t>
            </w:r>
            <w:r>
              <w:t>水</w:t>
            </w:r>
            <w:r>
              <w:rPr>
                <w:rFonts w:hint="eastAsia"/>
                <w:lang w:eastAsia="zh-CN"/>
              </w:rPr>
              <w:t>（</w:t>
            </w:r>
            <w:r>
              <w:rPr>
                <w:rFonts w:hint="eastAsia"/>
                <w:lang w:val="en-US" w:eastAsia="zh-CN"/>
              </w:rPr>
              <w:t>4050t/a</w:t>
            </w:r>
            <w:r>
              <w:rPr>
                <w:rFonts w:hint="eastAsia"/>
                <w:lang w:eastAsia="zh-CN"/>
              </w:rPr>
              <w:t>）</w:t>
            </w:r>
          </w:p>
        </w:tc>
        <w:tc>
          <w:tcPr>
            <w:tcW w:w="1184" w:type="dxa"/>
            <w:vAlign w:val="center"/>
          </w:tcPr>
          <w:p>
            <w:pPr>
              <w:spacing w:line="240" w:lineRule="auto"/>
              <w:jc w:val="center"/>
              <w:rPr>
                <w:rFonts w:hint="eastAsia" w:eastAsia="宋体"/>
                <w:lang w:eastAsia="zh-CN"/>
              </w:rPr>
            </w:pPr>
            <w:r>
              <w:rPr>
                <w:rFonts w:hint="eastAsia"/>
                <w:lang w:eastAsia="zh-CN"/>
              </w:rPr>
              <w:t>浓度</w:t>
            </w:r>
            <w:r>
              <w:rPr>
                <w:rFonts w:hint="eastAsia"/>
              </w:rPr>
              <w:t>（</w:t>
            </w:r>
            <w:r>
              <w:t>mg/L</w:t>
            </w:r>
            <w:r>
              <w:rPr>
                <w:rFonts w:hint="eastAsia"/>
              </w:rPr>
              <w:t>）</w:t>
            </w:r>
          </w:p>
        </w:tc>
        <w:tc>
          <w:tcPr>
            <w:tcW w:w="915" w:type="dxa"/>
            <w:vAlign w:val="center"/>
          </w:tcPr>
          <w:p>
            <w:pPr>
              <w:spacing w:line="240" w:lineRule="auto"/>
              <w:jc w:val="center"/>
              <w:rPr>
                <w:rFonts w:hint="default" w:eastAsia="宋体"/>
                <w:lang w:val="en-US" w:eastAsia="zh-CN"/>
              </w:rPr>
            </w:pPr>
            <w:r>
              <w:rPr>
                <w:rFonts w:hint="eastAsia"/>
                <w:lang w:val="en-US" w:eastAsia="zh-CN"/>
              </w:rPr>
              <w:t>294</w:t>
            </w:r>
          </w:p>
        </w:tc>
        <w:tc>
          <w:tcPr>
            <w:tcW w:w="885" w:type="dxa"/>
            <w:vAlign w:val="center"/>
          </w:tcPr>
          <w:p>
            <w:pPr>
              <w:spacing w:line="240" w:lineRule="auto"/>
              <w:jc w:val="center"/>
              <w:rPr>
                <w:rFonts w:hint="default" w:eastAsia="宋体"/>
                <w:lang w:val="en-US" w:eastAsia="zh-CN"/>
              </w:rPr>
            </w:pPr>
            <w:r>
              <w:rPr>
                <w:rFonts w:hint="eastAsia"/>
                <w:lang w:val="en-US" w:eastAsia="zh-CN"/>
              </w:rPr>
              <w:t>265</w:t>
            </w:r>
          </w:p>
        </w:tc>
        <w:tc>
          <w:tcPr>
            <w:tcW w:w="870" w:type="dxa"/>
            <w:vAlign w:val="center"/>
          </w:tcPr>
          <w:p>
            <w:pPr>
              <w:spacing w:line="240" w:lineRule="auto"/>
              <w:jc w:val="center"/>
              <w:rPr>
                <w:rFonts w:hint="default" w:eastAsia="宋体"/>
                <w:lang w:val="en-US" w:eastAsia="zh-CN"/>
              </w:rPr>
            </w:pPr>
            <w:r>
              <w:rPr>
                <w:rFonts w:hint="eastAsia"/>
                <w:lang w:val="en-US" w:eastAsia="zh-CN"/>
              </w:rPr>
              <w:t>288</w:t>
            </w:r>
          </w:p>
        </w:tc>
        <w:tc>
          <w:tcPr>
            <w:tcW w:w="945" w:type="dxa"/>
            <w:vAlign w:val="center"/>
          </w:tcPr>
          <w:p>
            <w:pPr>
              <w:spacing w:line="240" w:lineRule="auto"/>
              <w:jc w:val="center"/>
              <w:rPr>
                <w:rFonts w:hint="default" w:eastAsia="宋体"/>
                <w:lang w:val="en-US" w:eastAsia="zh-CN"/>
              </w:rPr>
            </w:pPr>
            <w:r>
              <w:rPr>
                <w:rFonts w:hint="eastAsia"/>
                <w:lang w:val="en-US" w:eastAsia="zh-CN"/>
              </w:rPr>
              <w:t>25</w:t>
            </w:r>
          </w:p>
        </w:tc>
        <w:tc>
          <w:tcPr>
            <w:tcW w:w="979" w:type="dxa"/>
            <w:vAlign w:val="center"/>
          </w:tcPr>
          <w:p>
            <w:pPr>
              <w:spacing w:line="240" w:lineRule="auto"/>
              <w:jc w:val="center"/>
              <w:rPr>
                <w:rFonts w:hint="eastAsia" w:eastAsia="宋体"/>
                <w:lang w:val="en-US" w:eastAsia="zh-CN"/>
              </w:rPr>
            </w:pPr>
            <w:r>
              <w:rPr>
                <w:rFonts w:hint="eastAsia"/>
                <w:lang w:val="en-US" w:eastAsia="zh-CN"/>
              </w:rPr>
              <w:t>-</w:t>
            </w:r>
          </w:p>
        </w:tc>
        <w:tc>
          <w:tcPr>
            <w:tcW w:w="806" w:type="dxa"/>
            <w:vAlign w:val="center"/>
          </w:tcPr>
          <w:p>
            <w:pPr>
              <w:spacing w:line="240" w:lineRule="auto"/>
              <w:jc w:val="center"/>
              <w:rPr>
                <w:rFonts w:hint="default" w:eastAsia="宋体"/>
                <w:lang w:val="en-US" w:eastAsia="zh-CN"/>
              </w:rPr>
            </w:pPr>
            <w:r>
              <w:rPr>
                <w:rFonts w:hint="eastAsia"/>
                <w:lang w:val="en-US" w:eastAsia="zh-CN"/>
              </w:rPr>
              <w:t>4</w:t>
            </w:r>
          </w:p>
        </w:tc>
        <w:tc>
          <w:tcPr>
            <w:tcW w:w="810" w:type="dxa"/>
            <w:vAlign w:val="center"/>
          </w:tcPr>
          <w:p>
            <w:pPr>
              <w:spacing w:line="240" w:lineRule="auto"/>
              <w:jc w:val="center"/>
              <w:rPr>
                <w:rFonts w:hint="default" w:eastAsia="宋体"/>
                <w:lang w:val="en-US" w:eastAsia="zh-CN"/>
              </w:rPr>
            </w:pPr>
            <w:r>
              <w:rPr>
                <w:rFonts w:hint="eastAsia"/>
                <w:lang w:val="en-US" w:eastAsia="zh-CN"/>
              </w:rPr>
              <w:t>12</w:t>
            </w:r>
          </w:p>
        </w:tc>
        <w:tc>
          <w:tcPr>
            <w:tcW w:w="705" w:type="dxa"/>
            <w:gridSpan w:val="2"/>
            <w:vAlign w:val="center"/>
          </w:tcPr>
          <w:p>
            <w:pPr>
              <w:spacing w:line="240" w:lineRule="auto"/>
              <w:jc w:val="center"/>
              <w:rPr>
                <w:rFonts w:hint="default"/>
                <w:lang w:val="en-US" w:eastAsia="zh-CN"/>
              </w:rPr>
            </w:pPr>
            <w:r>
              <w:rPr>
                <w:rFonts w:hint="eastAsia"/>
                <w:lang w:val="en-US" w:eastAsia="zh-CN"/>
              </w:rPr>
              <w:t>60倍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484" w:type="dxa"/>
            <w:vMerge w:val="continue"/>
            <w:vAlign w:val="center"/>
          </w:tcPr>
          <w:p>
            <w:pPr>
              <w:spacing w:line="240" w:lineRule="auto"/>
              <w:jc w:val="center"/>
            </w:pPr>
          </w:p>
        </w:tc>
        <w:tc>
          <w:tcPr>
            <w:tcW w:w="1184" w:type="dxa"/>
            <w:vAlign w:val="center"/>
          </w:tcPr>
          <w:p>
            <w:pPr>
              <w:spacing w:line="240" w:lineRule="auto"/>
              <w:jc w:val="center"/>
              <w:rPr>
                <w:rFonts w:hint="eastAsia" w:eastAsia="宋体"/>
                <w:lang w:eastAsia="zh-CN"/>
              </w:rPr>
            </w:pPr>
            <w:r>
              <w:rPr>
                <w:rFonts w:hint="eastAsia"/>
                <w:lang w:eastAsia="zh-CN"/>
              </w:rPr>
              <w:t>产生量</w:t>
            </w:r>
          </w:p>
        </w:tc>
        <w:tc>
          <w:tcPr>
            <w:tcW w:w="915" w:type="dxa"/>
            <w:vAlign w:val="center"/>
          </w:tcPr>
          <w:p>
            <w:pPr>
              <w:spacing w:line="240" w:lineRule="auto"/>
              <w:jc w:val="center"/>
              <w:rPr>
                <w:rFonts w:hint="default" w:eastAsia="宋体"/>
                <w:lang w:val="en-US" w:eastAsia="zh-CN"/>
              </w:rPr>
            </w:pPr>
            <w:r>
              <w:rPr>
                <w:rFonts w:hint="eastAsia"/>
                <w:lang w:val="en-US" w:eastAsia="zh-CN"/>
              </w:rPr>
              <w:t>1.19</w:t>
            </w:r>
          </w:p>
        </w:tc>
        <w:tc>
          <w:tcPr>
            <w:tcW w:w="885" w:type="dxa"/>
            <w:vAlign w:val="center"/>
          </w:tcPr>
          <w:p>
            <w:pPr>
              <w:spacing w:line="240" w:lineRule="auto"/>
              <w:jc w:val="center"/>
              <w:rPr>
                <w:rFonts w:hint="default" w:eastAsia="宋体"/>
                <w:lang w:val="en-US" w:eastAsia="zh-CN"/>
              </w:rPr>
            </w:pPr>
            <w:r>
              <w:rPr>
                <w:rFonts w:hint="eastAsia"/>
                <w:lang w:val="en-US" w:eastAsia="zh-CN"/>
              </w:rPr>
              <w:t>1.07</w:t>
            </w:r>
          </w:p>
        </w:tc>
        <w:tc>
          <w:tcPr>
            <w:tcW w:w="870" w:type="dxa"/>
            <w:vAlign w:val="center"/>
          </w:tcPr>
          <w:p>
            <w:pPr>
              <w:spacing w:line="240" w:lineRule="auto"/>
              <w:jc w:val="center"/>
              <w:rPr>
                <w:rFonts w:hint="default" w:eastAsia="宋体"/>
                <w:lang w:val="en-US" w:eastAsia="zh-CN"/>
              </w:rPr>
            </w:pPr>
            <w:r>
              <w:rPr>
                <w:rFonts w:hint="eastAsia"/>
                <w:lang w:val="en-US" w:eastAsia="zh-CN"/>
              </w:rPr>
              <w:t>1.17</w:t>
            </w:r>
          </w:p>
        </w:tc>
        <w:tc>
          <w:tcPr>
            <w:tcW w:w="945" w:type="dxa"/>
            <w:vAlign w:val="center"/>
          </w:tcPr>
          <w:p>
            <w:pPr>
              <w:spacing w:line="240" w:lineRule="auto"/>
              <w:jc w:val="center"/>
              <w:rPr>
                <w:rFonts w:hint="default" w:eastAsia="宋体"/>
                <w:lang w:val="en-US" w:eastAsia="zh-CN"/>
              </w:rPr>
            </w:pPr>
            <w:r>
              <w:rPr>
                <w:rFonts w:hint="eastAsia"/>
                <w:lang w:val="en-US" w:eastAsia="zh-CN"/>
              </w:rPr>
              <w:t>0.10</w:t>
            </w:r>
          </w:p>
        </w:tc>
        <w:tc>
          <w:tcPr>
            <w:tcW w:w="979" w:type="dxa"/>
            <w:vAlign w:val="center"/>
          </w:tcPr>
          <w:p>
            <w:pPr>
              <w:spacing w:line="240" w:lineRule="auto"/>
              <w:jc w:val="center"/>
              <w:rPr>
                <w:rFonts w:hint="eastAsia" w:eastAsia="宋体"/>
                <w:lang w:val="en-US" w:eastAsia="zh-CN"/>
              </w:rPr>
            </w:pPr>
            <w:r>
              <w:rPr>
                <w:rFonts w:hint="eastAsia"/>
                <w:lang w:val="en-US" w:eastAsia="zh-CN"/>
              </w:rPr>
              <w:t>-</w:t>
            </w:r>
          </w:p>
        </w:tc>
        <w:tc>
          <w:tcPr>
            <w:tcW w:w="806" w:type="dxa"/>
            <w:vAlign w:val="center"/>
          </w:tcPr>
          <w:p>
            <w:pPr>
              <w:spacing w:line="240" w:lineRule="auto"/>
              <w:jc w:val="center"/>
              <w:rPr>
                <w:rFonts w:hint="default" w:eastAsia="宋体"/>
                <w:lang w:val="en-US" w:eastAsia="zh-CN"/>
              </w:rPr>
            </w:pPr>
            <w:r>
              <w:rPr>
                <w:rFonts w:hint="eastAsia"/>
                <w:lang w:val="en-US" w:eastAsia="zh-CN"/>
              </w:rPr>
              <w:t>0.016</w:t>
            </w:r>
          </w:p>
        </w:tc>
        <w:tc>
          <w:tcPr>
            <w:tcW w:w="810" w:type="dxa"/>
            <w:vAlign w:val="center"/>
          </w:tcPr>
          <w:p>
            <w:pPr>
              <w:spacing w:line="240" w:lineRule="auto"/>
              <w:jc w:val="center"/>
              <w:rPr>
                <w:rFonts w:hint="default" w:eastAsia="宋体"/>
                <w:lang w:val="en-US" w:eastAsia="zh-CN"/>
              </w:rPr>
            </w:pPr>
            <w:r>
              <w:rPr>
                <w:rFonts w:hint="eastAsia"/>
                <w:lang w:val="en-US" w:eastAsia="zh-CN"/>
              </w:rPr>
              <w:t>0.049</w:t>
            </w:r>
          </w:p>
        </w:tc>
        <w:tc>
          <w:tcPr>
            <w:tcW w:w="705" w:type="dxa"/>
            <w:gridSpan w:val="2"/>
            <w:vAlign w:val="center"/>
          </w:tcPr>
          <w:p>
            <w:pPr>
              <w:spacing w:line="240" w:lineRule="auto"/>
              <w:jc w:val="center"/>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48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生活污水</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lang w:eastAsia="zh-CN"/>
              </w:rPr>
            </w:pPr>
            <w:r>
              <w:rPr>
                <w:rFonts w:hint="eastAsia"/>
                <w:lang w:eastAsia="zh-CN"/>
              </w:rPr>
              <w:t>（</w:t>
            </w:r>
            <w:r>
              <w:rPr>
                <w:rFonts w:hint="eastAsia"/>
                <w:lang w:val="en-US" w:eastAsia="zh-CN"/>
              </w:rPr>
              <w:t>5760t/a</w:t>
            </w:r>
            <w:r>
              <w:rPr>
                <w:rFonts w:hint="eastAsia"/>
                <w:lang w:eastAsia="zh-CN"/>
              </w:rPr>
              <w:t>）</w:t>
            </w:r>
          </w:p>
        </w:tc>
        <w:tc>
          <w:tcPr>
            <w:tcW w:w="1184" w:type="dxa"/>
            <w:vAlign w:val="center"/>
          </w:tcPr>
          <w:p>
            <w:pPr>
              <w:spacing w:line="240" w:lineRule="auto"/>
              <w:jc w:val="center"/>
              <w:rPr>
                <w:rFonts w:hint="eastAsia"/>
                <w:lang w:eastAsia="zh-CN"/>
              </w:rPr>
            </w:pPr>
            <w:r>
              <w:rPr>
                <w:rFonts w:hint="eastAsia"/>
                <w:lang w:eastAsia="zh-CN"/>
              </w:rPr>
              <w:t>浓度</w:t>
            </w:r>
            <w:r>
              <w:rPr>
                <w:rFonts w:hint="eastAsia"/>
              </w:rPr>
              <w:t>（</w:t>
            </w:r>
            <w:r>
              <w:t>mg/L</w:t>
            </w:r>
            <w:r>
              <w:rPr>
                <w:rFonts w:hint="eastAsia"/>
              </w:rPr>
              <w:t>）</w:t>
            </w:r>
          </w:p>
        </w:tc>
        <w:tc>
          <w:tcPr>
            <w:tcW w:w="915" w:type="dxa"/>
            <w:vAlign w:val="center"/>
          </w:tcPr>
          <w:p>
            <w:pPr>
              <w:spacing w:line="240" w:lineRule="auto"/>
              <w:jc w:val="center"/>
              <w:rPr>
                <w:rFonts w:hint="default" w:eastAsia="宋体"/>
                <w:lang w:val="en-US" w:eastAsia="zh-CN"/>
              </w:rPr>
            </w:pPr>
            <w:r>
              <w:rPr>
                <w:rFonts w:hint="eastAsia"/>
                <w:lang w:val="en-US" w:eastAsia="zh-CN"/>
              </w:rPr>
              <w:t>250</w:t>
            </w:r>
          </w:p>
        </w:tc>
        <w:tc>
          <w:tcPr>
            <w:tcW w:w="885" w:type="dxa"/>
            <w:vAlign w:val="center"/>
          </w:tcPr>
          <w:p>
            <w:pPr>
              <w:spacing w:line="240" w:lineRule="auto"/>
              <w:jc w:val="center"/>
              <w:rPr>
                <w:rFonts w:hint="default" w:eastAsia="宋体"/>
                <w:lang w:val="en-US" w:eastAsia="zh-CN"/>
              </w:rPr>
            </w:pPr>
            <w:r>
              <w:rPr>
                <w:rFonts w:hint="eastAsia"/>
                <w:lang w:val="en-US" w:eastAsia="zh-CN"/>
              </w:rPr>
              <w:t>150</w:t>
            </w:r>
          </w:p>
        </w:tc>
        <w:tc>
          <w:tcPr>
            <w:tcW w:w="870" w:type="dxa"/>
            <w:vAlign w:val="center"/>
          </w:tcPr>
          <w:p>
            <w:pPr>
              <w:spacing w:line="240" w:lineRule="auto"/>
              <w:jc w:val="center"/>
              <w:rPr>
                <w:rFonts w:hint="default" w:eastAsia="宋体"/>
                <w:lang w:val="en-US" w:eastAsia="zh-CN"/>
              </w:rPr>
            </w:pPr>
            <w:r>
              <w:rPr>
                <w:rFonts w:hint="eastAsia"/>
                <w:lang w:val="en-US" w:eastAsia="zh-CN"/>
              </w:rPr>
              <w:t>120</w:t>
            </w:r>
          </w:p>
        </w:tc>
        <w:tc>
          <w:tcPr>
            <w:tcW w:w="945" w:type="dxa"/>
            <w:vAlign w:val="center"/>
          </w:tcPr>
          <w:p>
            <w:pPr>
              <w:spacing w:line="240" w:lineRule="auto"/>
              <w:jc w:val="center"/>
              <w:rPr>
                <w:rFonts w:hint="default" w:eastAsia="宋体"/>
                <w:lang w:val="en-US" w:eastAsia="zh-CN"/>
              </w:rPr>
            </w:pPr>
            <w:r>
              <w:rPr>
                <w:rFonts w:hint="eastAsia"/>
                <w:lang w:val="en-US" w:eastAsia="zh-CN"/>
              </w:rPr>
              <w:t>25</w:t>
            </w:r>
          </w:p>
        </w:tc>
        <w:tc>
          <w:tcPr>
            <w:tcW w:w="979" w:type="dxa"/>
            <w:vAlign w:val="center"/>
          </w:tcPr>
          <w:p>
            <w:pPr>
              <w:spacing w:line="240" w:lineRule="auto"/>
              <w:jc w:val="center"/>
              <w:rPr>
                <w:rFonts w:hint="default" w:eastAsia="宋体"/>
                <w:lang w:val="en-US" w:eastAsia="zh-CN"/>
              </w:rPr>
            </w:pPr>
            <w:r>
              <w:rPr>
                <w:rFonts w:hint="eastAsia"/>
                <w:lang w:val="en-US" w:eastAsia="zh-CN"/>
              </w:rPr>
              <w:t>20</w:t>
            </w:r>
          </w:p>
        </w:tc>
        <w:tc>
          <w:tcPr>
            <w:tcW w:w="806" w:type="dxa"/>
            <w:vAlign w:val="center"/>
          </w:tcPr>
          <w:p>
            <w:pPr>
              <w:spacing w:line="240" w:lineRule="auto"/>
              <w:jc w:val="center"/>
              <w:rPr>
                <w:rFonts w:hint="eastAsia" w:eastAsia="宋体"/>
                <w:lang w:val="en-US" w:eastAsia="zh-CN"/>
              </w:rPr>
            </w:pPr>
            <w:r>
              <w:rPr>
                <w:rFonts w:hint="eastAsia"/>
                <w:lang w:val="en-US" w:eastAsia="zh-CN"/>
              </w:rPr>
              <w:t>-</w:t>
            </w:r>
          </w:p>
        </w:tc>
        <w:tc>
          <w:tcPr>
            <w:tcW w:w="810" w:type="dxa"/>
            <w:vAlign w:val="center"/>
          </w:tcPr>
          <w:p>
            <w:pPr>
              <w:spacing w:line="240" w:lineRule="auto"/>
              <w:jc w:val="center"/>
              <w:rPr>
                <w:rFonts w:hint="eastAsia" w:eastAsia="宋体"/>
                <w:lang w:val="en-US" w:eastAsia="zh-CN"/>
              </w:rPr>
            </w:pPr>
            <w:r>
              <w:rPr>
                <w:rFonts w:hint="eastAsia"/>
                <w:lang w:val="en-US" w:eastAsia="zh-CN"/>
              </w:rPr>
              <w:t>-</w:t>
            </w:r>
          </w:p>
        </w:tc>
        <w:tc>
          <w:tcPr>
            <w:tcW w:w="705" w:type="dxa"/>
            <w:gridSpan w:val="2"/>
            <w:vAlign w:val="center"/>
          </w:tcPr>
          <w:p>
            <w:pPr>
              <w:spacing w:line="240" w:lineRule="auto"/>
              <w:jc w:val="center"/>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484" w:type="dxa"/>
            <w:vMerge w:val="continue"/>
            <w:vAlign w:val="center"/>
          </w:tcPr>
          <w:p>
            <w:pPr>
              <w:spacing w:line="240" w:lineRule="auto"/>
              <w:jc w:val="center"/>
            </w:pPr>
          </w:p>
        </w:tc>
        <w:tc>
          <w:tcPr>
            <w:tcW w:w="1184" w:type="dxa"/>
            <w:vAlign w:val="center"/>
          </w:tcPr>
          <w:p>
            <w:pPr>
              <w:spacing w:line="240" w:lineRule="auto"/>
              <w:jc w:val="center"/>
              <w:rPr>
                <w:rFonts w:hint="eastAsia"/>
                <w:lang w:eastAsia="zh-CN"/>
              </w:rPr>
            </w:pPr>
            <w:r>
              <w:rPr>
                <w:rFonts w:hint="eastAsia"/>
                <w:lang w:eastAsia="zh-CN"/>
              </w:rPr>
              <w:t>产生量</w:t>
            </w:r>
          </w:p>
        </w:tc>
        <w:tc>
          <w:tcPr>
            <w:tcW w:w="915" w:type="dxa"/>
            <w:vAlign w:val="center"/>
          </w:tcPr>
          <w:p>
            <w:pPr>
              <w:spacing w:line="240" w:lineRule="auto"/>
              <w:jc w:val="center"/>
              <w:rPr>
                <w:rFonts w:hint="default" w:eastAsia="宋体"/>
                <w:lang w:val="en-US" w:eastAsia="zh-CN"/>
              </w:rPr>
            </w:pPr>
            <w:r>
              <w:rPr>
                <w:rFonts w:hint="eastAsia"/>
                <w:lang w:val="en-US" w:eastAsia="zh-CN"/>
              </w:rPr>
              <w:t>1.44</w:t>
            </w:r>
          </w:p>
        </w:tc>
        <w:tc>
          <w:tcPr>
            <w:tcW w:w="885" w:type="dxa"/>
            <w:vAlign w:val="center"/>
          </w:tcPr>
          <w:p>
            <w:pPr>
              <w:spacing w:line="240" w:lineRule="auto"/>
              <w:jc w:val="center"/>
              <w:rPr>
                <w:rFonts w:hint="default" w:eastAsia="宋体"/>
                <w:lang w:val="en-US" w:eastAsia="zh-CN"/>
              </w:rPr>
            </w:pPr>
            <w:r>
              <w:rPr>
                <w:rFonts w:hint="eastAsia"/>
                <w:lang w:val="en-US" w:eastAsia="zh-CN"/>
              </w:rPr>
              <w:t>0.86</w:t>
            </w:r>
          </w:p>
        </w:tc>
        <w:tc>
          <w:tcPr>
            <w:tcW w:w="870" w:type="dxa"/>
            <w:vAlign w:val="center"/>
          </w:tcPr>
          <w:p>
            <w:pPr>
              <w:spacing w:line="240" w:lineRule="auto"/>
              <w:jc w:val="center"/>
              <w:rPr>
                <w:rFonts w:hint="default" w:eastAsia="宋体"/>
                <w:lang w:val="en-US" w:eastAsia="zh-CN"/>
              </w:rPr>
            </w:pPr>
            <w:r>
              <w:rPr>
                <w:rFonts w:hint="eastAsia"/>
                <w:lang w:val="en-US" w:eastAsia="zh-CN"/>
              </w:rPr>
              <w:t>0.69</w:t>
            </w:r>
          </w:p>
        </w:tc>
        <w:tc>
          <w:tcPr>
            <w:tcW w:w="945" w:type="dxa"/>
            <w:vAlign w:val="center"/>
          </w:tcPr>
          <w:p>
            <w:pPr>
              <w:spacing w:line="240" w:lineRule="auto"/>
              <w:jc w:val="center"/>
              <w:rPr>
                <w:rFonts w:hint="default" w:eastAsia="宋体"/>
                <w:lang w:val="en-US" w:eastAsia="zh-CN"/>
              </w:rPr>
            </w:pPr>
            <w:r>
              <w:rPr>
                <w:rFonts w:hint="eastAsia"/>
                <w:lang w:val="en-US" w:eastAsia="zh-CN"/>
              </w:rPr>
              <w:t>0.14</w:t>
            </w:r>
          </w:p>
        </w:tc>
        <w:tc>
          <w:tcPr>
            <w:tcW w:w="979" w:type="dxa"/>
            <w:vAlign w:val="center"/>
          </w:tcPr>
          <w:p>
            <w:pPr>
              <w:spacing w:line="240" w:lineRule="auto"/>
              <w:jc w:val="center"/>
              <w:rPr>
                <w:rFonts w:hint="default" w:eastAsia="宋体"/>
                <w:lang w:val="en-US" w:eastAsia="zh-CN"/>
              </w:rPr>
            </w:pPr>
            <w:r>
              <w:rPr>
                <w:rFonts w:hint="eastAsia"/>
                <w:lang w:val="en-US" w:eastAsia="zh-CN"/>
              </w:rPr>
              <w:t>0.12</w:t>
            </w:r>
          </w:p>
        </w:tc>
        <w:tc>
          <w:tcPr>
            <w:tcW w:w="806" w:type="dxa"/>
            <w:vAlign w:val="center"/>
          </w:tcPr>
          <w:p>
            <w:pPr>
              <w:spacing w:line="240" w:lineRule="auto"/>
              <w:jc w:val="center"/>
              <w:rPr>
                <w:rFonts w:hint="eastAsia" w:eastAsia="宋体"/>
                <w:lang w:val="en-US" w:eastAsia="zh-CN"/>
              </w:rPr>
            </w:pPr>
            <w:r>
              <w:rPr>
                <w:rFonts w:hint="eastAsia"/>
                <w:lang w:val="en-US" w:eastAsia="zh-CN"/>
              </w:rPr>
              <w:t>-</w:t>
            </w:r>
          </w:p>
        </w:tc>
        <w:tc>
          <w:tcPr>
            <w:tcW w:w="810" w:type="dxa"/>
            <w:vAlign w:val="center"/>
          </w:tcPr>
          <w:p>
            <w:pPr>
              <w:spacing w:line="240" w:lineRule="auto"/>
              <w:jc w:val="center"/>
              <w:rPr>
                <w:rFonts w:hint="eastAsia" w:eastAsia="宋体"/>
                <w:lang w:val="en-US" w:eastAsia="zh-CN"/>
              </w:rPr>
            </w:pPr>
            <w:r>
              <w:rPr>
                <w:rFonts w:hint="eastAsia"/>
                <w:lang w:val="en-US" w:eastAsia="zh-CN"/>
              </w:rPr>
              <w:t>-</w:t>
            </w:r>
          </w:p>
        </w:tc>
        <w:tc>
          <w:tcPr>
            <w:tcW w:w="705" w:type="dxa"/>
            <w:gridSpan w:val="2"/>
            <w:vAlign w:val="center"/>
          </w:tcPr>
          <w:p>
            <w:pPr>
              <w:spacing w:line="240" w:lineRule="auto"/>
              <w:jc w:val="center"/>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484" w:type="dxa"/>
            <w:vMerge w:val="restart"/>
            <w:vAlign w:val="center"/>
          </w:tcPr>
          <w:p>
            <w:pPr>
              <w:spacing w:line="240" w:lineRule="auto"/>
              <w:jc w:val="center"/>
              <w:rPr>
                <w:rFonts w:hint="eastAsia" w:eastAsia="宋体"/>
                <w:lang w:eastAsia="zh-CN"/>
              </w:rPr>
            </w:pPr>
            <w:r>
              <w:rPr>
                <w:rFonts w:hint="eastAsia"/>
                <w:lang w:eastAsia="zh-CN"/>
              </w:rPr>
              <w:t>综合废水（</w:t>
            </w:r>
            <w:r>
              <w:rPr>
                <w:rFonts w:hint="eastAsia"/>
                <w:lang w:val="en-US" w:eastAsia="zh-CN"/>
              </w:rPr>
              <w:t>9810t/a</w:t>
            </w:r>
            <w:r>
              <w:rPr>
                <w:rFonts w:hint="eastAsia"/>
                <w:lang w:eastAsia="zh-CN"/>
              </w:rPr>
              <w:t>）</w:t>
            </w:r>
          </w:p>
        </w:tc>
        <w:tc>
          <w:tcPr>
            <w:tcW w:w="1184" w:type="dxa"/>
            <w:vAlign w:val="center"/>
          </w:tcPr>
          <w:p>
            <w:pPr>
              <w:spacing w:line="240" w:lineRule="auto"/>
              <w:jc w:val="center"/>
              <w:rPr>
                <w:rFonts w:hint="eastAsia"/>
                <w:lang w:eastAsia="zh-CN"/>
              </w:rPr>
            </w:pPr>
            <w:r>
              <w:rPr>
                <w:rFonts w:hint="eastAsia"/>
                <w:lang w:eastAsia="zh-CN"/>
              </w:rPr>
              <w:t>浓度</w:t>
            </w:r>
            <w:r>
              <w:rPr>
                <w:rFonts w:hint="eastAsia"/>
              </w:rPr>
              <w:t>（</w:t>
            </w:r>
            <w:r>
              <w:t>mg/L</w:t>
            </w:r>
            <w:r>
              <w:rPr>
                <w:rFonts w:hint="eastAsia"/>
              </w:rPr>
              <w:t>）</w:t>
            </w:r>
          </w:p>
        </w:tc>
        <w:tc>
          <w:tcPr>
            <w:tcW w:w="915" w:type="dxa"/>
            <w:vAlign w:val="center"/>
          </w:tcPr>
          <w:p>
            <w:pPr>
              <w:spacing w:line="240" w:lineRule="auto"/>
              <w:jc w:val="center"/>
              <w:rPr>
                <w:rFonts w:hint="default"/>
                <w:lang w:val="en-US" w:eastAsia="zh-CN"/>
              </w:rPr>
            </w:pPr>
            <w:r>
              <w:rPr>
                <w:rFonts w:hint="eastAsia"/>
                <w:lang w:val="en-US" w:eastAsia="zh-CN"/>
              </w:rPr>
              <w:t>268</w:t>
            </w:r>
          </w:p>
        </w:tc>
        <w:tc>
          <w:tcPr>
            <w:tcW w:w="885" w:type="dxa"/>
            <w:vAlign w:val="center"/>
          </w:tcPr>
          <w:p>
            <w:pPr>
              <w:spacing w:line="240" w:lineRule="auto"/>
              <w:jc w:val="center"/>
              <w:rPr>
                <w:rFonts w:hint="default"/>
                <w:lang w:val="en-US" w:eastAsia="zh-CN"/>
              </w:rPr>
            </w:pPr>
            <w:r>
              <w:rPr>
                <w:rFonts w:hint="eastAsia"/>
                <w:lang w:val="en-US" w:eastAsia="zh-CN"/>
              </w:rPr>
              <w:t>197</w:t>
            </w:r>
          </w:p>
        </w:tc>
        <w:tc>
          <w:tcPr>
            <w:tcW w:w="870" w:type="dxa"/>
            <w:vAlign w:val="center"/>
          </w:tcPr>
          <w:p>
            <w:pPr>
              <w:spacing w:line="240" w:lineRule="auto"/>
              <w:jc w:val="center"/>
              <w:rPr>
                <w:rFonts w:hint="default"/>
                <w:lang w:val="en-US" w:eastAsia="zh-CN"/>
              </w:rPr>
            </w:pPr>
            <w:r>
              <w:rPr>
                <w:rFonts w:hint="eastAsia"/>
                <w:lang w:val="en-US" w:eastAsia="zh-CN"/>
              </w:rPr>
              <w:t>189</w:t>
            </w:r>
          </w:p>
        </w:tc>
        <w:tc>
          <w:tcPr>
            <w:tcW w:w="945" w:type="dxa"/>
            <w:vAlign w:val="center"/>
          </w:tcPr>
          <w:p>
            <w:pPr>
              <w:spacing w:line="240" w:lineRule="auto"/>
              <w:jc w:val="center"/>
              <w:rPr>
                <w:rFonts w:hint="default"/>
                <w:lang w:val="en-US" w:eastAsia="zh-CN"/>
              </w:rPr>
            </w:pPr>
            <w:r>
              <w:rPr>
                <w:rFonts w:hint="eastAsia"/>
                <w:lang w:val="en-US" w:eastAsia="zh-CN"/>
              </w:rPr>
              <w:t>25</w:t>
            </w:r>
          </w:p>
        </w:tc>
        <w:tc>
          <w:tcPr>
            <w:tcW w:w="979" w:type="dxa"/>
            <w:vAlign w:val="center"/>
          </w:tcPr>
          <w:p>
            <w:pPr>
              <w:spacing w:line="240" w:lineRule="auto"/>
              <w:jc w:val="center"/>
              <w:rPr>
                <w:rFonts w:hint="default"/>
                <w:lang w:val="en-US" w:eastAsia="zh-CN"/>
              </w:rPr>
            </w:pPr>
            <w:r>
              <w:rPr>
                <w:rFonts w:hint="eastAsia"/>
                <w:lang w:val="en-US" w:eastAsia="zh-CN"/>
              </w:rPr>
              <w:t>12</w:t>
            </w:r>
          </w:p>
        </w:tc>
        <w:tc>
          <w:tcPr>
            <w:tcW w:w="806" w:type="dxa"/>
            <w:vAlign w:val="center"/>
          </w:tcPr>
          <w:p>
            <w:pPr>
              <w:spacing w:line="240" w:lineRule="auto"/>
              <w:jc w:val="center"/>
              <w:rPr>
                <w:rFonts w:hint="default"/>
                <w:lang w:val="en-US" w:eastAsia="zh-CN"/>
              </w:rPr>
            </w:pPr>
            <w:r>
              <w:rPr>
                <w:rFonts w:hint="eastAsia"/>
                <w:lang w:val="en-US" w:eastAsia="zh-CN"/>
              </w:rPr>
              <w:t>2</w:t>
            </w:r>
          </w:p>
        </w:tc>
        <w:tc>
          <w:tcPr>
            <w:tcW w:w="810" w:type="dxa"/>
            <w:vAlign w:val="center"/>
          </w:tcPr>
          <w:p>
            <w:pPr>
              <w:spacing w:line="240" w:lineRule="auto"/>
              <w:jc w:val="center"/>
              <w:rPr>
                <w:rFonts w:hint="default"/>
                <w:lang w:val="en-US" w:eastAsia="zh-CN"/>
              </w:rPr>
            </w:pPr>
            <w:r>
              <w:rPr>
                <w:rFonts w:hint="eastAsia"/>
                <w:lang w:val="en-US" w:eastAsia="zh-CN"/>
              </w:rPr>
              <w:t>6</w:t>
            </w:r>
          </w:p>
        </w:tc>
        <w:tc>
          <w:tcPr>
            <w:tcW w:w="705" w:type="dxa"/>
            <w:gridSpan w:val="2"/>
            <w:vAlign w:val="center"/>
          </w:tcPr>
          <w:p>
            <w:pPr>
              <w:spacing w:line="240" w:lineRule="auto"/>
              <w:jc w:val="center"/>
              <w:rPr>
                <w:rFonts w:hint="default"/>
                <w:lang w:val="en-US" w:eastAsia="zh-CN"/>
              </w:rPr>
            </w:pPr>
            <w:r>
              <w:rPr>
                <w:rFonts w:hint="eastAsia"/>
                <w:lang w:val="en-US" w:eastAsia="zh-CN"/>
              </w:rPr>
              <w:t>25倍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484" w:type="dxa"/>
            <w:vMerge w:val="continue"/>
            <w:vAlign w:val="center"/>
          </w:tcPr>
          <w:p>
            <w:pPr>
              <w:spacing w:line="240" w:lineRule="auto"/>
              <w:jc w:val="center"/>
            </w:pPr>
          </w:p>
        </w:tc>
        <w:tc>
          <w:tcPr>
            <w:tcW w:w="1184" w:type="dxa"/>
            <w:vAlign w:val="center"/>
          </w:tcPr>
          <w:p>
            <w:pPr>
              <w:spacing w:line="240" w:lineRule="auto"/>
              <w:jc w:val="center"/>
              <w:rPr>
                <w:rFonts w:hint="eastAsia"/>
                <w:lang w:eastAsia="zh-CN"/>
              </w:rPr>
            </w:pPr>
            <w:r>
              <w:rPr>
                <w:rFonts w:hint="eastAsia"/>
                <w:lang w:eastAsia="zh-CN"/>
              </w:rPr>
              <w:t>产生量</w:t>
            </w:r>
          </w:p>
        </w:tc>
        <w:tc>
          <w:tcPr>
            <w:tcW w:w="915" w:type="dxa"/>
            <w:vAlign w:val="center"/>
          </w:tcPr>
          <w:p>
            <w:pPr>
              <w:spacing w:line="240" w:lineRule="auto"/>
              <w:jc w:val="center"/>
              <w:rPr>
                <w:rFonts w:hint="default"/>
                <w:lang w:val="en-US" w:eastAsia="zh-CN"/>
              </w:rPr>
            </w:pPr>
            <w:r>
              <w:rPr>
                <w:rFonts w:hint="eastAsia"/>
                <w:lang w:val="en-US" w:eastAsia="zh-CN"/>
              </w:rPr>
              <w:t>2.63</w:t>
            </w:r>
          </w:p>
        </w:tc>
        <w:tc>
          <w:tcPr>
            <w:tcW w:w="885" w:type="dxa"/>
            <w:vAlign w:val="center"/>
          </w:tcPr>
          <w:p>
            <w:pPr>
              <w:spacing w:line="240" w:lineRule="auto"/>
              <w:jc w:val="center"/>
              <w:rPr>
                <w:rFonts w:hint="default"/>
                <w:lang w:val="en-US" w:eastAsia="zh-CN"/>
              </w:rPr>
            </w:pPr>
            <w:r>
              <w:rPr>
                <w:rFonts w:hint="eastAsia"/>
                <w:lang w:val="en-US" w:eastAsia="zh-CN"/>
              </w:rPr>
              <w:t>1.93</w:t>
            </w:r>
          </w:p>
        </w:tc>
        <w:tc>
          <w:tcPr>
            <w:tcW w:w="870" w:type="dxa"/>
            <w:vAlign w:val="center"/>
          </w:tcPr>
          <w:p>
            <w:pPr>
              <w:spacing w:line="240" w:lineRule="auto"/>
              <w:jc w:val="center"/>
              <w:rPr>
                <w:rFonts w:hint="default"/>
                <w:lang w:val="en-US" w:eastAsia="zh-CN"/>
              </w:rPr>
            </w:pPr>
            <w:r>
              <w:rPr>
                <w:rFonts w:hint="eastAsia"/>
                <w:lang w:val="en-US" w:eastAsia="zh-CN"/>
              </w:rPr>
              <w:t>1.85</w:t>
            </w:r>
          </w:p>
        </w:tc>
        <w:tc>
          <w:tcPr>
            <w:tcW w:w="945" w:type="dxa"/>
            <w:vAlign w:val="center"/>
          </w:tcPr>
          <w:p>
            <w:pPr>
              <w:spacing w:line="240" w:lineRule="auto"/>
              <w:jc w:val="center"/>
              <w:rPr>
                <w:rFonts w:hint="default"/>
                <w:lang w:val="en-US" w:eastAsia="zh-CN"/>
              </w:rPr>
            </w:pPr>
            <w:r>
              <w:rPr>
                <w:rFonts w:hint="eastAsia"/>
                <w:lang w:val="en-US" w:eastAsia="zh-CN"/>
              </w:rPr>
              <w:t>0.25</w:t>
            </w:r>
          </w:p>
        </w:tc>
        <w:tc>
          <w:tcPr>
            <w:tcW w:w="979" w:type="dxa"/>
            <w:vAlign w:val="center"/>
          </w:tcPr>
          <w:p>
            <w:pPr>
              <w:spacing w:line="240" w:lineRule="auto"/>
              <w:jc w:val="center"/>
              <w:rPr>
                <w:rFonts w:hint="default"/>
                <w:lang w:val="en-US" w:eastAsia="zh-CN"/>
              </w:rPr>
            </w:pPr>
            <w:r>
              <w:rPr>
                <w:rFonts w:hint="eastAsia"/>
                <w:lang w:val="en-US" w:eastAsia="zh-CN"/>
              </w:rPr>
              <w:t>0.12</w:t>
            </w:r>
          </w:p>
        </w:tc>
        <w:tc>
          <w:tcPr>
            <w:tcW w:w="806" w:type="dxa"/>
            <w:vAlign w:val="center"/>
          </w:tcPr>
          <w:p>
            <w:pPr>
              <w:spacing w:line="240" w:lineRule="auto"/>
              <w:jc w:val="center"/>
              <w:rPr>
                <w:rFonts w:hint="default"/>
                <w:lang w:val="en-US" w:eastAsia="zh-CN"/>
              </w:rPr>
            </w:pPr>
            <w:r>
              <w:rPr>
                <w:rFonts w:hint="eastAsia"/>
                <w:lang w:val="en-US" w:eastAsia="zh-CN"/>
              </w:rPr>
              <w:t>0.02</w:t>
            </w:r>
          </w:p>
        </w:tc>
        <w:tc>
          <w:tcPr>
            <w:tcW w:w="810" w:type="dxa"/>
            <w:vAlign w:val="center"/>
          </w:tcPr>
          <w:p>
            <w:pPr>
              <w:spacing w:line="240" w:lineRule="auto"/>
              <w:jc w:val="center"/>
              <w:rPr>
                <w:rFonts w:hint="default"/>
                <w:lang w:val="en-US" w:eastAsia="zh-CN"/>
              </w:rPr>
            </w:pPr>
            <w:r>
              <w:rPr>
                <w:rFonts w:hint="eastAsia"/>
                <w:lang w:val="en-US" w:eastAsia="zh-CN"/>
              </w:rPr>
              <w:t>0.06</w:t>
            </w:r>
          </w:p>
        </w:tc>
        <w:tc>
          <w:tcPr>
            <w:tcW w:w="705" w:type="dxa"/>
            <w:gridSpan w:val="2"/>
            <w:vAlign w:val="center"/>
          </w:tcPr>
          <w:p>
            <w:pPr>
              <w:spacing w:line="240" w:lineRule="auto"/>
              <w:jc w:val="center"/>
              <w:rPr>
                <w:rFonts w:hint="default"/>
                <w:lang w:val="en-US" w:eastAsia="zh-CN"/>
              </w:rPr>
            </w:pPr>
            <w:r>
              <w:rPr>
                <w:rFonts w:hint="eastAsia"/>
                <w:lang w:val="en-US" w:eastAsia="zh-CN"/>
              </w:rPr>
              <w:t>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2668" w:type="dxa"/>
            <w:gridSpan w:val="2"/>
            <w:vAlign w:val="center"/>
          </w:tcPr>
          <w:p>
            <w:pPr>
              <w:spacing w:line="240" w:lineRule="auto"/>
              <w:jc w:val="center"/>
              <w:rPr>
                <w:rFonts w:hint="eastAsia"/>
                <w:lang w:eastAsia="zh-CN"/>
              </w:rPr>
            </w:pPr>
            <w:r>
              <w:rPr>
                <w:rFonts w:hint="eastAsia"/>
                <w:lang w:eastAsia="zh-CN"/>
              </w:rPr>
              <w:t>排放标准</w:t>
            </w:r>
          </w:p>
        </w:tc>
        <w:tc>
          <w:tcPr>
            <w:tcW w:w="915" w:type="dxa"/>
            <w:vAlign w:val="center"/>
          </w:tcPr>
          <w:p>
            <w:pPr>
              <w:spacing w:line="240" w:lineRule="auto"/>
              <w:jc w:val="center"/>
              <w:rPr>
                <w:rFonts w:hint="default"/>
                <w:lang w:val="en-US" w:eastAsia="zh-CN"/>
              </w:rPr>
            </w:pPr>
            <w:r>
              <w:rPr>
                <w:rFonts w:hint="eastAsia"/>
                <w:lang w:val="en-US" w:eastAsia="zh-CN"/>
              </w:rPr>
              <w:t>500</w:t>
            </w:r>
          </w:p>
        </w:tc>
        <w:tc>
          <w:tcPr>
            <w:tcW w:w="885" w:type="dxa"/>
            <w:vAlign w:val="center"/>
          </w:tcPr>
          <w:p>
            <w:pPr>
              <w:spacing w:line="240" w:lineRule="auto"/>
              <w:jc w:val="center"/>
              <w:rPr>
                <w:rFonts w:hint="default"/>
                <w:lang w:val="en-US" w:eastAsia="zh-CN"/>
              </w:rPr>
            </w:pPr>
            <w:r>
              <w:rPr>
                <w:rFonts w:hint="eastAsia"/>
                <w:lang w:val="en-US" w:eastAsia="zh-CN"/>
              </w:rPr>
              <w:t>300</w:t>
            </w:r>
          </w:p>
        </w:tc>
        <w:tc>
          <w:tcPr>
            <w:tcW w:w="870" w:type="dxa"/>
            <w:vAlign w:val="center"/>
          </w:tcPr>
          <w:p>
            <w:pPr>
              <w:spacing w:line="240" w:lineRule="auto"/>
              <w:jc w:val="center"/>
              <w:rPr>
                <w:rFonts w:hint="default"/>
                <w:lang w:val="en-US" w:eastAsia="zh-CN"/>
              </w:rPr>
            </w:pPr>
            <w:r>
              <w:rPr>
                <w:rFonts w:hint="eastAsia"/>
                <w:lang w:val="en-US" w:eastAsia="zh-CN"/>
              </w:rPr>
              <w:t>400</w:t>
            </w:r>
          </w:p>
        </w:tc>
        <w:tc>
          <w:tcPr>
            <w:tcW w:w="945" w:type="dxa"/>
            <w:vAlign w:val="center"/>
          </w:tcPr>
          <w:p>
            <w:pPr>
              <w:spacing w:line="240" w:lineRule="auto"/>
              <w:jc w:val="center"/>
              <w:rPr>
                <w:rFonts w:hint="default"/>
                <w:lang w:val="en-US" w:eastAsia="zh-CN"/>
              </w:rPr>
            </w:pPr>
            <w:r>
              <w:rPr>
                <w:rFonts w:hint="eastAsia"/>
                <w:lang w:val="en-US" w:eastAsia="zh-CN"/>
              </w:rPr>
              <w:t>45</w:t>
            </w:r>
          </w:p>
        </w:tc>
        <w:tc>
          <w:tcPr>
            <w:tcW w:w="979" w:type="dxa"/>
            <w:vAlign w:val="center"/>
          </w:tcPr>
          <w:p>
            <w:pPr>
              <w:spacing w:line="240" w:lineRule="auto"/>
              <w:jc w:val="center"/>
              <w:rPr>
                <w:rFonts w:hint="default"/>
                <w:lang w:val="en-US" w:eastAsia="zh-CN"/>
              </w:rPr>
            </w:pPr>
            <w:r>
              <w:rPr>
                <w:rFonts w:hint="eastAsia"/>
                <w:lang w:val="en-US" w:eastAsia="zh-CN"/>
              </w:rPr>
              <w:t>100</w:t>
            </w:r>
          </w:p>
        </w:tc>
        <w:tc>
          <w:tcPr>
            <w:tcW w:w="806" w:type="dxa"/>
            <w:vAlign w:val="center"/>
          </w:tcPr>
          <w:p>
            <w:pPr>
              <w:spacing w:line="240" w:lineRule="auto"/>
              <w:jc w:val="center"/>
              <w:rPr>
                <w:rFonts w:hint="default"/>
                <w:lang w:val="en-US" w:eastAsia="zh-CN"/>
              </w:rPr>
            </w:pPr>
            <w:r>
              <w:rPr>
                <w:rFonts w:hint="eastAsia"/>
                <w:lang w:val="en-US" w:eastAsia="zh-CN"/>
              </w:rPr>
              <w:t>8</w:t>
            </w:r>
          </w:p>
        </w:tc>
        <w:tc>
          <w:tcPr>
            <w:tcW w:w="810" w:type="dxa"/>
            <w:vAlign w:val="center"/>
          </w:tcPr>
          <w:p>
            <w:pPr>
              <w:spacing w:line="240" w:lineRule="auto"/>
              <w:jc w:val="center"/>
              <w:rPr>
                <w:rFonts w:hint="default"/>
                <w:lang w:val="en-US" w:eastAsia="zh-CN"/>
              </w:rPr>
            </w:pPr>
            <w:r>
              <w:rPr>
                <w:rFonts w:hint="eastAsia"/>
                <w:lang w:val="en-US" w:eastAsia="zh-CN"/>
              </w:rPr>
              <w:t>20</w:t>
            </w:r>
          </w:p>
        </w:tc>
        <w:tc>
          <w:tcPr>
            <w:tcW w:w="705" w:type="dxa"/>
            <w:gridSpan w:val="2"/>
            <w:vAlign w:val="center"/>
          </w:tcPr>
          <w:p>
            <w:pPr>
              <w:spacing w:line="240" w:lineRule="auto"/>
              <w:jc w:val="center"/>
              <w:rPr>
                <w:rFonts w:hint="default"/>
                <w:lang w:val="en-US" w:eastAsia="zh-CN"/>
              </w:rPr>
            </w:pPr>
            <w:r>
              <w:rPr>
                <w:rFonts w:hint="eastAsia"/>
                <w:lang w:val="en-US" w:eastAsia="zh-CN"/>
              </w:rPr>
              <w:t>70倍</w:t>
            </w:r>
          </w:p>
        </w:tc>
      </w:tr>
    </w:tbl>
    <w:p>
      <w:pPr>
        <w:pageBreakBefore w:val="0"/>
        <w:widowControl/>
        <w:kinsoku/>
        <w:wordWrap/>
        <w:overflowPunct/>
        <w:topLinePunct w:val="0"/>
        <w:autoSpaceDE/>
        <w:autoSpaceDN/>
        <w:bidi w:val="0"/>
        <w:adjustRightInd w:val="0"/>
        <w:snapToGrid w:val="0"/>
        <w:spacing w:line="360" w:lineRule="auto"/>
        <w:ind w:firstLine="480" w:firstLineChars="200"/>
        <w:textAlignment w:val="auto"/>
        <w:rPr>
          <w:b/>
          <w:sz w:val="24"/>
          <w:szCs w:val="24"/>
        </w:rPr>
      </w:pPr>
      <w:r>
        <w:rPr>
          <w:sz w:val="24"/>
          <w:szCs w:val="24"/>
        </w:rPr>
        <w:t>根据上述分析可知，</w:t>
      </w:r>
      <w:r>
        <w:rPr>
          <w:rFonts w:hint="eastAsia"/>
          <w:sz w:val="24"/>
          <w:szCs w:val="24"/>
          <w:lang w:eastAsia="zh-CN"/>
        </w:rPr>
        <w:t>外排</w:t>
      </w:r>
      <w:r>
        <w:rPr>
          <w:rFonts w:hint="eastAsia"/>
          <w:sz w:val="24"/>
          <w:szCs w:val="24"/>
        </w:rPr>
        <w:t>废水</w:t>
      </w:r>
      <w:r>
        <w:rPr>
          <w:sz w:val="24"/>
          <w:szCs w:val="24"/>
        </w:rPr>
        <w:t>达到</w:t>
      </w:r>
      <w:r>
        <w:rPr>
          <w:rFonts w:hint="default" w:ascii="Times New Roman" w:hAnsi="Times New Roman" w:cs="Times New Roman"/>
          <w:color w:val="auto"/>
          <w:kern w:val="0"/>
          <w:sz w:val="24"/>
        </w:rPr>
        <w:t>《污水综合排放标准》（GB8978-1996）表4中三级标准，其中</w:t>
      </w:r>
      <w:r>
        <w:rPr>
          <w:rFonts w:hint="eastAsia" w:cs="Times New Roman"/>
          <w:color w:val="auto"/>
          <w:kern w:val="0"/>
          <w:sz w:val="24"/>
          <w:lang w:eastAsia="zh-CN"/>
        </w:rPr>
        <w:t>色度、总磷以及</w:t>
      </w:r>
      <w:r>
        <w:rPr>
          <w:rFonts w:hint="default" w:ascii="Times New Roman" w:hAnsi="Times New Roman" w:cs="Times New Roman"/>
          <w:color w:val="auto"/>
          <w:kern w:val="0"/>
          <w:sz w:val="24"/>
        </w:rPr>
        <w:t>氨氮</w:t>
      </w:r>
      <w:r>
        <w:rPr>
          <w:rFonts w:hint="eastAsia" w:ascii="Times New Roman" w:hAnsi="Times New Roman" w:cs="Times New Roman"/>
          <w:color w:val="auto"/>
          <w:kern w:val="0"/>
          <w:sz w:val="24"/>
          <w:lang w:eastAsia="zh-CN"/>
        </w:rPr>
        <w:t>达到</w:t>
      </w:r>
      <w:r>
        <w:rPr>
          <w:rFonts w:hint="default" w:ascii="Times New Roman" w:hAnsi="Times New Roman" w:cs="Times New Roman"/>
          <w:color w:val="auto"/>
          <w:kern w:val="0"/>
          <w:sz w:val="24"/>
        </w:rPr>
        <w:t>《污水排入城镇下水道水质标准》（GB/T 31962-2015）中B等级标准</w:t>
      </w:r>
      <w:r>
        <w:rPr>
          <w:rFonts w:hint="eastAsia"/>
          <w:sz w:val="24"/>
          <w:szCs w:val="24"/>
        </w:rPr>
        <w:t>。</w:t>
      </w:r>
    </w:p>
    <w:p>
      <w:pPr>
        <w:pageBreakBefore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sz w:val="24"/>
          <w:szCs w:val="24"/>
        </w:rPr>
        <w:t>（2）接入</w:t>
      </w:r>
      <w:r>
        <w:rPr>
          <w:rFonts w:hint="eastAsia"/>
          <w:sz w:val="24"/>
          <w:szCs w:val="24"/>
          <w:lang w:eastAsia="zh-CN"/>
        </w:rPr>
        <w:t>城北污</w:t>
      </w:r>
      <w:r>
        <w:rPr>
          <w:sz w:val="24"/>
          <w:szCs w:val="24"/>
        </w:rPr>
        <w:t>水处理厂可行性</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24"/>
        </w:rPr>
      </w:pPr>
      <w:r>
        <w:rPr>
          <w:rFonts w:hint="eastAsia"/>
          <w:sz w:val="24"/>
          <w:szCs w:val="24"/>
        </w:rPr>
        <w:t>六安城北污水处理厂位于六安市城区北郊九里沟，采用的是二级生化改良氧化沟工艺，设计规模为日处理污水8万吨。目前污水处理厂已建成运行，服务范围包括六安市老城区、城中区、城南等区域的工业废水和生活污水，收水面积26.81</w:t>
      </w:r>
      <w:r>
        <w:rPr>
          <w:rFonts w:hint="eastAsia"/>
          <w:sz w:val="24"/>
          <w:szCs w:val="24"/>
          <w:lang w:val="en-US" w:eastAsia="zh-CN"/>
        </w:rPr>
        <w:t>k</w:t>
      </w:r>
      <w:r>
        <w:rPr>
          <w:rFonts w:hint="eastAsia"/>
          <w:sz w:val="24"/>
          <w:szCs w:val="24"/>
        </w:rPr>
        <w:t>m</w:t>
      </w:r>
      <w:r>
        <w:rPr>
          <w:rFonts w:hint="eastAsia"/>
          <w:sz w:val="24"/>
          <w:szCs w:val="24"/>
          <w:vertAlign w:val="superscript"/>
        </w:rPr>
        <w:t>2</w:t>
      </w:r>
      <w:r>
        <w:rPr>
          <w:rFonts w:hint="eastAsia"/>
          <w:sz w:val="24"/>
          <w:szCs w:val="24"/>
        </w:rPr>
        <w:t>，服务区域人口约30万人。通过一系列的生物处理、深度处理工艺，出水水质要求达到《城镇污水处理厂污染物排放标准》中的一级A标准后汇入淠河。</w:t>
      </w:r>
    </w:p>
    <w:p>
      <w:pPr>
        <w:pageBreakBefore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sz w:val="24"/>
          <w:szCs w:val="24"/>
        </w:rPr>
        <w:t>本项目废水主要污染因子为COD、BOD</w:t>
      </w:r>
      <w:r>
        <w:rPr>
          <w:sz w:val="24"/>
          <w:szCs w:val="24"/>
          <w:vertAlign w:val="subscript"/>
        </w:rPr>
        <w:t>5</w:t>
      </w:r>
      <w:r>
        <w:rPr>
          <w:sz w:val="24"/>
          <w:szCs w:val="24"/>
        </w:rPr>
        <w:t>、SS、NH</w:t>
      </w:r>
      <w:r>
        <w:rPr>
          <w:sz w:val="24"/>
          <w:szCs w:val="24"/>
          <w:vertAlign w:val="subscript"/>
        </w:rPr>
        <w:t>3</w:t>
      </w:r>
      <w:r>
        <w:rPr>
          <w:sz w:val="24"/>
          <w:szCs w:val="24"/>
        </w:rPr>
        <w:t>-N、动植物油</w:t>
      </w:r>
      <w:r>
        <w:rPr>
          <w:rFonts w:hint="eastAsia"/>
          <w:sz w:val="24"/>
          <w:szCs w:val="24"/>
          <w:lang w:eastAsia="zh-CN"/>
        </w:rPr>
        <w:t>、</w:t>
      </w:r>
      <w:r>
        <w:rPr>
          <w:rFonts w:hint="eastAsia"/>
          <w:sz w:val="24"/>
          <w:szCs w:val="24"/>
          <w:lang w:val="en-US" w:eastAsia="zh-CN"/>
        </w:rPr>
        <w:t>LAS、TP</w:t>
      </w:r>
      <w:r>
        <w:rPr>
          <w:sz w:val="24"/>
          <w:szCs w:val="24"/>
        </w:rPr>
        <w:t>，水质较为单一，无重金属和有毒有害污染物，根据工程分析，废水经自建的污水处理设施处理后能够达到污水处理厂的进水水质要求。</w:t>
      </w:r>
    </w:p>
    <w:p>
      <w:pPr>
        <w:pageBreakBefore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sz w:val="24"/>
          <w:szCs w:val="24"/>
        </w:rPr>
        <w:t>项目废水排放量为</w:t>
      </w:r>
      <w:r>
        <w:rPr>
          <w:rFonts w:hint="eastAsia"/>
          <w:sz w:val="24"/>
          <w:szCs w:val="24"/>
          <w:lang w:val="en-US" w:eastAsia="zh-CN"/>
        </w:rPr>
        <w:t>32.7</w:t>
      </w:r>
      <w:r>
        <w:rPr>
          <w:sz w:val="24"/>
          <w:szCs w:val="24"/>
        </w:rPr>
        <w:t>m</w:t>
      </w:r>
      <w:r>
        <w:rPr>
          <w:sz w:val="24"/>
          <w:szCs w:val="24"/>
          <w:vertAlign w:val="superscript"/>
        </w:rPr>
        <w:t>3</w:t>
      </w:r>
      <w:r>
        <w:rPr>
          <w:sz w:val="24"/>
          <w:szCs w:val="24"/>
        </w:rPr>
        <w:t>/d，</w:t>
      </w:r>
      <w:r>
        <w:rPr>
          <w:rFonts w:hint="eastAsia"/>
          <w:sz w:val="24"/>
          <w:szCs w:val="24"/>
          <w:lang w:eastAsia="zh-CN"/>
        </w:rPr>
        <w:t>占城北</w:t>
      </w:r>
      <w:r>
        <w:rPr>
          <w:sz w:val="24"/>
          <w:szCs w:val="24"/>
        </w:rPr>
        <w:t>水处理厂污水处理规模</w:t>
      </w:r>
      <w:r>
        <w:rPr>
          <w:rFonts w:hint="eastAsia"/>
          <w:sz w:val="24"/>
          <w:szCs w:val="24"/>
          <w:lang w:val="en-US" w:eastAsia="zh-CN"/>
        </w:rPr>
        <w:t>80</w:t>
      </w:r>
      <w:r>
        <w:rPr>
          <w:rFonts w:hint="eastAsia"/>
          <w:sz w:val="24"/>
          <w:szCs w:val="24"/>
        </w:rPr>
        <w:t>000</w:t>
      </w:r>
      <w:r>
        <w:rPr>
          <w:sz w:val="24"/>
          <w:szCs w:val="24"/>
        </w:rPr>
        <w:t>m</w:t>
      </w:r>
      <w:r>
        <w:rPr>
          <w:sz w:val="24"/>
          <w:szCs w:val="24"/>
          <w:vertAlign w:val="superscript"/>
        </w:rPr>
        <w:t>3</w:t>
      </w:r>
      <w:r>
        <w:rPr>
          <w:sz w:val="24"/>
          <w:szCs w:val="24"/>
        </w:rPr>
        <w:t>/d 的</w:t>
      </w:r>
      <w:r>
        <w:rPr>
          <w:rFonts w:hint="eastAsia"/>
          <w:sz w:val="24"/>
          <w:szCs w:val="24"/>
          <w:lang w:val="en-US" w:eastAsia="zh-CN"/>
        </w:rPr>
        <w:t>0.04</w:t>
      </w:r>
      <w:r>
        <w:rPr>
          <w:sz w:val="24"/>
          <w:szCs w:val="24"/>
        </w:rPr>
        <w:t>%，项目废水产生量占污水处理厂处理总量较小，不会对污水处理厂正常运行造成影响。</w:t>
      </w:r>
    </w:p>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废水排放要求</w:t>
      </w:r>
    </w:p>
    <w:p>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sz w:val="24"/>
          <w:szCs w:val="24"/>
        </w:rPr>
        <w:t>项目废水经处理达到</w:t>
      </w:r>
      <w:r>
        <w:rPr>
          <w:rFonts w:hint="default" w:ascii="Times New Roman" w:hAnsi="Times New Roman" w:cs="Times New Roman"/>
          <w:color w:val="auto"/>
          <w:kern w:val="0"/>
          <w:sz w:val="24"/>
        </w:rPr>
        <w:t>《污水综合排放标准》（GB8978-1996）表4中三级标准，其中</w:t>
      </w:r>
      <w:r>
        <w:rPr>
          <w:rFonts w:hint="eastAsia" w:cs="Times New Roman"/>
          <w:color w:val="auto"/>
          <w:kern w:val="0"/>
          <w:sz w:val="24"/>
          <w:lang w:eastAsia="zh-CN"/>
        </w:rPr>
        <w:t>总磷和</w:t>
      </w:r>
      <w:r>
        <w:rPr>
          <w:rFonts w:hint="default" w:ascii="Times New Roman" w:hAnsi="Times New Roman" w:cs="Times New Roman"/>
          <w:color w:val="auto"/>
          <w:kern w:val="0"/>
          <w:sz w:val="24"/>
        </w:rPr>
        <w:t>氨氮参照执行《污水排入城镇下水道水质标准》（GB/T 31962-2015）中B等级标准，纳入</w:t>
      </w:r>
      <w:r>
        <w:rPr>
          <w:rFonts w:hint="eastAsia" w:ascii="Times New Roman" w:hAnsi="Times New Roman" w:eastAsia="宋体" w:cs="Times New Roman"/>
          <w:color w:val="auto"/>
          <w:kern w:val="0"/>
          <w:sz w:val="24"/>
          <w:lang w:eastAsia="zh-CN"/>
        </w:rPr>
        <w:t>城北</w:t>
      </w:r>
      <w:r>
        <w:rPr>
          <w:rFonts w:hint="default" w:ascii="Times New Roman" w:hAnsi="Times New Roman" w:cs="Times New Roman"/>
          <w:color w:val="auto"/>
          <w:kern w:val="0"/>
          <w:sz w:val="24"/>
        </w:rPr>
        <w:t>污水处理厂处理</w:t>
      </w:r>
      <w:r>
        <w:rPr>
          <w:rFonts w:hint="eastAsia" w:ascii="Times New Roman" w:hAnsi="Times New Roman" w:eastAsia="宋体" w:cs="Times New Roman"/>
          <w:color w:val="auto"/>
          <w:kern w:val="0"/>
          <w:sz w:val="24"/>
          <w:lang w:eastAsia="zh-CN"/>
        </w:rPr>
        <w:t>达标后排入淠河</w:t>
      </w:r>
      <w:r>
        <w:rPr>
          <w:rFonts w:hint="eastAsia" w:ascii="Times New Roman" w:hAnsi="Times New Roman" w:cs="Times New Roman"/>
          <w:color w:val="auto"/>
          <w:kern w:val="0"/>
          <w:sz w:val="24"/>
          <w:lang w:eastAsia="zh-CN"/>
        </w:rPr>
        <w:t>。</w:t>
      </w:r>
    </w:p>
    <w:p>
      <w:pPr>
        <w:pageBreakBefore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sz w:val="24"/>
          <w:szCs w:val="24"/>
        </w:rPr>
        <w:t>综上，从环境角度及技术可行性等方面分析，本项目废水处理是可行的。</w:t>
      </w:r>
    </w:p>
    <w:p>
      <w:pPr>
        <w:pStyle w:val="7"/>
        <w:pageBreakBefore w:val="0"/>
        <w:kinsoku/>
        <w:wordWrap/>
        <w:overflowPunct/>
        <w:topLinePunct w:val="0"/>
        <w:autoSpaceDE/>
        <w:autoSpaceDN/>
        <w:bidi w:val="0"/>
        <w:adjustRightInd w:val="0"/>
        <w:snapToGrid w:val="0"/>
        <w:spacing w:line="360" w:lineRule="auto"/>
        <w:textAlignment w:val="auto"/>
        <w:rPr>
          <w:szCs w:val="24"/>
        </w:rPr>
      </w:pPr>
      <w:r>
        <w:rPr>
          <w:szCs w:val="24"/>
        </w:rPr>
        <w:t>6.2.2 地下水污染防治措施</w:t>
      </w:r>
    </w:p>
    <w:p>
      <w:pPr>
        <w:pageBreakBefore w:val="0"/>
        <w:kinsoku/>
        <w:wordWrap/>
        <w:overflowPunct/>
        <w:topLinePunct w:val="0"/>
        <w:autoSpaceDE/>
        <w:autoSpaceDN/>
        <w:bidi w:val="0"/>
        <w:adjustRightInd w:val="0"/>
        <w:snapToGrid w:val="0"/>
        <w:spacing w:line="360" w:lineRule="auto"/>
        <w:ind w:firstLine="470" w:firstLineChars="196"/>
        <w:textAlignment w:val="auto"/>
        <w:rPr>
          <w:sz w:val="24"/>
          <w:szCs w:val="24"/>
        </w:rPr>
      </w:pPr>
      <w:r>
        <w:rPr>
          <w:sz w:val="24"/>
          <w:szCs w:val="24"/>
        </w:rPr>
        <w:t>（1）防渗原则</w:t>
      </w:r>
    </w:p>
    <w:p>
      <w:pPr>
        <w:pageBreakBefore w:val="0"/>
        <w:kinsoku/>
        <w:wordWrap/>
        <w:overflowPunct/>
        <w:topLinePunct w:val="0"/>
        <w:autoSpaceDE/>
        <w:autoSpaceDN/>
        <w:bidi w:val="0"/>
        <w:adjustRightInd w:val="0"/>
        <w:snapToGrid w:val="0"/>
        <w:spacing w:line="360" w:lineRule="auto"/>
        <w:ind w:firstLine="360" w:firstLineChars="150"/>
        <w:textAlignment w:val="auto"/>
        <w:rPr>
          <w:sz w:val="24"/>
          <w:szCs w:val="24"/>
        </w:rPr>
      </w:pPr>
      <w:r>
        <w:rPr>
          <w:sz w:val="24"/>
          <w:szCs w:val="24"/>
        </w:rPr>
        <w:t>地下水污染防治措施坚持“源头控制、末端防治、污染监控、应急响应”相结合的原则，即采取主动控制和被动控制相结合的措施。</w:t>
      </w:r>
    </w:p>
    <w:p>
      <w:pPr>
        <w:pageBreakBefore w:val="0"/>
        <w:kinsoku/>
        <w:wordWrap/>
        <w:overflowPunct/>
        <w:topLinePunct w:val="0"/>
        <w:autoSpaceDE/>
        <w:autoSpaceDN/>
        <w:bidi w:val="0"/>
        <w:adjustRightInd w:val="0"/>
        <w:snapToGrid w:val="0"/>
        <w:spacing w:line="360" w:lineRule="auto"/>
        <w:ind w:firstLine="600" w:firstLineChars="250"/>
        <w:textAlignment w:val="auto"/>
        <w:rPr>
          <w:sz w:val="24"/>
          <w:szCs w:val="24"/>
        </w:rPr>
      </w:pPr>
      <w:r>
        <w:rPr>
          <w:sz w:val="24"/>
          <w:szCs w:val="24"/>
        </w:rPr>
        <w:t>① 主动控制，即从源头控制措施，主要包括在工艺、管道、设备、污水储存及处理构筑物采取相应措施，防止和降低污染物跑、冒、滴、漏，将污染物泄漏的环境风险事故降到最低程度</w:t>
      </w:r>
      <w:r>
        <w:rPr>
          <w:rFonts w:hint="eastAsia"/>
          <w:sz w:val="24"/>
          <w:szCs w:val="24"/>
        </w:rPr>
        <w:t>。</w:t>
      </w:r>
    </w:p>
    <w:p>
      <w:pPr>
        <w:pageBreakBefore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sz w:val="24"/>
          <w:szCs w:val="24"/>
        </w:rPr>
        <w:t>② 被动控制，即末端控制措施，主要包括厂内污染区地面的防渗措施和泄漏、渗漏污染物收集措施，即在污染区地面进行防渗处理，防止洒落地面的污染物渗入地下，并把滞留在地面的污染物收集起来。</w:t>
      </w:r>
    </w:p>
    <w:p>
      <w:pPr>
        <w:ind w:firstLine="480" w:firstLineChars="200"/>
        <w:rPr>
          <w:sz w:val="24"/>
          <w:szCs w:val="24"/>
        </w:rPr>
      </w:pPr>
      <w:r>
        <w:rPr>
          <w:sz w:val="24"/>
          <w:szCs w:val="24"/>
        </w:rPr>
        <w:t>③ 应急响应措施，包括一旦发现地下水污染事故，立即启动应急预案、采取应急措施控制地下水污染，并使污染得到治理。</w:t>
      </w:r>
    </w:p>
    <w:p>
      <w:pPr>
        <w:ind w:firstLine="480" w:firstLineChars="200"/>
        <w:rPr>
          <w:sz w:val="24"/>
          <w:szCs w:val="24"/>
        </w:rPr>
      </w:pPr>
      <w:r>
        <w:rPr>
          <w:sz w:val="24"/>
          <w:szCs w:val="24"/>
        </w:rPr>
        <w:t>④ 各污染区防渗设计采取地上污染地上防治设计原则，严防污水下渗污染地下水。</w:t>
      </w:r>
    </w:p>
    <w:p>
      <w:pPr>
        <w:ind w:firstLine="472" w:firstLineChars="197"/>
        <w:rPr>
          <w:sz w:val="24"/>
          <w:szCs w:val="24"/>
        </w:rPr>
      </w:pPr>
      <w:r>
        <w:rPr>
          <w:sz w:val="24"/>
          <w:szCs w:val="24"/>
        </w:rPr>
        <w:t>（2）地下水污染控制措施</w:t>
      </w:r>
    </w:p>
    <w:p>
      <w:pPr>
        <w:ind w:firstLine="480" w:firstLineChars="200"/>
        <w:rPr>
          <w:sz w:val="24"/>
          <w:szCs w:val="24"/>
        </w:rPr>
      </w:pPr>
      <w:r>
        <w:rPr>
          <w:sz w:val="24"/>
          <w:szCs w:val="24"/>
        </w:rPr>
        <w:t>为了防止本项目的建设对地下水造成污染，从原料产品储存、装卸、运输、生产过程、污染处理设施等全过程进行控制，同时对有害物质可能泄漏到地面的区域采取防渗措施，阻止其渗入地下水中，即从源头到末端全方位采取控制措施。</w:t>
      </w:r>
    </w:p>
    <w:p>
      <w:pPr>
        <w:ind w:firstLine="480" w:firstLineChars="200"/>
        <w:rPr>
          <w:sz w:val="24"/>
          <w:szCs w:val="24"/>
        </w:rPr>
      </w:pPr>
      <w:r>
        <w:rPr>
          <w:sz w:val="24"/>
          <w:szCs w:val="24"/>
        </w:rPr>
        <w:t>具体措施如下：</w:t>
      </w:r>
    </w:p>
    <w:p>
      <w:pPr>
        <w:ind w:firstLine="480" w:firstLineChars="200"/>
        <w:rPr>
          <w:sz w:val="24"/>
          <w:szCs w:val="24"/>
        </w:rPr>
      </w:pPr>
      <w:r>
        <w:rPr>
          <w:sz w:val="24"/>
          <w:szCs w:val="24"/>
        </w:rPr>
        <w:t>A所有排水的构筑物均按分区进行防渗处理；</w:t>
      </w:r>
    </w:p>
    <w:p>
      <w:pPr>
        <w:ind w:firstLine="480" w:firstLineChars="200"/>
        <w:rPr>
          <w:sz w:val="24"/>
          <w:szCs w:val="24"/>
        </w:rPr>
      </w:pPr>
      <w:r>
        <w:rPr>
          <w:sz w:val="24"/>
          <w:szCs w:val="24"/>
        </w:rPr>
        <w:t>B要求本项目在设计上污水管线采用强度高、耐腐蚀程度大的管道材料和高等级防腐材料，并设置排水系统等措施，将渗漏污染降低到最小程度；</w:t>
      </w:r>
    </w:p>
    <w:p>
      <w:pPr>
        <w:ind w:firstLine="480" w:firstLineChars="200"/>
        <w:rPr>
          <w:sz w:val="24"/>
          <w:szCs w:val="24"/>
        </w:rPr>
      </w:pPr>
      <w:r>
        <w:rPr>
          <w:sz w:val="24"/>
          <w:szCs w:val="24"/>
        </w:rPr>
        <w:t>选用管材规格时，应充分考虑能承受一定的土方压力。作为防腐地埋管可以选用钢塑管，也可选用加强型纯塑料管。钢塑管是钢管内衬塑料，它本身能承受较高的土方压力，但在施工中管材外表面以及法兰螺栓等必须采用沥青涂料等作防腐处理。加强型纯塑管也能承受一定的土方压力，具有较好的内外抗蚀性，但埋地时要注意防止带有锐面的硬物与之接触，尤其是在夯实土壤时，避免受到硬物的伤害。</w:t>
      </w:r>
    </w:p>
    <w:p>
      <w:pPr>
        <w:ind w:firstLine="480" w:firstLineChars="200"/>
        <w:rPr>
          <w:sz w:val="24"/>
          <w:szCs w:val="24"/>
        </w:rPr>
      </w:pPr>
      <w:r>
        <w:rPr>
          <w:sz w:val="24"/>
          <w:szCs w:val="24"/>
        </w:rPr>
        <w:t>C</w:t>
      </w:r>
      <w:r>
        <w:rPr>
          <w:rFonts w:hint="eastAsia"/>
          <w:sz w:val="24"/>
          <w:szCs w:val="24"/>
        </w:rPr>
        <w:t>屠宰车间和</w:t>
      </w:r>
      <w:r>
        <w:rPr>
          <w:sz w:val="24"/>
          <w:szCs w:val="24"/>
        </w:rPr>
        <w:t>污水处理设施所在区域全部按照重点防渗区进行防渗处理。车间地面采用抗渗钢筋混凝土浇注地面底板，重点防渗区地面上采用三布五油工艺进行防渗和防腐，</w:t>
      </w:r>
      <w:r>
        <w:rPr>
          <w:rFonts w:hint="eastAsia"/>
          <w:sz w:val="24"/>
          <w:szCs w:val="24"/>
        </w:rPr>
        <w:t>污水处理站</w:t>
      </w:r>
      <w:r>
        <w:rPr>
          <w:sz w:val="24"/>
          <w:szCs w:val="24"/>
        </w:rPr>
        <w:t>所在区域采用相应强度的抗渗钢筋混凝土浇注，内衬防腐和防渗处理。车间重点防渗区地面防渗系数不大于10</w:t>
      </w:r>
      <w:r>
        <w:rPr>
          <w:sz w:val="24"/>
          <w:szCs w:val="24"/>
          <w:vertAlign w:val="superscript"/>
        </w:rPr>
        <w:t>-10</w:t>
      </w:r>
      <w:r>
        <w:rPr>
          <w:sz w:val="24"/>
          <w:szCs w:val="24"/>
        </w:rPr>
        <w:t>cm/s，防渗层厚度不小于2mm。</w:t>
      </w:r>
    </w:p>
    <w:p>
      <w:pPr>
        <w:ind w:firstLine="480"/>
        <w:rPr>
          <w:sz w:val="24"/>
          <w:szCs w:val="24"/>
        </w:rPr>
      </w:pPr>
      <w:r>
        <w:rPr>
          <w:sz w:val="24"/>
          <w:szCs w:val="24"/>
        </w:rPr>
        <w:t>D应急响应措施</w:t>
      </w:r>
    </w:p>
    <w:p>
      <w:pPr>
        <w:ind w:firstLine="480"/>
        <w:rPr>
          <w:sz w:val="24"/>
          <w:szCs w:val="24"/>
        </w:rPr>
      </w:pPr>
      <w:r>
        <w:rPr>
          <w:sz w:val="24"/>
          <w:szCs w:val="24"/>
        </w:rPr>
        <w:t>企业应严格管理，加强巡检，定期对设备和输送管线进行检修维护，一旦发现泄漏应该及时处理，将污染物泄漏的环境风险事故降到最低；企业应制定并落实相应环境风险事故应急预案，一旦发生环境污染事故，应立即启动相应的风险应急预案。</w:t>
      </w:r>
    </w:p>
    <w:p>
      <w:pPr>
        <w:ind w:firstLine="480" w:firstLineChars="200"/>
        <w:rPr>
          <w:sz w:val="24"/>
        </w:rPr>
      </w:pPr>
      <w:r>
        <w:rPr>
          <w:sz w:val="24"/>
        </w:rPr>
        <w:t>（3）分区防治措施</w:t>
      </w:r>
    </w:p>
    <w:p>
      <w:pPr>
        <w:ind w:firstLine="480" w:firstLineChars="200"/>
        <w:rPr>
          <w:sz w:val="24"/>
          <w:szCs w:val="24"/>
        </w:rPr>
      </w:pPr>
      <w:r>
        <w:rPr>
          <w:sz w:val="24"/>
          <w:szCs w:val="24"/>
        </w:rPr>
        <w:t>在布置上严格区分污染区和非污染区，公用工程区、产品仓储区、办公区等划分为非污染区。污染区中又划分为一般污染防治区、重点污染防治区和简单污染防治区，污染小的生产装置区、装置区外管廊区划分为简单污染防治区，污染较大的生产装置区、装置区外管廊区划分为一般污染防治区；污水收集池、储存池、排污管线等区域划分为重点污染防治区。</w:t>
      </w:r>
    </w:p>
    <w:p>
      <w:pPr>
        <w:ind w:firstLine="480" w:firstLineChars="200"/>
        <w:rPr>
          <w:sz w:val="24"/>
        </w:rPr>
      </w:pPr>
      <w:r>
        <w:rPr>
          <w:sz w:val="24"/>
        </w:rPr>
        <w:t>根据以上划分，本项目拟采取以下分区防渗措施见表6.2-</w:t>
      </w:r>
      <w:r>
        <w:rPr>
          <w:rFonts w:hint="eastAsia"/>
          <w:sz w:val="24"/>
          <w:lang w:val="en-US" w:eastAsia="zh-CN"/>
        </w:rPr>
        <w:t>3</w:t>
      </w:r>
      <w:r>
        <w:rPr>
          <w:sz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sz w:val="24"/>
        </w:rPr>
      </w:pPr>
      <w:r>
        <w:rPr>
          <w:b/>
          <w:bCs/>
          <w:sz w:val="24"/>
          <w:szCs w:val="24"/>
        </w:rPr>
        <w:t>表6.2-</w:t>
      </w:r>
      <w:r>
        <w:rPr>
          <w:rFonts w:hint="eastAsia"/>
          <w:b/>
          <w:bCs/>
          <w:sz w:val="24"/>
          <w:szCs w:val="24"/>
          <w:lang w:val="en-US" w:eastAsia="zh-CN"/>
        </w:rPr>
        <w:t>3</w:t>
      </w:r>
      <w:r>
        <w:rPr>
          <w:b/>
          <w:bCs/>
          <w:sz w:val="24"/>
          <w:szCs w:val="24"/>
        </w:rPr>
        <w:t xml:space="preserve">  项目拟建设施防渗措施要求</w:t>
      </w:r>
    </w:p>
    <w:tbl>
      <w:tblPr>
        <w:tblStyle w:val="22"/>
        <w:tblW w:w="978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689"/>
        <w:gridCol w:w="1325"/>
        <w:gridCol w:w="1131"/>
        <w:gridCol w:w="1325"/>
        <w:gridCol w:w="3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661" w:type="dxa"/>
            <w:vAlign w:val="center"/>
          </w:tcPr>
          <w:p>
            <w:pPr>
              <w:autoSpaceDE w:val="0"/>
              <w:autoSpaceDN w:val="0"/>
              <w:spacing w:line="240" w:lineRule="auto"/>
              <w:jc w:val="center"/>
              <w:rPr>
                <w:bCs/>
              </w:rPr>
            </w:pPr>
            <w:r>
              <w:rPr>
                <w:bCs/>
              </w:rPr>
              <w:t>地点</w:t>
            </w:r>
          </w:p>
        </w:tc>
        <w:tc>
          <w:tcPr>
            <w:tcW w:w="689" w:type="dxa"/>
            <w:vAlign w:val="center"/>
          </w:tcPr>
          <w:p>
            <w:pPr>
              <w:autoSpaceDE w:val="0"/>
              <w:autoSpaceDN w:val="0"/>
              <w:spacing w:line="240" w:lineRule="auto"/>
              <w:jc w:val="center"/>
              <w:rPr>
                <w:bCs/>
              </w:rPr>
            </w:pPr>
            <w:r>
              <w:rPr>
                <w:bCs/>
              </w:rPr>
              <w:t>防渗分区</w:t>
            </w:r>
          </w:p>
        </w:tc>
        <w:tc>
          <w:tcPr>
            <w:tcW w:w="1325" w:type="dxa"/>
            <w:vAlign w:val="center"/>
          </w:tcPr>
          <w:p>
            <w:pPr>
              <w:autoSpaceDE w:val="0"/>
              <w:autoSpaceDN w:val="0"/>
              <w:spacing w:line="240" w:lineRule="auto"/>
              <w:jc w:val="center"/>
              <w:rPr>
                <w:bCs/>
              </w:rPr>
            </w:pPr>
            <w:r>
              <w:rPr>
                <w:bCs/>
              </w:rPr>
              <w:t>天然包气带防污性能</w:t>
            </w:r>
          </w:p>
        </w:tc>
        <w:tc>
          <w:tcPr>
            <w:tcW w:w="1131" w:type="dxa"/>
            <w:vAlign w:val="center"/>
          </w:tcPr>
          <w:p>
            <w:pPr>
              <w:autoSpaceDE w:val="0"/>
              <w:autoSpaceDN w:val="0"/>
              <w:spacing w:line="240" w:lineRule="auto"/>
              <w:jc w:val="center"/>
              <w:rPr>
                <w:bCs/>
              </w:rPr>
            </w:pPr>
            <w:r>
              <w:rPr>
                <w:bCs/>
              </w:rPr>
              <w:t>污染控制难易程度</w:t>
            </w:r>
          </w:p>
        </w:tc>
        <w:tc>
          <w:tcPr>
            <w:tcW w:w="1325" w:type="dxa"/>
            <w:vAlign w:val="center"/>
          </w:tcPr>
          <w:p>
            <w:pPr>
              <w:autoSpaceDE w:val="0"/>
              <w:autoSpaceDN w:val="0"/>
              <w:spacing w:line="240" w:lineRule="auto"/>
              <w:jc w:val="center"/>
              <w:rPr>
                <w:bCs/>
              </w:rPr>
            </w:pPr>
            <w:r>
              <w:rPr>
                <w:bCs/>
              </w:rPr>
              <w:t>污染物类型</w:t>
            </w:r>
          </w:p>
        </w:tc>
        <w:tc>
          <w:tcPr>
            <w:tcW w:w="3654" w:type="dxa"/>
            <w:vAlign w:val="center"/>
          </w:tcPr>
          <w:p>
            <w:pPr>
              <w:autoSpaceDE w:val="0"/>
              <w:autoSpaceDN w:val="0"/>
              <w:spacing w:line="240" w:lineRule="auto"/>
              <w:jc w:val="center"/>
              <w:rPr>
                <w:bCs/>
              </w:rPr>
            </w:pPr>
            <w:r>
              <w:rPr>
                <w:bCs/>
              </w:rPr>
              <w:t>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661" w:type="dxa"/>
            <w:vAlign w:val="center"/>
          </w:tcPr>
          <w:p>
            <w:pPr>
              <w:autoSpaceDE w:val="0"/>
              <w:autoSpaceDN w:val="0"/>
              <w:spacing w:line="240" w:lineRule="auto"/>
              <w:jc w:val="center"/>
              <w:rPr>
                <w:bCs/>
              </w:rPr>
            </w:pPr>
            <w:r>
              <w:rPr>
                <w:bCs/>
              </w:rPr>
              <w:t>公用工程区</w:t>
            </w:r>
          </w:p>
        </w:tc>
        <w:tc>
          <w:tcPr>
            <w:tcW w:w="689" w:type="dxa"/>
            <w:vAlign w:val="center"/>
          </w:tcPr>
          <w:p>
            <w:pPr>
              <w:autoSpaceDE w:val="0"/>
              <w:autoSpaceDN w:val="0"/>
              <w:spacing w:line="240" w:lineRule="auto"/>
              <w:jc w:val="center"/>
              <w:rPr>
                <w:bCs/>
              </w:rPr>
            </w:pPr>
            <w:r>
              <w:rPr>
                <w:bCs/>
              </w:rPr>
              <w:t>简单防渗区</w:t>
            </w:r>
          </w:p>
        </w:tc>
        <w:tc>
          <w:tcPr>
            <w:tcW w:w="1325" w:type="dxa"/>
            <w:vAlign w:val="center"/>
          </w:tcPr>
          <w:p>
            <w:pPr>
              <w:autoSpaceDE w:val="0"/>
              <w:autoSpaceDN w:val="0"/>
              <w:spacing w:line="240" w:lineRule="auto"/>
              <w:jc w:val="center"/>
              <w:rPr>
                <w:bCs/>
              </w:rPr>
            </w:pPr>
            <w:r>
              <w:rPr>
                <w:bCs/>
              </w:rPr>
              <w:t>中</w:t>
            </w:r>
          </w:p>
        </w:tc>
        <w:tc>
          <w:tcPr>
            <w:tcW w:w="1131" w:type="dxa"/>
            <w:vAlign w:val="center"/>
          </w:tcPr>
          <w:p>
            <w:pPr>
              <w:autoSpaceDE w:val="0"/>
              <w:autoSpaceDN w:val="0"/>
              <w:spacing w:line="240" w:lineRule="auto"/>
              <w:jc w:val="center"/>
              <w:rPr>
                <w:bCs/>
              </w:rPr>
            </w:pPr>
            <w:r>
              <w:rPr>
                <w:bCs/>
              </w:rPr>
              <w:t>易</w:t>
            </w:r>
          </w:p>
        </w:tc>
        <w:tc>
          <w:tcPr>
            <w:tcW w:w="1325" w:type="dxa"/>
            <w:vAlign w:val="center"/>
          </w:tcPr>
          <w:p>
            <w:pPr>
              <w:autoSpaceDE w:val="0"/>
              <w:autoSpaceDN w:val="0"/>
              <w:spacing w:line="240" w:lineRule="auto"/>
              <w:jc w:val="center"/>
              <w:rPr>
                <w:bCs/>
              </w:rPr>
            </w:pPr>
            <w:r>
              <w:rPr>
                <w:rFonts w:hint="eastAsia"/>
                <w:bCs/>
              </w:rPr>
              <w:t>其他类别</w:t>
            </w:r>
          </w:p>
        </w:tc>
        <w:tc>
          <w:tcPr>
            <w:tcW w:w="3654" w:type="dxa"/>
            <w:vAlign w:val="center"/>
          </w:tcPr>
          <w:p>
            <w:pPr>
              <w:autoSpaceDE w:val="0"/>
              <w:autoSpaceDN w:val="0"/>
              <w:spacing w:line="240" w:lineRule="auto"/>
              <w:jc w:val="center"/>
              <w:rPr>
                <w:bCs/>
              </w:rPr>
            </w:pPr>
            <w:r>
              <w:rPr>
                <w:bC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661" w:type="dxa"/>
            <w:vAlign w:val="center"/>
          </w:tcPr>
          <w:p>
            <w:pPr>
              <w:autoSpaceDE w:val="0"/>
              <w:autoSpaceDN w:val="0"/>
              <w:spacing w:line="240" w:lineRule="auto"/>
              <w:jc w:val="center"/>
              <w:rPr>
                <w:bCs/>
              </w:rPr>
            </w:pPr>
            <w:r>
              <w:rPr>
                <w:bCs/>
              </w:rPr>
              <w:t>生产车间、一般固废储存场所</w:t>
            </w:r>
          </w:p>
        </w:tc>
        <w:tc>
          <w:tcPr>
            <w:tcW w:w="689" w:type="dxa"/>
            <w:vAlign w:val="center"/>
          </w:tcPr>
          <w:p>
            <w:pPr>
              <w:autoSpaceDE w:val="0"/>
              <w:autoSpaceDN w:val="0"/>
              <w:spacing w:line="240" w:lineRule="auto"/>
              <w:jc w:val="center"/>
              <w:rPr>
                <w:bCs/>
              </w:rPr>
            </w:pPr>
            <w:r>
              <w:rPr>
                <w:bCs/>
              </w:rPr>
              <w:t>一般防渗区</w:t>
            </w:r>
          </w:p>
        </w:tc>
        <w:tc>
          <w:tcPr>
            <w:tcW w:w="1325" w:type="dxa"/>
            <w:vAlign w:val="center"/>
          </w:tcPr>
          <w:p>
            <w:pPr>
              <w:autoSpaceDE w:val="0"/>
              <w:autoSpaceDN w:val="0"/>
              <w:spacing w:line="240" w:lineRule="auto"/>
              <w:jc w:val="center"/>
              <w:rPr>
                <w:bCs/>
              </w:rPr>
            </w:pPr>
            <w:r>
              <w:rPr>
                <w:bCs/>
              </w:rPr>
              <w:t>中</w:t>
            </w:r>
          </w:p>
        </w:tc>
        <w:tc>
          <w:tcPr>
            <w:tcW w:w="1131" w:type="dxa"/>
            <w:vAlign w:val="center"/>
          </w:tcPr>
          <w:p>
            <w:pPr>
              <w:autoSpaceDE w:val="0"/>
              <w:autoSpaceDN w:val="0"/>
              <w:spacing w:line="240" w:lineRule="auto"/>
              <w:jc w:val="center"/>
              <w:rPr>
                <w:bCs/>
              </w:rPr>
            </w:pPr>
            <w:r>
              <w:rPr>
                <w:bCs/>
              </w:rPr>
              <w:t>难</w:t>
            </w:r>
          </w:p>
        </w:tc>
        <w:tc>
          <w:tcPr>
            <w:tcW w:w="1325" w:type="dxa"/>
            <w:vAlign w:val="center"/>
          </w:tcPr>
          <w:p>
            <w:pPr>
              <w:autoSpaceDE w:val="0"/>
              <w:autoSpaceDN w:val="0"/>
              <w:spacing w:line="240" w:lineRule="auto"/>
              <w:jc w:val="center"/>
              <w:rPr>
                <w:bCs/>
              </w:rPr>
            </w:pPr>
            <w:r>
              <w:rPr>
                <w:rFonts w:hint="eastAsia"/>
                <w:bCs/>
              </w:rPr>
              <w:t>非</w:t>
            </w:r>
            <w:r>
              <w:rPr>
                <w:bCs/>
              </w:rPr>
              <w:t>持久性有机物污染物</w:t>
            </w:r>
          </w:p>
        </w:tc>
        <w:tc>
          <w:tcPr>
            <w:tcW w:w="3654" w:type="dxa"/>
            <w:vAlign w:val="center"/>
          </w:tcPr>
          <w:p>
            <w:pPr>
              <w:autoSpaceDE w:val="0"/>
              <w:autoSpaceDN w:val="0"/>
              <w:spacing w:line="240" w:lineRule="auto"/>
              <w:jc w:val="center"/>
              <w:rPr>
                <w:bCs/>
              </w:rPr>
            </w:pPr>
            <w:r>
              <w:rPr>
                <w:bCs/>
              </w:rPr>
              <w:t>等效黏土防渗层Mb≥6.0m，K≤1×10</w:t>
            </w:r>
            <w:r>
              <w:rPr>
                <w:bCs/>
                <w:vertAlign w:val="superscript"/>
              </w:rPr>
              <w:t>-7</w:t>
            </w:r>
            <w:r>
              <w:rPr>
                <w:bCs/>
              </w:rPr>
              <w:t>cm/s，或参照GB18598执行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661" w:type="dxa"/>
            <w:vAlign w:val="center"/>
          </w:tcPr>
          <w:p>
            <w:pPr>
              <w:autoSpaceDE w:val="0"/>
              <w:autoSpaceDN w:val="0"/>
              <w:spacing w:line="240" w:lineRule="auto"/>
              <w:jc w:val="center"/>
              <w:rPr>
                <w:bCs/>
              </w:rPr>
            </w:pPr>
            <w:r>
              <w:rPr>
                <w:bCs/>
              </w:rPr>
              <w:t>污水处理设施</w:t>
            </w:r>
          </w:p>
        </w:tc>
        <w:tc>
          <w:tcPr>
            <w:tcW w:w="689" w:type="dxa"/>
            <w:vAlign w:val="center"/>
          </w:tcPr>
          <w:p>
            <w:pPr>
              <w:autoSpaceDE w:val="0"/>
              <w:autoSpaceDN w:val="0"/>
              <w:spacing w:line="240" w:lineRule="auto"/>
              <w:jc w:val="center"/>
              <w:rPr>
                <w:bCs/>
              </w:rPr>
            </w:pPr>
            <w:r>
              <w:rPr>
                <w:bCs/>
              </w:rPr>
              <w:t>重点防渗区</w:t>
            </w:r>
          </w:p>
        </w:tc>
        <w:tc>
          <w:tcPr>
            <w:tcW w:w="1325" w:type="dxa"/>
            <w:vAlign w:val="center"/>
          </w:tcPr>
          <w:p>
            <w:pPr>
              <w:autoSpaceDE w:val="0"/>
              <w:autoSpaceDN w:val="0"/>
              <w:spacing w:line="240" w:lineRule="auto"/>
              <w:jc w:val="center"/>
              <w:rPr>
                <w:bCs/>
              </w:rPr>
            </w:pPr>
            <w:r>
              <w:rPr>
                <w:bCs/>
              </w:rPr>
              <w:t>中</w:t>
            </w:r>
          </w:p>
        </w:tc>
        <w:tc>
          <w:tcPr>
            <w:tcW w:w="1131" w:type="dxa"/>
            <w:vAlign w:val="center"/>
          </w:tcPr>
          <w:p>
            <w:pPr>
              <w:autoSpaceDE w:val="0"/>
              <w:autoSpaceDN w:val="0"/>
              <w:spacing w:line="240" w:lineRule="auto"/>
              <w:jc w:val="center"/>
              <w:rPr>
                <w:bCs/>
              </w:rPr>
            </w:pPr>
            <w:r>
              <w:rPr>
                <w:bCs/>
              </w:rPr>
              <w:t>难</w:t>
            </w:r>
          </w:p>
        </w:tc>
        <w:tc>
          <w:tcPr>
            <w:tcW w:w="1325" w:type="dxa"/>
            <w:vAlign w:val="center"/>
          </w:tcPr>
          <w:p>
            <w:pPr>
              <w:autoSpaceDE w:val="0"/>
              <w:autoSpaceDN w:val="0"/>
              <w:spacing w:line="240" w:lineRule="auto"/>
              <w:jc w:val="center"/>
              <w:rPr>
                <w:bCs/>
              </w:rPr>
            </w:pPr>
            <w:r>
              <w:rPr>
                <w:rFonts w:hint="eastAsia"/>
                <w:bCs/>
              </w:rPr>
              <w:t>非</w:t>
            </w:r>
            <w:r>
              <w:rPr>
                <w:bCs/>
              </w:rPr>
              <w:t>持久性有机物污染物</w:t>
            </w:r>
          </w:p>
        </w:tc>
        <w:tc>
          <w:tcPr>
            <w:tcW w:w="3654" w:type="dxa"/>
            <w:vAlign w:val="center"/>
          </w:tcPr>
          <w:p>
            <w:pPr>
              <w:autoSpaceDE w:val="0"/>
              <w:autoSpaceDN w:val="0"/>
              <w:spacing w:line="240" w:lineRule="auto"/>
              <w:jc w:val="center"/>
              <w:rPr>
                <w:bCs/>
              </w:rPr>
            </w:pPr>
            <w:r>
              <w:rPr>
                <w:bCs/>
              </w:rPr>
              <w:t>基础必须防渗，防渗层为至少1m厚黏土层（渗透系数≤10</w:t>
            </w:r>
            <w:r>
              <w:rPr>
                <w:bCs/>
                <w:vertAlign w:val="superscript"/>
              </w:rPr>
              <w:t>-7</w:t>
            </w:r>
            <w:r>
              <w:rPr>
                <w:bCs/>
              </w:rPr>
              <w:t>cm/s），或2mm厚高密度聚乙烯，或至少2mm厚的其他人工材料，渗透系数≤10</w:t>
            </w:r>
            <w:r>
              <w:rPr>
                <w:bCs/>
                <w:vertAlign w:val="superscript"/>
              </w:rPr>
              <w:t>-10</w:t>
            </w:r>
            <w:r>
              <w:rPr>
                <w:bCs/>
              </w:rPr>
              <w:t>cm/s</w:t>
            </w:r>
          </w:p>
        </w:tc>
      </w:tr>
    </w:tbl>
    <w:p>
      <w:pPr>
        <w:ind w:firstLine="480" w:firstLineChars="200"/>
        <w:rPr>
          <w:sz w:val="24"/>
        </w:rPr>
      </w:pPr>
      <w:r>
        <w:rPr>
          <w:sz w:val="24"/>
        </w:rPr>
        <w:t>采取以上防治措施后，可有效防止污染物的下渗。因此，建设单位在采取评价所提出各种治理措施后，项目建设将不对土壤、地下水产生明显影响。</w:t>
      </w:r>
    </w:p>
    <w:p>
      <w:pPr>
        <w:pStyle w:val="7"/>
      </w:pPr>
      <w:r>
        <w:t>6.2.3大气污染防治对策及其可行性分析</w:t>
      </w:r>
    </w:p>
    <w:p>
      <w:pPr>
        <w:numPr>
          <w:ilvl w:val="0"/>
          <w:numId w:val="8"/>
        </w:numPr>
        <w:ind w:firstLine="480" w:firstLineChars="200"/>
        <w:rPr>
          <w:rFonts w:hint="eastAsia"/>
          <w:bCs/>
          <w:sz w:val="24"/>
          <w:szCs w:val="24"/>
          <w:lang w:eastAsia="zh-CN"/>
        </w:rPr>
      </w:pPr>
      <w:r>
        <w:rPr>
          <w:rFonts w:hint="eastAsia"/>
          <w:bCs/>
          <w:sz w:val="24"/>
          <w:szCs w:val="24"/>
          <w:lang w:eastAsia="zh-CN"/>
        </w:rPr>
        <w:t>污水处理站恶臭</w:t>
      </w:r>
    </w:p>
    <w:p>
      <w:pPr>
        <w:numPr>
          <w:ilvl w:val="0"/>
          <w:numId w:val="0"/>
        </w:numPr>
        <w:ind w:firstLine="480" w:firstLineChars="200"/>
        <w:rPr>
          <w:bCs/>
          <w:snapToGrid w:val="0"/>
          <w:kern w:val="0"/>
          <w:sz w:val="24"/>
          <w:szCs w:val="24"/>
        </w:rPr>
      </w:pPr>
      <w:r>
        <w:rPr>
          <w:bCs/>
          <w:sz w:val="24"/>
          <w:szCs w:val="24"/>
        </w:rPr>
        <w:t>为最大程度的降低恶臭的不良影响，</w:t>
      </w:r>
      <w:r>
        <w:rPr>
          <w:bCs/>
          <w:snapToGrid w:val="0"/>
          <w:kern w:val="0"/>
          <w:sz w:val="24"/>
          <w:szCs w:val="24"/>
        </w:rPr>
        <w:t>同时也为了毒恶臭气积聚过多对操作工人健康带来危害，</w:t>
      </w:r>
      <w:r>
        <w:rPr>
          <w:rFonts w:hint="eastAsia"/>
          <w:bCs/>
          <w:snapToGrid w:val="0"/>
          <w:kern w:val="0"/>
          <w:sz w:val="24"/>
          <w:szCs w:val="24"/>
        </w:rPr>
        <w:t>项目</w:t>
      </w:r>
      <w:r>
        <w:rPr>
          <w:bCs/>
          <w:snapToGrid w:val="0"/>
          <w:kern w:val="0"/>
          <w:sz w:val="24"/>
          <w:szCs w:val="24"/>
        </w:rPr>
        <w:t>将采取如下措施：</w:t>
      </w:r>
    </w:p>
    <w:p>
      <w:pPr>
        <w:ind w:firstLine="480" w:firstLineChars="200"/>
        <w:rPr>
          <w:sz w:val="24"/>
        </w:rPr>
      </w:pPr>
      <w:r>
        <w:rPr>
          <w:bCs/>
          <w:sz w:val="24"/>
          <w:szCs w:val="24"/>
        </w:rPr>
        <w:t>①</w:t>
      </w:r>
      <w:r>
        <w:rPr>
          <w:sz w:val="24"/>
        </w:rPr>
        <w:t>在污水站四周设置绿化隔离带，这样既可起到绿化作用又可起到隔离作用，四周宜种植灌木及高大常绿乔木树</w:t>
      </w:r>
      <w:r>
        <w:rPr>
          <w:rFonts w:hint="eastAsia"/>
          <w:sz w:val="24"/>
        </w:rPr>
        <w:t>；</w:t>
      </w:r>
    </w:p>
    <w:p>
      <w:pPr>
        <w:ind w:firstLine="480" w:firstLineChars="200"/>
        <w:rPr>
          <w:sz w:val="24"/>
        </w:rPr>
      </w:pPr>
      <w:r>
        <w:rPr>
          <w:bCs/>
          <w:snapToGrid w:val="0"/>
          <w:kern w:val="0"/>
          <w:sz w:val="24"/>
          <w:szCs w:val="24"/>
        </w:rPr>
        <w:t>②</w:t>
      </w:r>
      <w:r>
        <w:rPr>
          <w:sz w:val="24"/>
        </w:rPr>
        <w:t>充分考虑当地主导风向，合理布局恶臭污染源</w:t>
      </w:r>
      <w:r>
        <w:rPr>
          <w:rFonts w:hint="eastAsia"/>
          <w:sz w:val="24"/>
        </w:rPr>
        <w:t>；</w:t>
      </w:r>
    </w:p>
    <w:p>
      <w:pPr>
        <w:ind w:firstLine="480" w:firstLineChars="200"/>
        <w:rPr>
          <w:sz w:val="24"/>
        </w:rPr>
      </w:pPr>
      <w:r>
        <w:rPr>
          <w:bCs/>
          <w:snapToGrid w:val="0"/>
          <w:kern w:val="0"/>
          <w:sz w:val="24"/>
          <w:szCs w:val="24"/>
        </w:rPr>
        <w:t>③</w:t>
      </w:r>
      <w:r>
        <w:rPr>
          <w:sz w:val="24"/>
        </w:rPr>
        <w:t>在污水处理站设计时应充分考虑到污水处理设施产生的恶臭气体对本项目区以及周边环境的影响，本次环评要求将污水处理站设计为</w:t>
      </w:r>
      <w:r>
        <w:rPr>
          <w:rFonts w:hint="eastAsia"/>
          <w:sz w:val="24"/>
          <w:lang w:eastAsia="zh-CN"/>
        </w:rPr>
        <w:t>地埋式</w:t>
      </w:r>
      <w:r>
        <w:rPr>
          <w:sz w:val="24"/>
        </w:rPr>
        <w:t>全封闭，污水处理站格栅井、调节池等均应密闭</w:t>
      </w:r>
      <w:r>
        <w:rPr>
          <w:rFonts w:hint="eastAsia"/>
          <w:sz w:val="24"/>
        </w:rPr>
        <w:t>；</w:t>
      </w:r>
    </w:p>
    <w:p>
      <w:pPr>
        <w:ind w:firstLine="480" w:firstLineChars="200"/>
      </w:pPr>
      <w:r>
        <w:rPr>
          <w:bCs/>
          <w:snapToGrid w:val="0"/>
          <w:kern w:val="0"/>
          <w:sz w:val="24"/>
          <w:szCs w:val="24"/>
        </w:rPr>
        <w:t>④</w:t>
      </w:r>
      <w:r>
        <w:rPr>
          <w:sz w:val="24"/>
        </w:rPr>
        <w:t>加强对污泥的管理，及时运输和处置，在运输途中要防止沿途丢弃、遗撒，处置方法要得当，以防造成二次污染。</w:t>
      </w:r>
    </w:p>
    <w:p>
      <w:pPr>
        <w:ind w:firstLine="480" w:firstLineChars="200"/>
        <w:rPr>
          <w:bCs/>
          <w:sz w:val="24"/>
          <w:szCs w:val="24"/>
        </w:rPr>
      </w:pPr>
      <w:r>
        <w:rPr>
          <w:bCs/>
          <w:sz w:val="24"/>
          <w:szCs w:val="24"/>
        </w:rPr>
        <w:t>根据国内同行业实测类比，在正常情况下采取相应合理的措施后，</w:t>
      </w:r>
      <w:r>
        <w:rPr>
          <w:rFonts w:hint="eastAsia"/>
          <w:bCs/>
          <w:sz w:val="24"/>
          <w:szCs w:val="24"/>
        </w:rPr>
        <w:t>污水处理站</w:t>
      </w:r>
      <w:r>
        <w:rPr>
          <w:bCs/>
          <w:sz w:val="24"/>
          <w:szCs w:val="24"/>
        </w:rPr>
        <w:t>恶臭气体均能满足《恶臭污染物排放标准》（</w:t>
      </w:r>
      <w:r>
        <w:rPr>
          <w:sz w:val="24"/>
          <w:szCs w:val="24"/>
        </w:rPr>
        <w:t>GB14554-93）中表1恶臭污染物厂界标准中规定的二级标准</w:t>
      </w:r>
      <w:r>
        <w:rPr>
          <w:bCs/>
          <w:sz w:val="24"/>
          <w:szCs w:val="24"/>
        </w:rPr>
        <w:t>，因此，上述恶臭污染防治措施切实可行。</w:t>
      </w:r>
    </w:p>
    <w:p>
      <w:pPr>
        <w:spacing w:line="480" w:lineRule="exact"/>
        <w:ind w:firstLine="480" w:firstLineChars="200"/>
        <w:rPr>
          <w:b w:val="0"/>
          <w:bCs/>
          <w:sz w:val="24"/>
        </w:rPr>
      </w:pPr>
      <w:r>
        <w:rPr>
          <w:rFonts w:hint="eastAsia"/>
          <w:b w:val="0"/>
          <w:bCs/>
          <w:sz w:val="24"/>
          <w:lang w:eastAsia="zh-CN"/>
        </w:rPr>
        <w:t>（</w:t>
      </w:r>
      <w:r>
        <w:rPr>
          <w:rFonts w:hint="eastAsia"/>
          <w:b w:val="0"/>
          <w:bCs/>
          <w:sz w:val="24"/>
          <w:lang w:val="en-US" w:eastAsia="zh-CN"/>
        </w:rPr>
        <w:t>2</w:t>
      </w:r>
      <w:r>
        <w:rPr>
          <w:rFonts w:hint="eastAsia"/>
          <w:b w:val="0"/>
          <w:bCs/>
          <w:sz w:val="24"/>
          <w:lang w:eastAsia="zh-CN"/>
        </w:rPr>
        <w:t>）</w:t>
      </w:r>
      <w:r>
        <w:rPr>
          <w:b w:val="0"/>
          <w:bCs/>
          <w:sz w:val="24"/>
        </w:rPr>
        <w:t>餐饮油烟</w:t>
      </w:r>
    </w:p>
    <w:p>
      <w:pPr>
        <w:tabs>
          <w:tab w:val="left" w:pos="1020"/>
        </w:tabs>
        <w:snapToGrid w:val="0"/>
        <w:spacing w:line="480" w:lineRule="exact"/>
        <w:ind w:firstLine="480" w:firstLineChars="200"/>
        <w:rPr>
          <w:sz w:val="24"/>
        </w:rPr>
      </w:pPr>
      <w:r>
        <w:rPr>
          <w:sz w:val="24"/>
          <w:lang w:val="zh-CN"/>
        </w:rPr>
        <w:t>油烟采用油烟净化设施进行收集净化处理后经专用油烟管道引至室外排放，排放量小，能够满足</w:t>
      </w:r>
      <w:r>
        <w:rPr>
          <w:sz w:val="24"/>
        </w:rPr>
        <w:t>《饮食业油烟排放标准（试行）》限值要求（GB18483-2001），对周围空气环境不产生明显影响。</w:t>
      </w:r>
    </w:p>
    <w:p>
      <w:pPr>
        <w:pageBreakBefore w:val="0"/>
        <w:tabs>
          <w:tab w:val="left" w:pos="1020"/>
        </w:tabs>
        <w:kinsoku/>
        <w:wordWrap/>
        <w:overflowPunct/>
        <w:topLinePunct w:val="0"/>
        <w:autoSpaceDE/>
        <w:autoSpaceDN/>
        <w:bidi w:val="0"/>
        <w:adjustRightInd w:val="0"/>
        <w:snapToGrid w:val="0"/>
        <w:spacing w:line="360" w:lineRule="auto"/>
        <w:ind w:firstLine="480" w:firstLineChars="200"/>
        <w:textAlignment w:val="auto"/>
        <w:rPr>
          <w:sz w:val="24"/>
        </w:rPr>
      </w:pPr>
      <w:r>
        <w:rPr>
          <w:sz w:val="24"/>
        </w:rPr>
        <w:t>为尽可能减少油烟对项目区及周边环境的影响，环评提出以下几点要求：</w:t>
      </w:r>
    </w:p>
    <w:p>
      <w:pPr>
        <w:pageBreakBefore w:val="0"/>
        <w:tabs>
          <w:tab w:val="left" w:pos="1020"/>
        </w:tabs>
        <w:kinsoku/>
        <w:wordWrap/>
        <w:overflowPunct/>
        <w:topLinePunct w:val="0"/>
        <w:autoSpaceDE/>
        <w:autoSpaceDN/>
        <w:bidi w:val="0"/>
        <w:adjustRightInd w:val="0"/>
        <w:snapToGrid w:val="0"/>
        <w:spacing w:line="360" w:lineRule="auto"/>
        <w:ind w:firstLine="480" w:firstLineChars="200"/>
        <w:textAlignment w:val="auto"/>
        <w:rPr>
          <w:sz w:val="24"/>
        </w:rPr>
      </w:pPr>
      <w:r>
        <w:rPr>
          <w:sz w:val="24"/>
        </w:rPr>
        <w:t>1、项目食堂必须安装油烟净化设施，净化设施的油烟去除效率保证在85%及以上；</w:t>
      </w:r>
    </w:p>
    <w:p>
      <w:pPr>
        <w:pageBreakBefore w:val="0"/>
        <w:widowControl w:val="0"/>
        <w:tabs>
          <w:tab w:val="left" w:pos="1020"/>
        </w:tabs>
        <w:kinsoku/>
        <w:wordWrap/>
        <w:overflowPunct/>
        <w:topLinePunct w:val="0"/>
        <w:autoSpaceDE/>
        <w:autoSpaceDN/>
        <w:bidi w:val="0"/>
        <w:adjustRightInd w:val="0"/>
        <w:snapToGrid w:val="0"/>
        <w:spacing w:line="360" w:lineRule="auto"/>
        <w:ind w:firstLine="480" w:firstLineChars="200"/>
        <w:textAlignment w:val="auto"/>
        <w:rPr>
          <w:sz w:val="24"/>
        </w:rPr>
      </w:pPr>
      <w:r>
        <w:rPr>
          <w:sz w:val="24"/>
        </w:rPr>
        <w:t>2、保证净化设施在操作期间按照要求运行，同时应做好日常设备的维护、清洗，保证设施的正常运转，确保净化设施的油烟去除效率；</w:t>
      </w:r>
    </w:p>
    <w:p>
      <w:pPr>
        <w:pageBreakBefore w:val="0"/>
        <w:widowControl w:val="0"/>
        <w:tabs>
          <w:tab w:val="left" w:pos="1020"/>
        </w:tabs>
        <w:kinsoku/>
        <w:wordWrap/>
        <w:overflowPunct/>
        <w:topLinePunct w:val="0"/>
        <w:autoSpaceDE/>
        <w:autoSpaceDN/>
        <w:bidi w:val="0"/>
        <w:adjustRightInd w:val="0"/>
        <w:snapToGrid w:val="0"/>
        <w:spacing w:line="360" w:lineRule="auto"/>
        <w:ind w:firstLine="480" w:firstLineChars="200"/>
        <w:textAlignment w:val="auto"/>
        <w:rPr>
          <w:sz w:val="24"/>
        </w:rPr>
      </w:pPr>
      <w:r>
        <w:rPr>
          <w:sz w:val="24"/>
        </w:rPr>
        <w:t>3、油烟排气筒的长度至少应有4.5倍直径的平直管段，应设置专用排烟管道，将净化的油烟引至屋顶排放，排气筒的朝口应避开易受影响的建筑物；</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pPr>
      <w:r>
        <w:rPr>
          <w:sz w:val="24"/>
        </w:rPr>
        <w:t>4、排烟系统应做到密封完好，禁止人为稀释排气筒中污染物浓度。</w:t>
      </w:r>
    </w:p>
    <w:p>
      <w:pPr>
        <w:pStyle w:val="7"/>
        <w:pageBreakBefore w:val="0"/>
        <w:widowControl w:val="0"/>
        <w:kinsoku/>
        <w:wordWrap/>
        <w:overflowPunct/>
        <w:topLinePunct w:val="0"/>
        <w:autoSpaceDE/>
        <w:autoSpaceDN/>
        <w:bidi w:val="0"/>
        <w:adjustRightInd w:val="0"/>
        <w:snapToGrid w:val="0"/>
        <w:spacing w:line="360" w:lineRule="auto"/>
        <w:textAlignment w:val="auto"/>
        <w:rPr>
          <w:szCs w:val="24"/>
        </w:rPr>
      </w:pPr>
      <w:r>
        <w:rPr>
          <w:szCs w:val="24"/>
        </w:rPr>
        <w:t>6.2.3 噪声污染防治对策及其可行性分析</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sz w:val="24"/>
          <w:szCs w:val="24"/>
        </w:rPr>
        <w:t>根据工程分析，本项目的主要噪声源为配置的生产设备及</w:t>
      </w:r>
      <w:r>
        <w:rPr>
          <w:rFonts w:hint="eastAsia"/>
          <w:sz w:val="24"/>
          <w:szCs w:val="24"/>
          <w:lang w:eastAsia="zh-CN"/>
        </w:rPr>
        <w:t>污水处理站运行噪声</w:t>
      </w:r>
      <w:r>
        <w:rPr>
          <w:sz w:val="24"/>
          <w:szCs w:val="24"/>
        </w:rPr>
        <w:t>，噪声级一般在70~100dB（A）之间。本项目的产噪设备数量较</w:t>
      </w:r>
      <w:r>
        <w:rPr>
          <w:rFonts w:hint="eastAsia"/>
          <w:sz w:val="24"/>
          <w:szCs w:val="24"/>
        </w:rPr>
        <w:t>少</w:t>
      </w:r>
      <w:r>
        <w:rPr>
          <w:sz w:val="24"/>
          <w:szCs w:val="24"/>
        </w:rPr>
        <w:t>，这些复合噪声源经相应的降噪措施处理加上建筑物阻隔和空间衰减等因素，将会大幅度地衰减。具体的降噪措施有：</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sz w:val="24"/>
          <w:szCs w:val="24"/>
        </w:rPr>
        <w:t>1、从声源上控制，空压机、风机等设备选择低噪声和符合国家噪声标准的设备，主体采用减振基础，高噪声设备置于密闭空间内，在订购主要生产设备时向生产厂家提出明确的降噪要求，将空压机、风机均放置在生产厂房内，风机选用低噪声、振动小的设备。在设备安装调试阶段严格把关，提高安装精度。</w:t>
      </w:r>
    </w:p>
    <w:p>
      <w:pPr>
        <w:pageBreakBefore w:val="0"/>
        <w:widowControl/>
        <w:numPr>
          <w:ilvl w:val="0"/>
          <w:numId w:val="9"/>
        </w:numPr>
        <w:kinsoku/>
        <w:wordWrap/>
        <w:overflowPunct/>
        <w:topLinePunct w:val="0"/>
        <w:autoSpaceDE/>
        <w:autoSpaceDN/>
        <w:bidi w:val="0"/>
        <w:adjustRightInd w:val="0"/>
        <w:snapToGrid w:val="0"/>
        <w:spacing w:line="360" w:lineRule="auto"/>
        <w:ind w:firstLine="480" w:firstLineChars="200"/>
        <w:textAlignment w:val="auto"/>
        <w:rPr>
          <w:sz w:val="24"/>
          <w:szCs w:val="24"/>
        </w:rPr>
      </w:pPr>
      <w:r>
        <w:rPr>
          <w:sz w:val="24"/>
          <w:szCs w:val="24"/>
        </w:rPr>
        <w:t>生产车间选用低噪声、振动小的设备，设备基础安装减振器。</w:t>
      </w:r>
    </w:p>
    <w:p>
      <w:pPr>
        <w:pageBreakBefore w:val="0"/>
        <w:widowControl/>
        <w:numPr>
          <w:ilvl w:val="0"/>
          <w:numId w:val="9"/>
        </w:numPr>
        <w:kinsoku/>
        <w:wordWrap/>
        <w:overflowPunct/>
        <w:topLinePunct w:val="0"/>
        <w:autoSpaceDE/>
        <w:autoSpaceDN/>
        <w:bidi w:val="0"/>
        <w:adjustRightInd w:val="0"/>
        <w:snapToGrid w:val="0"/>
        <w:spacing w:line="360" w:lineRule="auto"/>
        <w:ind w:firstLine="480" w:firstLineChars="200"/>
        <w:textAlignment w:val="auto"/>
        <w:rPr>
          <w:kern w:val="0"/>
          <w:sz w:val="24"/>
          <w:szCs w:val="24"/>
        </w:rPr>
      </w:pPr>
      <w:r>
        <w:rPr>
          <w:kern w:val="0"/>
          <w:sz w:val="24"/>
          <w:szCs w:val="24"/>
        </w:rPr>
        <w:t>针对生产加工环节中噪声较为突出的，采用隔声降噪、局部吸声技术。</w:t>
      </w:r>
    </w:p>
    <w:p>
      <w:pPr>
        <w:pageBreakBefore w:val="0"/>
        <w:widowControl/>
        <w:numPr>
          <w:ilvl w:val="0"/>
          <w:numId w:val="9"/>
        </w:numPr>
        <w:kinsoku/>
        <w:wordWrap/>
        <w:overflowPunct/>
        <w:topLinePunct w:val="0"/>
        <w:autoSpaceDE/>
        <w:autoSpaceDN/>
        <w:bidi w:val="0"/>
        <w:adjustRightInd w:val="0"/>
        <w:snapToGrid w:val="0"/>
        <w:spacing w:line="360" w:lineRule="auto"/>
        <w:ind w:firstLine="480" w:firstLineChars="200"/>
        <w:textAlignment w:val="auto"/>
        <w:rPr>
          <w:kern w:val="0"/>
          <w:sz w:val="24"/>
          <w:szCs w:val="24"/>
        </w:rPr>
      </w:pPr>
      <w:r>
        <w:rPr>
          <w:kern w:val="0"/>
          <w:sz w:val="24"/>
          <w:szCs w:val="24"/>
        </w:rPr>
        <w:t>建筑设计时，控制厂房的窗户面积，并设隔声门窗，减少噪声对外辐射。对于主要产生噪声的车间、厂房的顶部和四周墙面上装饰吸声材料，如多孔材料、柔性材料、膜状与板状材料。</w:t>
      </w:r>
    </w:p>
    <w:p>
      <w:pPr>
        <w:pageBreakBefore w:val="0"/>
        <w:widowControl/>
        <w:numPr>
          <w:ilvl w:val="0"/>
          <w:numId w:val="9"/>
        </w:numPr>
        <w:kinsoku/>
        <w:wordWrap/>
        <w:overflowPunct/>
        <w:topLinePunct w:val="0"/>
        <w:autoSpaceDE/>
        <w:autoSpaceDN/>
        <w:bidi w:val="0"/>
        <w:adjustRightInd w:val="0"/>
        <w:snapToGrid w:val="0"/>
        <w:spacing w:line="360" w:lineRule="auto"/>
        <w:ind w:firstLine="480" w:firstLineChars="200"/>
        <w:textAlignment w:val="auto"/>
        <w:rPr>
          <w:sz w:val="24"/>
          <w:szCs w:val="24"/>
        </w:rPr>
      </w:pPr>
      <w:r>
        <w:rPr>
          <w:kern w:val="0"/>
          <w:sz w:val="24"/>
          <w:szCs w:val="24"/>
        </w:rPr>
        <w:t>各设备定期维护保养，减少自身噪声。</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sz w:val="24"/>
          <w:szCs w:val="24"/>
        </w:rPr>
      </w:pPr>
      <w:r>
        <w:rPr>
          <w:kern w:val="0"/>
          <w:sz w:val="24"/>
          <w:szCs w:val="24"/>
        </w:rPr>
        <w:t>采取上述措施以后，噪声源强可以降低10~15dB</w:t>
      </w:r>
      <w:r>
        <w:rPr>
          <w:sz w:val="24"/>
          <w:szCs w:val="24"/>
        </w:rPr>
        <w:t>（A）</w:t>
      </w:r>
      <w:r>
        <w:rPr>
          <w:kern w:val="0"/>
          <w:sz w:val="24"/>
          <w:szCs w:val="24"/>
        </w:rPr>
        <w:t>，在向预测点传播途径中可以削减5~10 dB，到达厂界以后完全可以达到《工业企业厂界环境噪声排放标准》（GB12348-2008）的</w:t>
      </w:r>
      <w:r>
        <w:rPr>
          <w:rFonts w:hint="eastAsia"/>
          <w:kern w:val="0"/>
          <w:sz w:val="24"/>
          <w:szCs w:val="24"/>
          <w:lang w:val="en-US" w:eastAsia="zh-CN"/>
        </w:rPr>
        <w:t>3</w:t>
      </w:r>
      <w:r>
        <w:rPr>
          <w:kern w:val="0"/>
          <w:sz w:val="24"/>
          <w:szCs w:val="24"/>
        </w:rPr>
        <w:t>类</w:t>
      </w:r>
      <w:r>
        <w:rPr>
          <w:rFonts w:hint="eastAsia"/>
          <w:kern w:val="0"/>
          <w:sz w:val="24"/>
          <w:szCs w:val="24"/>
          <w:lang w:eastAsia="zh-CN"/>
        </w:rPr>
        <w:t>区</w:t>
      </w:r>
      <w:r>
        <w:rPr>
          <w:kern w:val="0"/>
          <w:sz w:val="24"/>
          <w:szCs w:val="24"/>
        </w:rPr>
        <w:t>标准的要求，对周围环境的影响不大。</w:t>
      </w:r>
    </w:p>
    <w:p>
      <w:pPr>
        <w:pStyle w:val="7"/>
        <w:rPr>
          <w:szCs w:val="24"/>
        </w:rPr>
      </w:pPr>
      <w:r>
        <w:rPr>
          <w:szCs w:val="24"/>
        </w:rPr>
        <w:t>6.2.4 固体废弃物污染防治对策及其可行性分析</w:t>
      </w:r>
    </w:p>
    <w:p>
      <w:pPr>
        <w:ind w:firstLine="480" w:firstLineChars="200"/>
        <w:jc w:val="left"/>
        <w:rPr>
          <w:sz w:val="24"/>
          <w:szCs w:val="24"/>
        </w:rPr>
      </w:pPr>
      <w:r>
        <w:rPr>
          <w:sz w:val="24"/>
          <w:szCs w:val="24"/>
        </w:rPr>
        <w:t>1、固废产生情况</w:t>
      </w:r>
    </w:p>
    <w:p>
      <w:pPr>
        <w:spacing w:line="240" w:lineRule="auto"/>
        <w:jc w:val="center"/>
        <w:rPr>
          <w:sz w:val="24"/>
          <w:szCs w:val="24"/>
        </w:rPr>
      </w:pPr>
      <w:r>
        <w:rPr>
          <w:b/>
          <w:kern w:val="0"/>
          <w:sz w:val="24"/>
          <w:szCs w:val="24"/>
        </w:rPr>
        <w:t>表 6</w:t>
      </w:r>
      <w:r>
        <w:rPr>
          <w:rFonts w:hint="eastAsia"/>
          <w:b/>
          <w:kern w:val="0"/>
          <w:sz w:val="24"/>
          <w:szCs w:val="24"/>
        </w:rPr>
        <w:t>-</w:t>
      </w:r>
      <w:r>
        <w:rPr>
          <w:b/>
          <w:kern w:val="0"/>
          <w:sz w:val="24"/>
          <w:szCs w:val="24"/>
        </w:rPr>
        <w:t>2-5  固废产生情况一览表</w:t>
      </w:r>
    </w:p>
    <w:tbl>
      <w:tblPr>
        <w:tblStyle w:val="22"/>
        <w:tblW w:w="894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34"/>
        <w:gridCol w:w="1985"/>
        <w:gridCol w:w="1275"/>
        <w:gridCol w:w="37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817" w:type="dxa"/>
            <w:vAlign w:val="center"/>
          </w:tcPr>
          <w:p>
            <w:pPr>
              <w:spacing w:line="240" w:lineRule="exact"/>
              <w:jc w:val="center"/>
            </w:pPr>
            <w:r>
              <w:t>序号</w:t>
            </w:r>
          </w:p>
        </w:tc>
        <w:tc>
          <w:tcPr>
            <w:tcW w:w="1134" w:type="dxa"/>
            <w:vAlign w:val="center"/>
          </w:tcPr>
          <w:p>
            <w:pPr>
              <w:spacing w:line="240" w:lineRule="exact"/>
              <w:jc w:val="center"/>
            </w:pPr>
            <w:r>
              <w:t>产生源</w:t>
            </w:r>
          </w:p>
        </w:tc>
        <w:tc>
          <w:tcPr>
            <w:tcW w:w="1985" w:type="dxa"/>
            <w:vAlign w:val="center"/>
          </w:tcPr>
          <w:p>
            <w:pPr>
              <w:spacing w:line="240" w:lineRule="exact"/>
              <w:jc w:val="center"/>
            </w:pPr>
            <w:r>
              <w:t>固废名称</w:t>
            </w:r>
          </w:p>
        </w:tc>
        <w:tc>
          <w:tcPr>
            <w:tcW w:w="1275" w:type="dxa"/>
            <w:vAlign w:val="center"/>
          </w:tcPr>
          <w:p>
            <w:pPr>
              <w:spacing w:line="240" w:lineRule="exact"/>
              <w:jc w:val="center"/>
            </w:pPr>
            <w:r>
              <w:t>产生量</w:t>
            </w:r>
          </w:p>
          <w:p>
            <w:pPr>
              <w:spacing w:line="240" w:lineRule="exact"/>
              <w:jc w:val="center"/>
            </w:pPr>
            <w:r>
              <w:t>（t/a）</w:t>
            </w:r>
          </w:p>
        </w:tc>
        <w:tc>
          <w:tcPr>
            <w:tcW w:w="3735" w:type="dxa"/>
            <w:vAlign w:val="center"/>
          </w:tcPr>
          <w:p>
            <w:pPr>
              <w:spacing w:line="240" w:lineRule="exact"/>
              <w:jc w:val="center"/>
            </w:pPr>
            <w: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17" w:type="dxa"/>
            <w:vMerge w:val="restart"/>
            <w:vAlign w:val="center"/>
          </w:tcPr>
          <w:p>
            <w:pPr>
              <w:spacing w:line="240" w:lineRule="exact"/>
              <w:jc w:val="center"/>
              <w:rPr>
                <w:rFonts w:hint="eastAsia" w:eastAsia="宋体"/>
                <w:lang w:val="en-US" w:eastAsia="zh-CN"/>
              </w:rPr>
            </w:pPr>
            <w:r>
              <w:rPr>
                <w:rFonts w:hint="eastAsia"/>
                <w:lang w:val="en-US" w:eastAsia="zh-CN"/>
              </w:rPr>
              <w:t>1</w:t>
            </w:r>
          </w:p>
        </w:tc>
        <w:tc>
          <w:tcPr>
            <w:tcW w:w="1134" w:type="dxa"/>
            <w:vMerge w:val="restart"/>
            <w:vAlign w:val="center"/>
          </w:tcPr>
          <w:p>
            <w:pPr>
              <w:spacing w:line="240" w:lineRule="exact"/>
              <w:jc w:val="center"/>
            </w:pPr>
            <w:r>
              <w:rPr>
                <w:rFonts w:hint="eastAsia"/>
                <w:lang w:eastAsia="zh-CN"/>
              </w:rPr>
              <w:t>生产车间</w:t>
            </w:r>
          </w:p>
        </w:tc>
        <w:tc>
          <w:tcPr>
            <w:tcW w:w="1985" w:type="dxa"/>
            <w:vAlign w:val="center"/>
          </w:tcPr>
          <w:p>
            <w:pPr>
              <w:spacing w:line="240" w:lineRule="exact"/>
              <w:jc w:val="center"/>
              <w:rPr>
                <w:rFonts w:hint="eastAsia" w:eastAsia="宋体"/>
                <w:lang w:eastAsia="zh-CN"/>
              </w:rPr>
            </w:pPr>
            <w:r>
              <w:rPr>
                <w:rFonts w:hint="eastAsia"/>
                <w:lang w:eastAsia="zh-CN"/>
              </w:rPr>
              <w:t>边角料</w:t>
            </w:r>
          </w:p>
        </w:tc>
        <w:tc>
          <w:tcPr>
            <w:tcW w:w="1275" w:type="dxa"/>
            <w:vAlign w:val="center"/>
          </w:tcPr>
          <w:p>
            <w:pPr>
              <w:spacing w:line="240" w:lineRule="exact"/>
              <w:jc w:val="center"/>
              <w:rPr>
                <w:rFonts w:hint="default" w:eastAsia="宋体"/>
                <w:lang w:val="en-US" w:eastAsia="zh-CN"/>
              </w:rPr>
            </w:pPr>
            <w:r>
              <w:rPr>
                <w:rFonts w:hint="eastAsia"/>
                <w:lang w:val="en-US" w:eastAsia="zh-CN"/>
              </w:rPr>
              <w:t>15</w:t>
            </w:r>
          </w:p>
        </w:tc>
        <w:tc>
          <w:tcPr>
            <w:tcW w:w="3735" w:type="dxa"/>
            <w:vMerge w:val="restart"/>
            <w:vAlign w:val="center"/>
          </w:tcPr>
          <w:p>
            <w:pPr>
              <w:spacing w:line="240" w:lineRule="exact"/>
              <w:jc w:val="center"/>
              <w:rPr>
                <w:rFonts w:hint="eastAsia" w:eastAsia="宋体"/>
                <w:lang w:eastAsia="zh-CN"/>
              </w:rPr>
            </w:pPr>
            <w:r>
              <w:rPr>
                <w:rFonts w:hint="eastAsia"/>
                <w:lang w:eastAsia="zh-CN"/>
              </w:rPr>
              <w:t>于厂区规范化一般固废暂存场所收集后资源外售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17" w:type="dxa"/>
            <w:vMerge w:val="continue"/>
            <w:vAlign w:val="center"/>
          </w:tcPr>
          <w:p>
            <w:pPr>
              <w:spacing w:line="240" w:lineRule="exact"/>
              <w:jc w:val="center"/>
            </w:pPr>
          </w:p>
        </w:tc>
        <w:tc>
          <w:tcPr>
            <w:tcW w:w="1134" w:type="dxa"/>
            <w:vMerge w:val="continue"/>
            <w:vAlign w:val="center"/>
          </w:tcPr>
          <w:p>
            <w:pPr>
              <w:spacing w:line="240" w:lineRule="exact"/>
              <w:jc w:val="center"/>
            </w:pPr>
          </w:p>
        </w:tc>
        <w:tc>
          <w:tcPr>
            <w:tcW w:w="1985" w:type="dxa"/>
            <w:vAlign w:val="center"/>
          </w:tcPr>
          <w:p>
            <w:pPr>
              <w:spacing w:line="240" w:lineRule="exact"/>
              <w:jc w:val="center"/>
              <w:rPr>
                <w:rFonts w:hint="eastAsia" w:eastAsia="宋体"/>
                <w:lang w:eastAsia="zh-CN"/>
              </w:rPr>
            </w:pPr>
            <w:r>
              <w:rPr>
                <w:rFonts w:hint="eastAsia"/>
                <w:lang w:eastAsia="zh-CN"/>
              </w:rPr>
              <w:t>不合格品</w:t>
            </w:r>
          </w:p>
        </w:tc>
        <w:tc>
          <w:tcPr>
            <w:tcW w:w="1275" w:type="dxa"/>
            <w:vAlign w:val="center"/>
          </w:tcPr>
          <w:p>
            <w:pPr>
              <w:spacing w:line="240" w:lineRule="exact"/>
              <w:jc w:val="center"/>
              <w:rPr>
                <w:rFonts w:hint="default" w:eastAsia="宋体"/>
                <w:lang w:val="en-US" w:eastAsia="zh-CN"/>
              </w:rPr>
            </w:pPr>
            <w:r>
              <w:rPr>
                <w:rFonts w:hint="eastAsia"/>
                <w:lang w:val="en-US" w:eastAsia="zh-CN"/>
              </w:rPr>
              <w:t>25</w:t>
            </w:r>
          </w:p>
        </w:tc>
        <w:tc>
          <w:tcPr>
            <w:tcW w:w="3735" w:type="dxa"/>
            <w:vMerge w:val="continue"/>
            <w:vAlign w:val="center"/>
          </w:tcPr>
          <w:p>
            <w:pPr>
              <w:spacing w:line="240" w:lineRule="exact"/>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2" w:hRule="exact"/>
          <w:jc w:val="center"/>
        </w:trPr>
        <w:tc>
          <w:tcPr>
            <w:tcW w:w="817" w:type="dxa"/>
            <w:vMerge w:val="continue"/>
            <w:vAlign w:val="center"/>
          </w:tcPr>
          <w:p>
            <w:pPr>
              <w:spacing w:line="240" w:lineRule="exact"/>
              <w:jc w:val="center"/>
            </w:pPr>
          </w:p>
        </w:tc>
        <w:tc>
          <w:tcPr>
            <w:tcW w:w="1134" w:type="dxa"/>
            <w:vMerge w:val="continue"/>
            <w:vAlign w:val="center"/>
          </w:tcPr>
          <w:p>
            <w:pPr>
              <w:spacing w:line="240" w:lineRule="exact"/>
              <w:jc w:val="center"/>
            </w:pPr>
          </w:p>
        </w:tc>
        <w:tc>
          <w:tcPr>
            <w:tcW w:w="1985" w:type="dxa"/>
            <w:vAlign w:val="center"/>
          </w:tcPr>
          <w:p>
            <w:pPr>
              <w:spacing w:line="240" w:lineRule="exact"/>
              <w:jc w:val="center"/>
              <w:rPr>
                <w:rFonts w:hint="eastAsia" w:eastAsia="宋体"/>
                <w:lang w:eastAsia="zh-CN"/>
              </w:rPr>
            </w:pPr>
            <w:r>
              <w:rPr>
                <w:rFonts w:hint="eastAsia"/>
                <w:lang w:eastAsia="zh-CN"/>
              </w:rPr>
              <w:t>废包装材料</w:t>
            </w:r>
          </w:p>
        </w:tc>
        <w:tc>
          <w:tcPr>
            <w:tcW w:w="1275" w:type="dxa"/>
            <w:vMerge w:val="restart"/>
            <w:vAlign w:val="center"/>
          </w:tcPr>
          <w:p>
            <w:pPr>
              <w:spacing w:line="240" w:lineRule="exact"/>
              <w:jc w:val="center"/>
              <w:rPr>
                <w:rFonts w:hint="eastAsia" w:eastAsia="宋体"/>
                <w:lang w:val="en-US" w:eastAsia="zh-CN"/>
              </w:rPr>
            </w:pPr>
            <w:r>
              <w:rPr>
                <w:rFonts w:hint="eastAsia"/>
                <w:lang w:val="en-US" w:eastAsia="zh-CN"/>
              </w:rPr>
              <w:t>1</w:t>
            </w:r>
          </w:p>
        </w:tc>
        <w:tc>
          <w:tcPr>
            <w:tcW w:w="3735" w:type="dxa"/>
            <w:vMerge w:val="continue"/>
            <w:vAlign w:val="center"/>
          </w:tcPr>
          <w:p>
            <w:pPr>
              <w:spacing w:line="240" w:lineRule="exact"/>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17" w:type="dxa"/>
            <w:vMerge w:val="restart"/>
            <w:vAlign w:val="center"/>
          </w:tcPr>
          <w:p>
            <w:pPr>
              <w:spacing w:line="240" w:lineRule="exact"/>
              <w:jc w:val="center"/>
              <w:rPr>
                <w:rFonts w:hint="eastAsia" w:eastAsia="宋体"/>
                <w:lang w:val="en-US" w:eastAsia="zh-CN"/>
              </w:rPr>
            </w:pPr>
            <w:r>
              <w:rPr>
                <w:rFonts w:hint="eastAsia"/>
                <w:lang w:val="en-US" w:eastAsia="zh-CN"/>
              </w:rPr>
              <w:t>2</w:t>
            </w:r>
          </w:p>
        </w:tc>
        <w:tc>
          <w:tcPr>
            <w:tcW w:w="1134" w:type="dxa"/>
            <w:vMerge w:val="restart"/>
            <w:vAlign w:val="center"/>
          </w:tcPr>
          <w:p>
            <w:pPr>
              <w:spacing w:line="240" w:lineRule="exact"/>
              <w:jc w:val="center"/>
            </w:pPr>
            <w:r>
              <w:t>污水</w:t>
            </w:r>
            <w:r>
              <w:rPr>
                <w:rFonts w:hint="eastAsia"/>
              </w:rPr>
              <w:t>处理</w:t>
            </w:r>
            <w:r>
              <w:t>站</w:t>
            </w:r>
          </w:p>
        </w:tc>
        <w:tc>
          <w:tcPr>
            <w:tcW w:w="1985" w:type="dxa"/>
            <w:vAlign w:val="center"/>
          </w:tcPr>
          <w:p>
            <w:pPr>
              <w:spacing w:line="240" w:lineRule="exact"/>
              <w:jc w:val="center"/>
            </w:pPr>
            <w:r>
              <w:t>污泥</w:t>
            </w:r>
          </w:p>
        </w:tc>
        <w:tc>
          <w:tcPr>
            <w:tcW w:w="1275" w:type="dxa"/>
            <w:vAlign w:val="center"/>
          </w:tcPr>
          <w:p>
            <w:pPr>
              <w:spacing w:line="240" w:lineRule="exact"/>
              <w:jc w:val="center"/>
              <w:rPr>
                <w:rFonts w:hint="default" w:eastAsia="宋体"/>
                <w:lang w:val="en-US" w:eastAsia="zh-CN"/>
              </w:rPr>
            </w:pPr>
            <w:r>
              <w:rPr>
                <w:rFonts w:hint="eastAsia"/>
                <w:lang w:val="en-US" w:eastAsia="zh-CN"/>
              </w:rPr>
              <w:t>2.43</w:t>
            </w:r>
          </w:p>
        </w:tc>
        <w:tc>
          <w:tcPr>
            <w:tcW w:w="3735" w:type="dxa"/>
            <w:vAlign w:val="center"/>
          </w:tcPr>
          <w:p>
            <w:pPr>
              <w:spacing w:line="240" w:lineRule="exact"/>
              <w:jc w:val="center"/>
            </w:pPr>
            <w:r>
              <w:t>脱水干化</w:t>
            </w:r>
            <w:r>
              <w:rPr>
                <w:rFonts w:hint="eastAsia"/>
              </w:rPr>
              <w:t>后外运处置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17" w:type="dxa"/>
            <w:vMerge w:val="continue"/>
            <w:vAlign w:val="center"/>
          </w:tcPr>
          <w:p>
            <w:pPr>
              <w:spacing w:line="240" w:lineRule="exact"/>
              <w:jc w:val="center"/>
            </w:pPr>
          </w:p>
        </w:tc>
        <w:tc>
          <w:tcPr>
            <w:tcW w:w="1134" w:type="dxa"/>
            <w:vMerge w:val="continue"/>
            <w:vAlign w:val="center"/>
          </w:tcPr>
          <w:p>
            <w:pPr>
              <w:spacing w:line="240" w:lineRule="exact"/>
              <w:jc w:val="center"/>
            </w:pPr>
          </w:p>
        </w:tc>
        <w:tc>
          <w:tcPr>
            <w:tcW w:w="1985" w:type="dxa"/>
            <w:vAlign w:val="center"/>
          </w:tcPr>
          <w:p>
            <w:pPr>
              <w:spacing w:line="240" w:lineRule="exact"/>
              <w:jc w:val="center"/>
            </w:pPr>
            <w:r>
              <w:rPr>
                <w:rFonts w:hint="eastAsia"/>
              </w:rPr>
              <w:t>栅渣</w:t>
            </w:r>
          </w:p>
        </w:tc>
        <w:tc>
          <w:tcPr>
            <w:tcW w:w="1275" w:type="dxa"/>
            <w:vAlign w:val="center"/>
          </w:tcPr>
          <w:p>
            <w:pPr>
              <w:spacing w:line="240" w:lineRule="exact"/>
              <w:jc w:val="center"/>
              <w:rPr>
                <w:rFonts w:hint="default" w:eastAsia="宋体"/>
                <w:lang w:val="en-US" w:eastAsia="zh-CN"/>
              </w:rPr>
            </w:pPr>
            <w:r>
              <w:rPr>
                <w:rFonts w:hint="eastAsia"/>
                <w:lang w:val="en-US" w:eastAsia="zh-CN"/>
              </w:rPr>
              <w:t>0.55</w:t>
            </w:r>
          </w:p>
        </w:tc>
        <w:tc>
          <w:tcPr>
            <w:tcW w:w="3735" w:type="dxa"/>
            <w:vAlign w:val="center"/>
          </w:tcPr>
          <w:p>
            <w:pPr>
              <w:spacing w:line="240" w:lineRule="exact"/>
              <w:jc w:val="center"/>
            </w:pPr>
            <w:r>
              <w:rPr>
                <w:rFonts w:hint="eastAsia"/>
              </w:rPr>
              <w:t>外运处置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7" w:hRule="exact"/>
          <w:jc w:val="center"/>
        </w:trPr>
        <w:tc>
          <w:tcPr>
            <w:tcW w:w="817" w:type="dxa"/>
            <w:vAlign w:val="center"/>
          </w:tcPr>
          <w:p>
            <w:pPr>
              <w:spacing w:line="240" w:lineRule="exact"/>
              <w:jc w:val="center"/>
              <w:rPr>
                <w:rFonts w:hint="eastAsia" w:eastAsia="宋体"/>
                <w:lang w:val="en-US" w:eastAsia="zh-CN"/>
              </w:rPr>
            </w:pPr>
            <w:r>
              <w:rPr>
                <w:rFonts w:hint="eastAsia"/>
                <w:lang w:val="en-US" w:eastAsia="zh-CN"/>
              </w:rPr>
              <w:t>3</w:t>
            </w:r>
          </w:p>
        </w:tc>
        <w:tc>
          <w:tcPr>
            <w:tcW w:w="1134" w:type="dxa"/>
            <w:vAlign w:val="center"/>
          </w:tcPr>
          <w:p>
            <w:pPr>
              <w:spacing w:line="240" w:lineRule="exact"/>
              <w:jc w:val="center"/>
            </w:pPr>
            <w:r>
              <w:t>企业职工</w:t>
            </w:r>
          </w:p>
        </w:tc>
        <w:tc>
          <w:tcPr>
            <w:tcW w:w="1985" w:type="dxa"/>
            <w:vAlign w:val="center"/>
          </w:tcPr>
          <w:p>
            <w:pPr>
              <w:spacing w:line="240" w:lineRule="exact"/>
              <w:jc w:val="center"/>
            </w:pPr>
            <w:r>
              <w:t>生活垃圾</w:t>
            </w:r>
          </w:p>
        </w:tc>
        <w:tc>
          <w:tcPr>
            <w:tcW w:w="1275" w:type="dxa"/>
            <w:vAlign w:val="center"/>
          </w:tcPr>
          <w:p>
            <w:pPr>
              <w:spacing w:line="240" w:lineRule="exact"/>
              <w:jc w:val="center"/>
              <w:rPr>
                <w:rFonts w:hint="default" w:eastAsia="宋体"/>
                <w:lang w:val="en-US" w:eastAsia="zh-CN"/>
              </w:rPr>
            </w:pPr>
            <w:r>
              <w:rPr>
                <w:rFonts w:hint="eastAsia"/>
                <w:lang w:val="en-US" w:eastAsia="zh-CN"/>
              </w:rPr>
              <w:t>90</w:t>
            </w:r>
          </w:p>
        </w:tc>
        <w:tc>
          <w:tcPr>
            <w:tcW w:w="3735" w:type="dxa"/>
            <w:vAlign w:val="center"/>
          </w:tcPr>
          <w:p>
            <w:pPr>
              <w:spacing w:line="240" w:lineRule="exact"/>
              <w:jc w:val="center"/>
            </w:pPr>
            <w:r>
              <w:t>环卫部门集中送至生活垃圾处理场处置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7" w:hRule="exact"/>
          <w:jc w:val="center"/>
        </w:trPr>
        <w:tc>
          <w:tcPr>
            <w:tcW w:w="817" w:type="dxa"/>
            <w:vAlign w:val="center"/>
          </w:tcPr>
          <w:p>
            <w:pPr>
              <w:spacing w:line="240" w:lineRule="exact"/>
              <w:jc w:val="center"/>
              <w:rPr>
                <w:rFonts w:hint="eastAsia" w:eastAsia="宋体"/>
                <w:lang w:val="en-US" w:eastAsia="zh-CN"/>
              </w:rPr>
            </w:pPr>
            <w:r>
              <w:rPr>
                <w:rFonts w:hint="eastAsia"/>
                <w:lang w:val="en-US" w:eastAsia="zh-CN"/>
              </w:rPr>
              <w:t>4</w:t>
            </w:r>
          </w:p>
        </w:tc>
        <w:tc>
          <w:tcPr>
            <w:tcW w:w="1134" w:type="dxa"/>
            <w:vAlign w:val="center"/>
          </w:tcPr>
          <w:p>
            <w:pPr>
              <w:spacing w:line="240" w:lineRule="exact"/>
              <w:jc w:val="center"/>
              <w:rPr>
                <w:rFonts w:hint="eastAsia" w:eastAsia="宋体"/>
                <w:lang w:eastAsia="zh-CN"/>
              </w:rPr>
            </w:pPr>
            <w:r>
              <w:rPr>
                <w:rFonts w:hint="eastAsia"/>
                <w:lang w:eastAsia="zh-CN"/>
              </w:rPr>
              <w:t>水洗</w:t>
            </w:r>
          </w:p>
        </w:tc>
        <w:tc>
          <w:tcPr>
            <w:tcW w:w="1985" w:type="dxa"/>
            <w:vAlign w:val="center"/>
          </w:tcPr>
          <w:p>
            <w:pPr>
              <w:spacing w:line="240" w:lineRule="exact"/>
              <w:jc w:val="center"/>
              <w:rPr>
                <w:rFonts w:hint="eastAsia" w:eastAsia="宋体"/>
                <w:lang w:eastAsia="zh-CN"/>
              </w:rPr>
            </w:pPr>
            <w:r>
              <w:rPr>
                <w:rFonts w:hint="eastAsia"/>
                <w:lang w:eastAsia="zh-CN"/>
              </w:rPr>
              <w:t>水洗添加剂空桶</w:t>
            </w:r>
          </w:p>
        </w:tc>
        <w:tc>
          <w:tcPr>
            <w:tcW w:w="1275" w:type="dxa"/>
            <w:vAlign w:val="center"/>
          </w:tcPr>
          <w:p>
            <w:pPr>
              <w:spacing w:line="240" w:lineRule="exact"/>
              <w:jc w:val="center"/>
              <w:rPr>
                <w:rFonts w:hint="default" w:eastAsia="宋体"/>
                <w:lang w:val="en-US" w:eastAsia="zh-CN"/>
              </w:rPr>
            </w:pPr>
            <w:r>
              <w:rPr>
                <w:rFonts w:hint="eastAsia"/>
                <w:lang w:val="en-US" w:eastAsia="zh-CN"/>
              </w:rPr>
              <w:t>0.2</w:t>
            </w:r>
          </w:p>
        </w:tc>
        <w:tc>
          <w:tcPr>
            <w:tcW w:w="3735" w:type="dxa"/>
            <w:vAlign w:val="center"/>
          </w:tcPr>
          <w:p>
            <w:pPr>
              <w:spacing w:line="240" w:lineRule="exact"/>
              <w:jc w:val="center"/>
              <w:rPr>
                <w:rFonts w:hint="eastAsia" w:eastAsia="宋体"/>
                <w:lang w:eastAsia="zh-CN"/>
              </w:rPr>
            </w:pPr>
            <w:r>
              <w:rPr>
                <w:rFonts w:hint="eastAsia"/>
                <w:lang w:eastAsia="zh-CN"/>
              </w:rPr>
              <w:t>在厂区暂存后由商家回收</w:t>
            </w:r>
          </w:p>
        </w:tc>
      </w:tr>
    </w:tbl>
    <w:p>
      <w:pPr>
        <w:ind w:firstLine="480" w:firstLineChars="200"/>
        <w:rPr>
          <w:sz w:val="24"/>
          <w:szCs w:val="24"/>
        </w:rPr>
      </w:pPr>
    </w:p>
    <w:p>
      <w:pPr>
        <w:ind w:firstLine="480" w:firstLineChars="200"/>
        <w:rPr>
          <w:sz w:val="24"/>
          <w:szCs w:val="24"/>
        </w:rPr>
      </w:pPr>
      <w:r>
        <w:rPr>
          <w:sz w:val="24"/>
          <w:szCs w:val="24"/>
        </w:rPr>
        <w:t>2、固废处置措施及可行性分析</w:t>
      </w:r>
    </w:p>
    <w:p>
      <w:pPr>
        <w:ind w:firstLine="480" w:firstLineChars="200"/>
        <w:rPr>
          <w:sz w:val="24"/>
          <w:szCs w:val="24"/>
        </w:rPr>
      </w:pPr>
      <w:r>
        <w:rPr>
          <w:sz w:val="24"/>
          <w:szCs w:val="24"/>
        </w:rPr>
        <w:t>（1）处置措施</w:t>
      </w:r>
    </w:p>
    <w:p>
      <w:pPr>
        <w:widowControl/>
        <w:ind w:firstLine="480" w:firstLineChars="200"/>
        <w:rPr>
          <w:bCs/>
          <w:sz w:val="24"/>
          <w:szCs w:val="24"/>
        </w:rPr>
      </w:pPr>
      <w:r>
        <w:rPr>
          <w:sz w:val="24"/>
          <w:szCs w:val="24"/>
        </w:rPr>
        <w:t>根据《一般工业固体废物贮存、处置场污染控制标准》（GB18559-2001）及其2013年修改单要求，项目需规范设置一般工业固废暂存区用于一般工业固废的分类暂存，其中</w:t>
      </w:r>
      <w:r>
        <w:rPr>
          <w:rFonts w:hint="default" w:ascii="Times New Roman" w:hAnsi="Times New Roman" w:eastAsia="宋体" w:cs="Times New Roman"/>
          <w:sz w:val="24"/>
          <w:szCs w:val="24"/>
        </w:rPr>
        <w:t>边角废料</w:t>
      </w:r>
      <w:r>
        <w:rPr>
          <w:rFonts w:hint="eastAsia" w:ascii="Times New Roman" w:hAnsi="Times New Roman" w:cs="Times New Roman"/>
          <w:sz w:val="24"/>
          <w:szCs w:val="24"/>
          <w:lang w:eastAsia="zh-CN"/>
        </w:rPr>
        <w:t>、不合格品、废包装材料经收集后资源外售</w:t>
      </w:r>
      <w:r>
        <w:rPr>
          <w:rFonts w:hint="eastAsia"/>
          <w:sz w:val="24"/>
          <w:szCs w:val="24"/>
        </w:rPr>
        <w:t>；</w:t>
      </w:r>
      <w:r>
        <w:rPr>
          <w:sz w:val="24"/>
          <w:szCs w:val="24"/>
        </w:rPr>
        <w:t>污水处理站</w:t>
      </w:r>
      <w:r>
        <w:rPr>
          <w:rFonts w:hint="eastAsia"/>
          <w:sz w:val="24"/>
          <w:szCs w:val="24"/>
        </w:rPr>
        <w:t>污泥经脱水后和栅渣外运处置。</w:t>
      </w:r>
    </w:p>
    <w:p>
      <w:pPr>
        <w:widowControl/>
        <w:tabs>
          <w:tab w:val="left" w:pos="675"/>
          <w:tab w:val="center" w:pos="4381"/>
        </w:tabs>
        <w:ind w:firstLine="480" w:firstLineChars="200"/>
        <w:rPr>
          <w:rFonts w:hint="eastAsia" w:eastAsia="宋体"/>
          <w:color w:val="7030A0"/>
          <w:sz w:val="24"/>
          <w:szCs w:val="24"/>
          <w:lang w:eastAsia="zh-CN"/>
        </w:rPr>
      </w:pPr>
      <w:r>
        <w:rPr>
          <w:sz w:val="24"/>
          <w:szCs w:val="24"/>
        </w:rPr>
        <w:t>项目生活垃圾统一由当地环卫部门定期清理外运。</w:t>
      </w:r>
      <w:r>
        <w:rPr>
          <w:rFonts w:hint="eastAsia"/>
          <w:sz w:val="24"/>
          <w:szCs w:val="24"/>
          <w:lang w:eastAsia="zh-CN"/>
        </w:rPr>
        <w:t>水洗添加剂空桶由商家回收。</w:t>
      </w:r>
    </w:p>
    <w:p>
      <w:pPr>
        <w:numPr>
          <w:ilvl w:val="0"/>
          <w:numId w:val="10"/>
        </w:numPr>
        <w:ind w:firstLine="480" w:firstLineChars="200"/>
        <w:rPr>
          <w:sz w:val="24"/>
          <w:szCs w:val="24"/>
        </w:rPr>
      </w:pPr>
      <w:r>
        <w:rPr>
          <w:sz w:val="24"/>
          <w:szCs w:val="24"/>
        </w:rPr>
        <w:t>处置要求及可行性分析</w:t>
      </w:r>
    </w:p>
    <w:p>
      <w:pPr>
        <w:ind w:firstLine="480" w:firstLineChars="200"/>
        <w:rPr>
          <w:bCs/>
          <w:sz w:val="24"/>
          <w:szCs w:val="24"/>
        </w:rPr>
      </w:pPr>
      <w:r>
        <w:rPr>
          <w:bCs/>
          <w:sz w:val="24"/>
          <w:szCs w:val="24"/>
        </w:rPr>
        <w:t>项目按照《一般工业固体废物贮存、处置场污染控制标准》有关规定，企业不能利用，且不属危险废物的工业固体废物，必须按照国家环保主管部门规定：建设贮存或者处置设施。</w:t>
      </w:r>
    </w:p>
    <w:p>
      <w:pPr>
        <w:ind w:firstLine="480" w:firstLineChars="200"/>
        <w:rPr>
          <w:bCs/>
          <w:sz w:val="24"/>
          <w:szCs w:val="24"/>
        </w:rPr>
      </w:pPr>
      <w:r>
        <w:rPr>
          <w:bCs/>
          <w:sz w:val="24"/>
          <w:szCs w:val="24"/>
        </w:rPr>
        <w:t>本项目应按照国家《一般工业固体废物贮存、处置场污染控制标准》（GB18599－2001）及2013年修改单的要求设置贮存场所。按照通常做法，首先进行分类，然后对可再次利用的固废进行综合利用，不可再次利用的经分类收集、储存并资源外售或交由环卫部门清运。严禁乱堆乱放和随便倾倒。堆场应做水泥地面和围堰，并设置棚仓，采取防扬散、防流失、防止雨水的冲刷及防渗漏等措施。一般固废在运输过程中要防止散落地面，以免产生二次污染。一般固废遵循资源化、无害化的方式进行处理。生活垃圾应环卫部门负责清运，不得随意堆置。</w:t>
      </w:r>
    </w:p>
    <w:p>
      <w:pPr>
        <w:ind w:firstLine="480" w:firstLineChars="200"/>
        <w:rPr>
          <w:color w:val="000000"/>
          <w:sz w:val="24"/>
        </w:rPr>
      </w:pPr>
      <w:r>
        <w:rPr>
          <w:sz w:val="24"/>
          <w:szCs w:val="24"/>
        </w:rPr>
        <w:t>综上</w:t>
      </w:r>
      <w:r>
        <w:rPr>
          <w:sz w:val="24"/>
        </w:rPr>
        <w:t>所述，在采取上述污染防治措</w:t>
      </w:r>
      <w:r>
        <w:rPr>
          <w:color w:val="000000"/>
          <w:sz w:val="24"/>
        </w:rPr>
        <w:t>施后，本项目所产生的固体废物均可得到合理、有效的处理和处置，其产生的固体废弃物不会对周围环境造成二次污染。</w:t>
      </w:r>
    </w:p>
    <w:p>
      <w:pPr>
        <w:pStyle w:val="7"/>
        <w:rPr>
          <w:szCs w:val="24"/>
        </w:rPr>
      </w:pPr>
      <w:r>
        <w:rPr>
          <w:szCs w:val="24"/>
        </w:rPr>
        <w:t>6.2.5 规范化排污口设置</w:t>
      </w:r>
    </w:p>
    <w:p>
      <w:pPr>
        <w:ind w:firstLine="480" w:firstLineChars="200"/>
        <w:rPr>
          <w:sz w:val="24"/>
          <w:szCs w:val="24"/>
        </w:rPr>
      </w:pPr>
      <w:r>
        <w:rPr>
          <w:rFonts w:hint="eastAsia"/>
          <w:sz w:val="24"/>
          <w:szCs w:val="24"/>
        </w:rPr>
        <w:t>1</w:t>
      </w:r>
      <w:r>
        <w:rPr>
          <w:sz w:val="24"/>
          <w:szCs w:val="24"/>
        </w:rPr>
        <w:t>、废</w:t>
      </w:r>
      <w:r>
        <w:rPr>
          <w:rFonts w:hint="eastAsia"/>
          <w:sz w:val="24"/>
          <w:szCs w:val="24"/>
          <w:lang w:eastAsia="zh-CN"/>
        </w:rPr>
        <w:t>水</w:t>
      </w:r>
      <w:r>
        <w:rPr>
          <w:sz w:val="24"/>
          <w:szCs w:val="24"/>
        </w:rPr>
        <w:t>排气筒规范化</w:t>
      </w:r>
    </w:p>
    <w:p>
      <w:pPr>
        <w:ind w:firstLine="480" w:firstLineChars="200"/>
        <w:rPr>
          <w:sz w:val="24"/>
          <w:szCs w:val="24"/>
        </w:rPr>
      </w:pPr>
      <w:r>
        <w:rPr>
          <w:sz w:val="24"/>
          <w:szCs w:val="24"/>
        </w:rPr>
        <w:t>建设项目设</w:t>
      </w:r>
      <w:r>
        <w:rPr>
          <w:rFonts w:hint="eastAsia"/>
          <w:sz w:val="24"/>
          <w:szCs w:val="24"/>
        </w:rPr>
        <w:t>1</w:t>
      </w:r>
      <w:r>
        <w:rPr>
          <w:sz w:val="24"/>
          <w:szCs w:val="24"/>
        </w:rPr>
        <w:t>个</w:t>
      </w:r>
      <w:r>
        <w:rPr>
          <w:rFonts w:hint="eastAsia"/>
          <w:sz w:val="24"/>
          <w:szCs w:val="24"/>
          <w:lang w:eastAsia="zh-CN"/>
        </w:rPr>
        <w:t>废水</w:t>
      </w:r>
      <w:r>
        <w:rPr>
          <w:sz w:val="24"/>
          <w:szCs w:val="24"/>
        </w:rPr>
        <w:t>排放口，应按要求装好标志牌</w:t>
      </w:r>
      <w:r>
        <w:rPr>
          <w:rFonts w:hint="eastAsia"/>
          <w:sz w:val="24"/>
          <w:szCs w:val="24"/>
          <w:lang w:eastAsia="zh-CN"/>
        </w:rPr>
        <w:t>，</w:t>
      </w:r>
      <w:r>
        <w:rPr>
          <w:sz w:val="24"/>
          <w:szCs w:val="24"/>
        </w:rPr>
        <w:t>应符合国家</w:t>
      </w:r>
      <w:r>
        <w:rPr>
          <w:rFonts w:hint="eastAsia"/>
          <w:sz w:val="24"/>
          <w:szCs w:val="24"/>
          <w:lang w:eastAsia="zh-CN"/>
        </w:rPr>
        <w:t>废水排放口</w:t>
      </w:r>
      <w:r>
        <w:rPr>
          <w:sz w:val="24"/>
          <w:szCs w:val="24"/>
        </w:rPr>
        <w:t>的有关规定。</w:t>
      </w:r>
    </w:p>
    <w:p>
      <w:pPr>
        <w:ind w:firstLine="480" w:firstLineChars="200"/>
        <w:rPr>
          <w:sz w:val="24"/>
          <w:szCs w:val="24"/>
        </w:rPr>
      </w:pPr>
      <w:r>
        <w:rPr>
          <w:rFonts w:hint="eastAsia"/>
          <w:sz w:val="24"/>
          <w:szCs w:val="24"/>
        </w:rPr>
        <w:t>2</w:t>
      </w:r>
      <w:r>
        <w:rPr>
          <w:sz w:val="24"/>
          <w:szCs w:val="24"/>
        </w:rPr>
        <w:t>、固体废物临时贮存（处置）场所规范化</w:t>
      </w:r>
    </w:p>
    <w:p>
      <w:pPr>
        <w:pStyle w:val="51"/>
        <w:adjustRightInd/>
        <w:snapToGrid/>
        <w:jc w:val="both"/>
        <w:rPr>
          <w:rFonts w:cs="Times New Roman"/>
          <w:szCs w:val="24"/>
        </w:rPr>
      </w:pPr>
      <w:r>
        <w:rPr>
          <w:rFonts w:cs="Times New Roman"/>
          <w:szCs w:val="24"/>
        </w:rPr>
        <w:t>对于固体废物应设置专用贮存、堆放场地。各类固休废物贮存场所均应设置醒目的标志牌。</w:t>
      </w:r>
    </w:p>
    <w:p>
      <w:pPr>
        <w:pStyle w:val="51"/>
        <w:adjustRightInd/>
        <w:snapToGrid/>
        <w:jc w:val="both"/>
        <w:rPr>
          <w:rFonts w:cs="Times New Roman"/>
          <w:szCs w:val="24"/>
        </w:rPr>
      </w:pPr>
      <w:r>
        <w:rPr>
          <w:rFonts w:cs="Times New Roman"/>
          <w:szCs w:val="24"/>
        </w:rPr>
        <w:t>标示牌的设置应按《关于印发排放口标志牌技术规格的通知》（</w:t>
      </w:r>
      <w:r>
        <w:rPr>
          <w:rFonts w:cs="Times New Roman"/>
          <w:kern w:val="0"/>
          <w:szCs w:val="24"/>
        </w:rPr>
        <w:t>环办[2003]95</w:t>
      </w:r>
      <w:r>
        <w:rPr>
          <w:rFonts w:cs="Times New Roman"/>
          <w:szCs w:val="24"/>
        </w:rPr>
        <w:t>号）中的相关规定实施，统计所有排污口的名称、位置、数量，以及排放的污染物名称、数量等内容上报当地环保部门，以便进行验收和排污口的规范化管理。</w:t>
      </w:r>
    </w:p>
    <w:p>
      <w:pPr>
        <w:pStyle w:val="7"/>
        <w:rPr>
          <w:szCs w:val="24"/>
        </w:rPr>
      </w:pPr>
      <w:r>
        <w:rPr>
          <w:szCs w:val="24"/>
        </w:rPr>
        <w:t>6.2.6 环境保护投入估算</w:t>
      </w:r>
    </w:p>
    <w:p>
      <w:pPr>
        <w:pStyle w:val="51"/>
        <w:adjustRightInd/>
        <w:snapToGrid/>
        <w:jc w:val="both"/>
        <w:rPr>
          <w:rFonts w:cs="Times New Roman"/>
          <w:szCs w:val="24"/>
        </w:rPr>
      </w:pPr>
      <w:r>
        <w:rPr>
          <w:rFonts w:cs="Times New Roman"/>
          <w:szCs w:val="24"/>
        </w:rPr>
        <w:t>项目环境保护投入包括为预防和减缓建设项目不利环境影响而采取的各项环境保护措施和设施的建设费用、运行维护费用，直接为建设项目服务的环境管理与监测费用以及相关科研费用。</w:t>
      </w:r>
    </w:p>
    <w:p>
      <w:pPr>
        <w:pStyle w:val="51"/>
        <w:adjustRightInd/>
        <w:snapToGrid/>
        <w:jc w:val="both"/>
        <w:rPr>
          <w:rFonts w:cs="Times New Roman"/>
          <w:szCs w:val="24"/>
        </w:rPr>
      </w:pPr>
      <w:r>
        <w:rPr>
          <w:rFonts w:cs="Times New Roman"/>
          <w:szCs w:val="24"/>
        </w:rPr>
        <w:t>项目具体环境保护投入估算如下表6</w:t>
      </w:r>
      <w:r>
        <w:rPr>
          <w:rFonts w:hint="eastAsia" w:cs="Times New Roman"/>
          <w:szCs w:val="24"/>
          <w:lang w:val="en-US" w:eastAsia="zh-CN"/>
        </w:rPr>
        <w:t>.</w:t>
      </w:r>
      <w:r>
        <w:rPr>
          <w:rFonts w:cs="Times New Roman"/>
          <w:szCs w:val="24"/>
        </w:rPr>
        <w:t>2-6。</w:t>
      </w:r>
    </w:p>
    <w:p>
      <w:pPr>
        <w:pStyle w:val="51"/>
        <w:adjustRightInd/>
        <w:snapToGrid/>
        <w:ind w:firstLine="0" w:firstLineChars="0"/>
        <w:jc w:val="both"/>
        <w:rPr>
          <w:rFonts w:cs="Times New Roman"/>
          <w:szCs w:val="24"/>
        </w:rPr>
        <w:sectPr>
          <w:pgSz w:w="11907" w:h="16840"/>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tabs>
          <w:tab w:val="center" w:pos="7002"/>
        </w:tabs>
        <w:jc w:val="center"/>
        <w:rPr>
          <w:b/>
          <w:bCs/>
          <w:sz w:val="24"/>
          <w:szCs w:val="24"/>
        </w:rPr>
      </w:pPr>
      <w:r>
        <w:rPr>
          <w:b/>
          <w:bCs/>
          <w:sz w:val="24"/>
          <w:szCs w:val="24"/>
        </w:rPr>
        <w:t>表6</w:t>
      </w:r>
      <w:r>
        <w:rPr>
          <w:rFonts w:hint="eastAsia"/>
          <w:b/>
          <w:bCs/>
          <w:sz w:val="24"/>
          <w:szCs w:val="24"/>
          <w:lang w:val="en-US" w:eastAsia="zh-CN"/>
        </w:rPr>
        <w:t>.</w:t>
      </w:r>
      <w:r>
        <w:rPr>
          <w:b/>
          <w:bCs/>
          <w:sz w:val="24"/>
          <w:szCs w:val="24"/>
        </w:rPr>
        <w:t>2-6  项目环保投入估算一览表</w:t>
      </w:r>
    </w:p>
    <w:tbl>
      <w:tblPr>
        <w:tblStyle w:val="22"/>
        <w:tblW w:w="1421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276"/>
        <w:gridCol w:w="2882"/>
        <w:gridCol w:w="3213"/>
        <w:gridCol w:w="838"/>
        <w:gridCol w:w="1289"/>
        <w:gridCol w:w="40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674" w:type="dxa"/>
            <w:vAlign w:val="center"/>
          </w:tcPr>
          <w:p>
            <w:pPr>
              <w:spacing w:line="240" w:lineRule="auto"/>
              <w:jc w:val="center"/>
            </w:pPr>
            <w:r>
              <w:t>类别</w:t>
            </w:r>
          </w:p>
        </w:tc>
        <w:tc>
          <w:tcPr>
            <w:tcW w:w="1276" w:type="dxa"/>
            <w:vAlign w:val="center"/>
          </w:tcPr>
          <w:p>
            <w:pPr>
              <w:spacing w:line="240" w:lineRule="auto"/>
              <w:jc w:val="center"/>
            </w:pPr>
            <w:r>
              <w:t>污染源</w:t>
            </w:r>
          </w:p>
        </w:tc>
        <w:tc>
          <w:tcPr>
            <w:tcW w:w="2882" w:type="dxa"/>
            <w:vAlign w:val="center"/>
          </w:tcPr>
          <w:p>
            <w:pPr>
              <w:spacing w:line="240" w:lineRule="auto"/>
              <w:jc w:val="center"/>
            </w:pPr>
            <w:r>
              <w:t>污染物</w:t>
            </w:r>
          </w:p>
        </w:tc>
        <w:tc>
          <w:tcPr>
            <w:tcW w:w="3213" w:type="dxa"/>
            <w:vAlign w:val="center"/>
          </w:tcPr>
          <w:p>
            <w:pPr>
              <w:spacing w:line="240" w:lineRule="auto"/>
              <w:jc w:val="center"/>
            </w:pPr>
            <w:r>
              <w:t>措施及设施名称</w:t>
            </w:r>
          </w:p>
        </w:tc>
        <w:tc>
          <w:tcPr>
            <w:tcW w:w="838" w:type="dxa"/>
            <w:vAlign w:val="center"/>
          </w:tcPr>
          <w:p>
            <w:pPr>
              <w:spacing w:line="240" w:lineRule="auto"/>
              <w:jc w:val="center"/>
            </w:pPr>
            <w:r>
              <w:t>数量</w:t>
            </w:r>
          </w:p>
        </w:tc>
        <w:tc>
          <w:tcPr>
            <w:tcW w:w="1289" w:type="dxa"/>
            <w:vAlign w:val="center"/>
          </w:tcPr>
          <w:p>
            <w:pPr>
              <w:spacing w:line="240" w:lineRule="auto"/>
              <w:jc w:val="center"/>
            </w:pPr>
            <w:r>
              <w:t>投</w:t>
            </w:r>
            <w:r>
              <w:rPr>
                <w:spacing w:val="-20"/>
              </w:rPr>
              <w:t>资（</w:t>
            </w:r>
            <w:r>
              <w:t>万元）</w:t>
            </w:r>
          </w:p>
        </w:tc>
        <w:tc>
          <w:tcPr>
            <w:tcW w:w="4046" w:type="dxa"/>
            <w:vAlign w:val="center"/>
          </w:tcPr>
          <w:p>
            <w:pPr>
              <w:spacing w:line="240" w:lineRule="auto"/>
              <w:jc w:val="center"/>
            </w:pPr>
            <w:r>
              <w:rPr>
                <w:bCs/>
              </w:rPr>
              <w:t>处理效果、执行标准或拟达要求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jc w:val="center"/>
        </w:trPr>
        <w:tc>
          <w:tcPr>
            <w:tcW w:w="674" w:type="dxa"/>
            <w:vMerge w:val="restart"/>
            <w:vAlign w:val="center"/>
          </w:tcPr>
          <w:p>
            <w:pPr>
              <w:spacing w:line="240" w:lineRule="auto"/>
              <w:jc w:val="center"/>
            </w:pPr>
            <w:r>
              <w:t>废水</w:t>
            </w:r>
          </w:p>
        </w:tc>
        <w:tc>
          <w:tcPr>
            <w:tcW w:w="1276" w:type="dxa"/>
            <w:vAlign w:val="center"/>
          </w:tcPr>
          <w:p>
            <w:pPr>
              <w:spacing w:line="240" w:lineRule="auto"/>
              <w:jc w:val="center"/>
              <w:rPr>
                <w:rFonts w:hint="eastAsia" w:eastAsia="宋体"/>
                <w:lang w:eastAsia="zh-CN"/>
              </w:rPr>
            </w:pPr>
            <w:r>
              <w:rPr>
                <w:rFonts w:hint="eastAsia"/>
                <w:lang w:eastAsia="zh-CN"/>
              </w:rPr>
              <w:t>生产废水</w:t>
            </w:r>
          </w:p>
        </w:tc>
        <w:tc>
          <w:tcPr>
            <w:tcW w:w="2882" w:type="dxa"/>
            <w:vAlign w:val="center"/>
          </w:tcPr>
          <w:p>
            <w:pPr>
              <w:spacing w:line="240" w:lineRule="auto"/>
              <w:jc w:val="center"/>
              <w:rPr>
                <w:rFonts w:hint="default" w:eastAsia="宋体"/>
                <w:snapToGrid w:val="0"/>
                <w:kern w:val="18"/>
                <w:lang w:val="en-US" w:eastAsia="zh-CN"/>
              </w:rPr>
            </w:pPr>
            <w:r>
              <w:rPr>
                <w:snapToGrid w:val="0"/>
                <w:kern w:val="18"/>
              </w:rPr>
              <w:t>COD、BOD</w:t>
            </w:r>
            <w:r>
              <w:rPr>
                <w:snapToGrid w:val="0"/>
                <w:kern w:val="18"/>
                <w:vertAlign w:val="subscript"/>
              </w:rPr>
              <w:t>5</w:t>
            </w:r>
            <w:r>
              <w:rPr>
                <w:snapToGrid w:val="0"/>
                <w:kern w:val="18"/>
              </w:rPr>
              <w:t>、SS、NH</w:t>
            </w:r>
            <w:r>
              <w:rPr>
                <w:snapToGrid w:val="0"/>
                <w:kern w:val="18"/>
                <w:vertAlign w:val="subscript"/>
              </w:rPr>
              <w:t>3</w:t>
            </w:r>
            <w:r>
              <w:rPr>
                <w:snapToGrid w:val="0"/>
                <w:kern w:val="18"/>
              </w:rPr>
              <w:t>-N、</w:t>
            </w:r>
            <w:r>
              <w:rPr>
                <w:rFonts w:hint="eastAsia"/>
                <w:snapToGrid w:val="0"/>
                <w:kern w:val="18"/>
                <w:lang w:val="en-US" w:eastAsia="zh-CN"/>
              </w:rPr>
              <w:t>TP、LAS、色度</w:t>
            </w:r>
          </w:p>
        </w:tc>
        <w:tc>
          <w:tcPr>
            <w:tcW w:w="3213" w:type="dxa"/>
            <w:vAlign w:val="center"/>
          </w:tcPr>
          <w:p>
            <w:pPr>
              <w:spacing w:line="240" w:lineRule="auto"/>
              <w:jc w:val="center"/>
              <w:rPr>
                <w:snapToGrid w:val="0"/>
                <w:kern w:val="18"/>
              </w:rPr>
            </w:pPr>
            <w:r>
              <w:rPr>
                <w:rFonts w:hint="eastAsia"/>
                <w:snapToGrid w:val="0"/>
                <w:kern w:val="18"/>
              </w:rPr>
              <w:t>日处理能力为</w:t>
            </w:r>
            <w:r>
              <w:rPr>
                <w:rFonts w:hint="eastAsia"/>
                <w:snapToGrid w:val="0"/>
                <w:kern w:val="18"/>
                <w:lang w:val="en-US" w:eastAsia="zh-CN"/>
              </w:rPr>
              <w:t>2</w:t>
            </w:r>
            <w:r>
              <w:rPr>
                <w:rFonts w:hint="eastAsia"/>
                <w:snapToGrid w:val="0"/>
                <w:kern w:val="18"/>
              </w:rPr>
              <w:t>0m</w:t>
            </w:r>
            <w:r>
              <w:rPr>
                <w:rFonts w:hint="eastAsia"/>
                <w:snapToGrid w:val="0"/>
                <w:kern w:val="18"/>
                <w:vertAlign w:val="superscript"/>
              </w:rPr>
              <w:t>3</w:t>
            </w:r>
            <w:r>
              <w:rPr>
                <w:rFonts w:hint="eastAsia"/>
                <w:snapToGrid w:val="0"/>
                <w:kern w:val="18"/>
              </w:rPr>
              <w:t>，处理工艺为</w:t>
            </w:r>
            <w:r>
              <w:rPr>
                <w:snapToGrid w:val="0"/>
                <w:kern w:val="18"/>
              </w:rPr>
              <w:t>“预处理</w:t>
            </w:r>
            <w:r>
              <w:rPr>
                <w:rFonts w:hint="eastAsia"/>
                <w:snapToGrid w:val="0"/>
                <w:kern w:val="18"/>
                <w:lang w:val="en-US" w:eastAsia="zh-CN"/>
              </w:rPr>
              <w:t>+</w:t>
            </w:r>
            <w:r>
              <w:rPr>
                <w:rFonts w:hint="eastAsia"/>
                <w:snapToGrid w:val="0"/>
                <w:kern w:val="18"/>
              </w:rPr>
              <w:t>A</w:t>
            </w:r>
            <w:r>
              <w:rPr>
                <w:rFonts w:hint="eastAsia"/>
                <w:snapToGrid w:val="0"/>
                <w:kern w:val="18"/>
                <w:lang w:val="en-US" w:eastAsia="zh-CN"/>
              </w:rPr>
              <w:t>/</w:t>
            </w:r>
            <w:r>
              <w:rPr>
                <w:rFonts w:hint="eastAsia"/>
                <w:snapToGrid w:val="0"/>
                <w:kern w:val="18"/>
              </w:rPr>
              <w:t>O</w:t>
            </w:r>
            <w:r>
              <w:rPr>
                <w:snapToGrid w:val="0"/>
                <w:kern w:val="18"/>
              </w:rPr>
              <w:t>”污水处理设备1套</w:t>
            </w:r>
          </w:p>
        </w:tc>
        <w:tc>
          <w:tcPr>
            <w:tcW w:w="838" w:type="dxa"/>
            <w:vAlign w:val="center"/>
          </w:tcPr>
          <w:p>
            <w:pPr>
              <w:tabs>
                <w:tab w:val="left" w:pos="447"/>
              </w:tabs>
              <w:spacing w:line="240" w:lineRule="auto"/>
              <w:ind w:firstLine="210" w:firstLineChars="100"/>
              <w:jc w:val="left"/>
              <w:rPr>
                <w:rFonts w:hint="eastAsia" w:eastAsia="宋体"/>
                <w:lang w:eastAsia="zh-CN"/>
              </w:rPr>
            </w:pPr>
            <w:r>
              <w:t>1</w:t>
            </w:r>
            <w:r>
              <w:rPr>
                <w:rFonts w:hint="eastAsia"/>
                <w:lang w:eastAsia="zh-CN"/>
              </w:rPr>
              <w:t>套</w:t>
            </w:r>
          </w:p>
        </w:tc>
        <w:tc>
          <w:tcPr>
            <w:tcW w:w="1289" w:type="dxa"/>
            <w:vAlign w:val="center"/>
          </w:tcPr>
          <w:p>
            <w:pPr>
              <w:spacing w:line="240" w:lineRule="auto"/>
              <w:jc w:val="center"/>
              <w:rPr>
                <w:rFonts w:hint="default" w:eastAsia="宋体"/>
                <w:lang w:val="en-US" w:eastAsia="zh-CN"/>
              </w:rPr>
            </w:pPr>
            <w:r>
              <w:rPr>
                <w:rFonts w:hint="eastAsia"/>
                <w:lang w:val="en-US" w:eastAsia="zh-CN"/>
              </w:rPr>
              <w:t>15</w:t>
            </w:r>
          </w:p>
        </w:tc>
        <w:tc>
          <w:tcPr>
            <w:tcW w:w="4046" w:type="dxa"/>
            <w:vMerge w:val="restart"/>
            <w:vAlign w:val="center"/>
          </w:tcPr>
          <w:p>
            <w:pPr>
              <w:spacing w:line="240" w:lineRule="auto"/>
              <w:jc w:val="center"/>
            </w:pPr>
            <w:r>
              <w:t>项目废水经处理达到</w:t>
            </w:r>
            <w:r>
              <w:rPr>
                <w:rFonts w:hint="default"/>
              </w:rPr>
              <w:t>《污水综合排放标准》（GB8978-1996）表4中三级标准，其中</w:t>
            </w:r>
            <w:r>
              <w:rPr>
                <w:rFonts w:hint="eastAsia"/>
                <w:lang w:eastAsia="zh-CN"/>
              </w:rPr>
              <w:t>总磷和</w:t>
            </w:r>
            <w:r>
              <w:rPr>
                <w:rFonts w:hint="default"/>
              </w:rPr>
              <w:t>氨氮参照执行《污水排入城镇下水道水质标准》（GB/T 31962-2015）中B等级标准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09" w:hRule="atLeast"/>
          <w:jc w:val="center"/>
        </w:trPr>
        <w:tc>
          <w:tcPr>
            <w:tcW w:w="674" w:type="dxa"/>
            <w:vMerge w:val="continue"/>
            <w:vAlign w:val="center"/>
          </w:tcPr>
          <w:p>
            <w:pPr>
              <w:spacing w:line="240" w:lineRule="auto"/>
              <w:jc w:val="center"/>
            </w:pPr>
          </w:p>
        </w:tc>
        <w:tc>
          <w:tcPr>
            <w:tcW w:w="1276" w:type="dxa"/>
            <w:vAlign w:val="center"/>
          </w:tcPr>
          <w:p>
            <w:pPr>
              <w:spacing w:line="240" w:lineRule="auto"/>
              <w:jc w:val="center"/>
              <w:rPr>
                <w:rFonts w:hint="eastAsia" w:eastAsia="宋体"/>
                <w:lang w:eastAsia="zh-CN"/>
              </w:rPr>
            </w:pPr>
            <w:r>
              <w:rPr>
                <w:rFonts w:hint="eastAsia"/>
                <w:lang w:eastAsia="zh-CN"/>
              </w:rPr>
              <w:t>生活污水</w:t>
            </w:r>
          </w:p>
        </w:tc>
        <w:tc>
          <w:tcPr>
            <w:tcW w:w="2882" w:type="dxa"/>
            <w:vAlign w:val="center"/>
          </w:tcPr>
          <w:p>
            <w:pPr>
              <w:spacing w:line="240" w:lineRule="auto"/>
              <w:jc w:val="center"/>
              <w:rPr>
                <w:snapToGrid w:val="0"/>
                <w:kern w:val="18"/>
              </w:rPr>
            </w:pPr>
            <w:r>
              <w:rPr>
                <w:snapToGrid w:val="0"/>
                <w:kern w:val="18"/>
              </w:rPr>
              <w:t>COD、BOD</w:t>
            </w:r>
            <w:r>
              <w:rPr>
                <w:snapToGrid w:val="0"/>
                <w:kern w:val="18"/>
                <w:vertAlign w:val="subscript"/>
              </w:rPr>
              <w:t>5</w:t>
            </w:r>
            <w:r>
              <w:rPr>
                <w:snapToGrid w:val="0"/>
                <w:kern w:val="18"/>
              </w:rPr>
              <w:t>、SS、NH</w:t>
            </w:r>
            <w:r>
              <w:rPr>
                <w:snapToGrid w:val="0"/>
                <w:kern w:val="18"/>
                <w:vertAlign w:val="subscript"/>
              </w:rPr>
              <w:t>3</w:t>
            </w:r>
            <w:r>
              <w:rPr>
                <w:snapToGrid w:val="0"/>
                <w:kern w:val="18"/>
              </w:rPr>
              <w:t>-N、动植物油</w:t>
            </w:r>
          </w:p>
        </w:tc>
        <w:tc>
          <w:tcPr>
            <w:tcW w:w="3213" w:type="dxa"/>
            <w:vAlign w:val="center"/>
          </w:tcPr>
          <w:p>
            <w:pPr>
              <w:spacing w:line="240" w:lineRule="auto"/>
              <w:jc w:val="center"/>
              <w:rPr>
                <w:rFonts w:hint="default" w:eastAsia="宋体"/>
                <w:snapToGrid w:val="0"/>
                <w:kern w:val="18"/>
                <w:lang w:val="en-US" w:eastAsia="zh-CN"/>
              </w:rPr>
            </w:pPr>
            <w:r>
              <w:rPr>
                <w:rFonts w:hint="eastAsia"/>
                <w:snapToGrid w:val="0"/>
                <w:kern w:val="18"/>
                <w:lang w:val="en-US" w:eastAsia="zh-CN"/>
              </w:rPr>
              <w:t>隔油池+化粪池</w:t>
            </w:r>
          </w:p>
        </w:tc>
        <w:tc>
          <w:tcPr>
            <w:tcW w:w="838" w:type="dxa"/>
            <w:vAlign w:val="center"/>
          </w:tcPr>
          <w:p>
            <w:pPr>
              <w:tabs>
                <w:tab w:val="left" w:pos="447"/>
              </w:tabs>
              <w:spacing w:line="240" w:lineRule="auto"/>
              <w:ind w:firstLine="210" w:firstLineChars="100"/>
              <w:jc w:val="left"/>
              <w:rPr>
                <w:rFonts w:hint="eastAsia" w:eastAsia="宋体"/>
                <w:lang w:val="en-US" w:eastAsia="zh-CN"/>
              </w:rPr>
            </w:pPr>
            <w:r>
              <w:rPr>
                <w:rFonts w:hint="eastAsia"/>
                <w:lang w:val="en-US" w:eastAsia="zh-CN"/>
              </w:rPr>
              <w:t>1套</w:t>
            </w:r>
          </w:p>
        </w:tc>
        <w:tc>
          <w:tcPr>
            <w:tcW w:w="1289" w:type="dxa"/>
            <w:vAlign w:val="center"/>
          </w:tcPr>
          <w:p>
            <w:pPr>
              <w:spacing w:line="240" w:lineRule="auto"/>
              <w:jc w:val="center"/>
              <w:rPr>
                <w:rFonts w:hint="eastAsia" w:eastAsia="宋体"/>
                <w:lang w:val="en-US" w:eastAsia="zh-CN"/>
              </w:rPr>
            </w:pPr>
            <w:r>
              <w:rPr>
                <w:rFonts w:hint="eastAsia"/>
                <w:lang w:val="en-US" w:eastAsia="zh-CN"/>
              </w:rPr>
              <w:t>2</w:t>
            </w:r>
          </w:p>
        </w:tc>
        <w:tc>
          <w:tcPr>
            <w:tcW w:w="4046" w:type="dxa"/>
            <w:vMerge w:val="continue"/>
            <w:vAlign w:val="center"/>
          </w:tcPr>
          <w:p>
            <w:pPr>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674" w:type="dxa"/>
            <w:vMerge w:val="restart"/>
            <w:vAlign w:val="center"/>
          </w:tcPr>
          <w:p>
            <w:pPr>
              <w:spacing w:line="240" w:lineRule="auto"/>
              <w:jc w:val="center"/>
            </w:pPr>
            <w:r>
              <w:t>废气</w:t>
            </w:r>
          </w:p>
        </w:tc>
        <w:tc>
          <w:tcPr>
            <w:tcW w:w="1276" w:type="dxa"/>
            <w:vAlign w:val="center"/>
          </w:tcPr>
          <w:p>
            <w:pPr>
              <w:spacing w:line="240" w:lineRule="auto"/>
              <w:jc w:val="center"/>
              <w:rPr>
                <w:snapToGrid w:val="0"/>
                <w:kern w:val="18"/>
              </w:rPr>
            </w:pPr>
            <w:r>
              <w:rPr>
                <w:snapToGrid w:val="0"/>
                <w:kern w:val="18"/>
              </w:rPr>
              <w:t>污水处理设施恶臭</w:t>
            </w:r>
          </w:p>
        </w:tc>
        <w:tc>
          <w:tcPr>
            <w:tcW w:w="2882" w:type="dxa"/>
            <w:vAlign w:val="center"/>
          </w:tcPr>
          <w:p>
            <w:pPr>
              <w:spacing w:line="240" w:lineRule="auto"/>
              <w:jc w:val="center"/>
              <w:rPr>
                <w:snapToGrid w:val="0"/>
                <w:kern w:val="18"/>
              </w:rPr>
            </w:pPr>
            <w:r>
              <w:rPr>
                <w:snapToGrid w:val="0"/>
                <w:kern w:val="18"/>
              </w:rPr>
              <w:t>NH</w:t>
            </w:r>
            <w:r>
              <w:rPr>
                <w:snapToGrid w:val="0"/>
                <w:kern w:val="18"/>
                <w:vertAlign w:val="subscript"/>
              </w:rPr>
              <w:t>3</w:t>
            </w:r>
            <w:r>
              <w:rPr>
                <w:snapToGrid w:val="0"/>
                <w:kern w:val="18"/>
              </w:rPr>
              <w:t>、H</w:t>
            </w:r>
            <w:r>
              <w:rPr>
                <w:snapToGrid w:val="0"/>
                <w:kern w:val="18"/>
                <w:vertAlign w:val="subscript"/>
              </w:rPr>
              <w:t>2</w:t>
            </w:r>
            <w:r>
              <w:rPr>
                <w:snapToGrid w:val="0"/>
                <w:kern w:val="18"/>
              </w:rPr>
              <w:t>S</w:t>
            </w:r>
          </w:p>
        </w:tc>
        <w:tc>
          <w:tcPr>
            <w:tcW w:w="3213" w:type="dxa"/>
            <w:vAlign w:val="center"/>
          </w:tcPr>
          <w:p>
            <w:pPr>
              <w:spacing w:line="240" w:lineRule="auto"/>
              <w:jc w:val="center"/>
            </w:pPr>
            <w:r>
              <w:t>污水处理设施污泥及时清运、定期喷洒除臭剂</w:t>
            </w:r>
            <w:r>
              <w:rPr>
                <w:rFonts w:hint="eastAsia"/>
                <w:lang w:eastAsia="zh-CN"/>
              </w:rPr>
              <w:t>、种植绿化</w:t>
            </w:r>
            <w:r>
              <w:t>等</w:t>
            </w:r>
          </w:p>
        </w:tc>
        <w:tc>
          <w:tcPr>
            <w:tcW w:w="838" w:type="dxa"/>
            <w:vAlign w:val="center"/>
          </w:tcPr>
          <w:p>
            <w:pPr>
              <w:spacing w:line="240" w:lineRule="auto"/>
              <w:jc w:val="center"/>
            </w:pPr>
            <w:r>
              <w:t>1套</w:t>
            </w:r>
          </w:p>
        </w:tc>
        <w:tc>
          <w:tcPr>
            <w:tcW w:w="1289" w:type="dxa"/>
            <w:vAlign w:val="center"/>
          </w:tcPr>
          <w:p>
            <w:pPr>
              <w:spacing w:line="240" w:lineRule="auto"/>
              <w:jc w:val="center"/>
              <w:rPr>
                <w:rFonts w:hint="eastAsia" w:eastAsia="宋体"/>
                <w:lang w:eastAsia="zh-CN"/>
              </w:rPr>
            </w:pPr>
            <w:r>
              <w:rPr>
                <w:rFonts w:hint="eastAsia"/>
                <w:lang w:val="en-US" w:eastAsia="zh-CN"/>
              </w:rPr>
              <w:t>2</w:t>
            </w:r>
          </w:p>
        </w:tc>
        <w:tc>
          <w:tcPr>
            <w:tcW w:w="4046" w:type="dxa"/>
            <w:vMerge w:val="restart"/>
            <w:vAlign w:val="center"/>
          </w:tcPr>
          <w:p>
            <w:pPr>
              <w:spacing w:line="240" w:lineRule="auto"/>
              <w:jc w:val="center"/>
            </w:pPr>
            <w:r>
              <w:rPr>
                <w:sz w:val="21"/>
                <w:szCs w:val="21"/>
              </w:rPr>
              <w:t>恶臭排放执行《恶臭污染物排放标准》（GB14554-93）中表1恶臭污染物厂界标准中规定的二级标准，</w:t>
            </w:r>
            <w:r>
              <w:rPr>
                <w:rFonts w:hint="eastAsia"/>
                <w:sz w:val="21"/>
                <w:szCs w:val="21"/>
                <w:lang w:eastAsia="zh-CN"/>
              </w:rPr>
              <w:t>食堂油烟排放参考执行《饮食业油烟排放标准（试行）》（GB18483-2001）中中型限制要求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674" w:type="dxa"/>
            <w:vMerge w:val="continue"/>
            <w:vAlign w:val="center"/>
          </w:tcPr>
          <w:p>
            <w:pPr>
              <w:spacing w:line="240" w:lineRule="auto"/>
              <w:jc w:val="center"/>
            </w:pPr>
          </w:p>
        </w:tc>
        <w:tc>
          <w:tcPr>
            <w:tcW w:w="1276" w:type="dxa"/>
            <w:vAlign w:val="center"/>
          </w:tcPr>
          <w:p>
            <w:pPr>
              <w:spacing w:line="240" w:lineRule="auto"/>
              <w:jc w:val="center"/>
              <w:rPr>
                <w:rFonts w:hint="eastAsia" w:eastAsia="宋体"/>
                <w:lang w:eastAsia="zh-CN"/>
              </w:rPr>
            </w:pPr>
            <w:r>
              <w:rPr>
                <w:rFonts w:hint="eastAsia"/>
                <w:lang w:eastAsia="zh-CN"/>
              </w:rPr>
              <w:t>食堂油烟</w:t>
            </w:r>
          </w:p>
        </w:tc>
        <w:tc>
          <w:tcPr>
            <w:tcW w:w="2882" w:type="dxa"/>
            <w:vAlign w:val="center"/>
          </w:tcPr>
          <w:p>
            <w:pPr>
              <w:spacing w:line="240" w:lineRule="auto"/>
              <w:jc w:val="center"/>
              <w:rPr>
                <w:rFonts w:hint="eastAsia" w:eastAsia="宋体"/>
                <w:snapToGrid w:val="0"/>
                <w:kern w:val="18"/>
                <w:lang w:eastAsia="zh-CN"/>
              </w:rPr>
            </w:pPr>
            <w:r>
              <w:rPr>
                <w:rFonts w:hint="eastAsia"/>
                <w:snapToGrid w:val="0"/>
                <w:kern w:val="18"/>
                <w:lang w:eastAsia="zh-CN"/>
              </w:rPr>
              <w:t>油烟</w:t>
            </w:r>
          </w:p>
        </w:tc>
        <w:tc>
          <w:tcPr>
            <w:tcW w:w="3213" w:type="dxa"/>
            <w:vAlign w:val="center"/>
          </w:tcPr>
          <w:p>
            <w:pPr>
              <w:spacing w:line="240" w:lineRule="auto"/>
              <w:jc w:val="center"/>
              <w:rPr>
                <w:rFonts w:hint="eastAsia" w:eastAsia="宋体"/>
                <w:lang w:eastAsia="zh-CN"/>
              </w:rPr>
            </w:pPr>
            <w:r>
              <w:rPr>
                <w:rFonts w:hint="eastAsia"/>
              </w:rPr>
              <w:t>经</w:t>
            </w:r>
            <w:r>
              <w:rPr>
                <w:rFonts w:hint="eastAsia"/>
                <w:lang w:eastAsia="zh-CN"/>
              </w:rPr>
              <w:t>油烟净化器处理后于楼顶排放</w:t>
            </w:r>
          </w:p>
        </w:tc>
        <w:tc>
          <w:tcPr>
            <w:tcW w:w="838" w:type="dxa"/>
            <w:vAlign w:val="center"/>
          </w:tcPr>
          <w:p>
            <w:pPr>
              <w:jc w:val="center"/>
            </w:pPr>
            <w:r>
              <w:rPr>
                <w:rFonts w:hint="eastAsia"/>
              </w:rPr>
              <w:t>1</w:t>
            </w:r>
            <w:r>
              <w:t>套</w:t>
            </w:r>
          </w:p>
        </w:tc>
        <w:tc>
          <w:tcPr>
            <w:tcW w:w="1289" w:type="dxa"/>
            <w:vAlign w:val="center"/>
          </w:tcPr>
          <w:p>
            <w:pPr>
              <w:jc w:val="center"/>
              <w:rPr>
                <w:rFonts w:hint="default" w:eastAsia="宋体"/>
                <w:lang w:val="en-US" w:eastAsia="zh-CN"/>
              </w:rPr>
            </w:pPr>
            <w:r>
              <w:rPr>
                <w:rFonts w:hint="eastAsia"/>
                <w:lang w:val="en-US" w:eastAsia="zh-CN"/>
              </w:rPr>
              <w:t>2</w:t>
            </w:r>
          </w:p>
        </w:tc>
        <w:tc>
          <w:tcPr>
            <w:tcW w:w="4046" w:type="dxa"/>
            <w:vMerge w:val="continue"/>
            <w:vAlign w:val="center"/>
          </w:tcPr>
          <w:p>
            <w:pPr>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674" w:type="dxa"/>
            <w:vMerge w:val="restart"/>
            <w:vAlign w:val="center"/>
          </w:tcPr>
          <w:p>
            <w:pPr>
              <w:spacing w:line="240" w:lineRule="auto"/>
              <w:jc w:val="center"/>
            </w:pPr>
            <w:r>
              <w:t>固废</w:t>
            </w:r>
          </w:p>
        </w:tc>
        <w:tc>
          <w:tcPr>
            <w:tcW w:w="1276" w:type="dxa"/>
            <w:vMerge w:val="restart"/>
            <w:vAlign w:val="center"/>
          </w:tcPr>
          <w:p>
            <w:pPr>
              <w:spacing w:line="240" w:lineRule="auto"/>
              <w:jc w:val="center"/>
            </w:pPr>
            <w:r>
              <w:t>生产工序</w:t>
            </w:r>
          </w:p>
        </w:tc>
        <w:tc>
          <w:tcPr>
            <w:tcW w:w="2882" w:type="dxa"/>
            <w:vAlign w:val="center"/>
          </w:tcPr>
          <w:p>
            <w:pPr>
              <w:spacing w:line="240" w:lineRule="auto"/>
              <w:jc w:val="center"/>
              <w:rPr>
                <w:rFonts w:hint="eastAsia" w:eastAsia="宋体"/>
                <w:lang w:eastAsia="zh-CN"/>
              </w:rPr>
            </w:pPr>
            <w:r>
              <w:rPr>
                <w:rFonts w:hint="eastAsia"/>
                <w:lang w:eastAsia="zh-CN"/>
              </w:rPr>
              <w:t>边角料、不合格品、废包装材料</w:t>
            </w:r>
          </w:p>
        </w:tc>
        <w:tc>
          <w:tcPr>
            <w:tcW w:w="3213" w:type="dxa"/>
            <w:vAlign w:val="center"/>
          </w:tcPr>
          <w:p>
            <w:pPr>
              <w:spacing w:line="240" w:lineRule="auto"/>
              <w:jc w:val="center"/>
            </w:pPr>
            <w:r>
              <w:t>一般固废暂存场所</w:t>
            </w:r>
          </w:p>
        </w:tc>
        <w:tc>
          <w:tcPr>
            <w:tcW w:w="838" w:type="dxa"/>
            <w:vAlign w:val="center"/>
          </w:tcPr>
          <w:p>
            <w:pPr>
              <w:spacing w:line="240" w:lineRule="auto"/>
              <w:jc w:val="center"/>
            </w:pPr>
            <w:r>
              <w:t>1处</w:t>
            </w:r>
          </w:p>
        </w:tc>
        <w:tc>
          <w:tcPr>
            <w:tcW w:w="1289" w:type="dxa"/>
            <w:vMerge w:val="restart"/>
            <w:vAlign w:val="center"/>
          </w:tcPr>
          <w:p>
            <w:pPr>
              <w:spacing w:line="240" w:lineRule="auto"/>
              <w:jc w:val="both"/>
            </w:pPr>
          </w:p>
          <w:p>
            <w:pPr>
              <w:spacing w:line="240" w:lineRule="auto"/>
              <w:jc w:val="center"/>
            </w:pPr>
            <w:r>
              <w:rPr>
                <w:rFonts w:hint="eastAsia"/>
              </w:rPr>
              <w:t>3</w:t>
            </w:r>
          </w:p>
        </w:tc>
        <w:tc>
          <w:tcPr>
            <w:tcW w:w="4046" w:type="dxa"/>
            <w:vMerge w:val="restart"/>
            <w:vAlign w:val="center"/>
          </w:tcPr>
          <w:p>
            <w:pPr>
              <w:spacing w:line="240" w:lineRule="auto"/>
              <w:jc w:val="center"/>
            </w:pPr>
            <w:r>
              <w:t>满足《一般工业固体废物贮存、处置场污染控制标准》（GB18599-2001）要求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674" w:type="dxa"/>
            <w:vMerge w:val="continue"/>
            <w:vAlign w:val="center"/>
          </w:tcPr>
          <w:p>
            <w:pPr>
              <w:spacing w:line="240" w:lineRule="auto"/>
              <w:jc w:val="center"/>
            </w:pPr>
          </w:p>
        </w:tc>
        <w:tc>
          <w:tcPr>
            <w:tcW w:w="1276" w:type="dxa"/>
            <w:vMerge w:val="continue"/>
            <w:vAlign w:val="center"/>
          </w:tcPr>
          <w:p>
            <w:pPr>
              <w:spacing w:line="240" w:lineRule="auto"/>
              <w:jc w:val="center"/>
            </w:pPr>
          </w:p>
        </w:tc>
        <w:tc>
          <w:tcPr>
            <w:tcW w:w="2882" w:type="dxa"/>
            <w:vAlign w:val="center"/>
          </w:tcPr>
          <w:p>
            <w:pPr>
              <w:spacing w:line="240" w:lineRule="auto"/>
              <w:jc w:val="center"/>
              <w:rPr>
                <w:rFonts w:hint="eastAsia" w:eastAsia="宋体"/>
                <w:lang w:eastAsia="zh-CN"/>
              </w:rPr>
            </w:pPr>
            <w:r>
              <w:rPr>
                <w:rFonts w:hint="eastAsia"/>
                <w:lang w:eastAsia="zh-CN"/>
              </w:rPr>
              <w:t>水洗添加剂空桶</w:t>
            </w:r>
          </w:p>
        </w:tc>
        <w:tc>
          <w:tcPr>
            <w:tcW w:w="3213" w:type="dxa"/>
            <w:vAlign w:val="center"/>
          </w:tcPr>
          <w:p>
            <w:pPr>
              <w:spacing w:line="240" w:lineRule="auto"/>
              <w:jc w:val="center"/>
              <w:rPr>
                <w:rFonts w:hint="eastAsia" w:eastAsia="宋体"/>
                <w:lang w:eastAsia="zh-CN"/>
              </w:rPr>
            </w:pPr>
            <w:r>
              <w:rPr>
                <w:rFonts w:hint="eastAsia"/>
                <w:lang w:eastAsia="zh-CN"/>
              </w:rPr>
              <w:t>经厂区暂存后由商家回收</w:t>
            </w:r>
          </w:p>
        </w:tc>
        <w:tc>
          <w:tcPr>
            <w:tcW w:w="838" w:type="dxa"/>
            <w:vAlign w:val="center"/>
          </w:tcPr>
          <w:p>
            <w:pPr>
              <w:spacing w:line="240" w:lineRule="auto"/>
              <w:jc w:val="center"/>
            </w:pPr>
            <w:r>
              <w:t>1处</w:t>
            </w:r>
          </w:p>
        </w:tc>
        <w:tc>
          <w:tcPr>
            <w:tcW w:w="1289" w:type="dxa"/>
            <w:vMerge w:val="continue"/>
            <w:vAlign w:val="center"/>
          </w:tcPr>
          <w:p>
            <w:pPr>
              <w:spacing w:line="240" w:lineRule="auto"/>
              <w:jc w:val="center"/>
            </w:pPr>
          </w:p>
        </w:tc>
        <w:tc>
          <w:tcPr>
            <w:tcW w:w="4046" w:type="dxa"/>
            <w:vMerge w:val="continue"/>
            <w:vAlign w:val="center"/>
          </w:tcPr>
          <w:p>
            <w:pPr>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jc w:val="center"/>
        </w:trPr>
        <w:tc>
          <w:tcPr>
            <w:tcW w:w="674" w:type="dxa"/>
            <w:vMerge w:val="continue"/>
            <w:vAlign w:val="center"/>
          </w:tcPr>
          <w:p>
            <w:pPr>
              <w:spacing w:line="240" w:lineRule="auto"/>
              <w:jc w:val="center"/>
            </w:pPr>
          </w:p>
        </w:tc>
        <w:tc>
          <w:tcPr>
            <w:tcW w:w="1276" w:type="dxa"/>
            <w:vMerge w:val="continue"/>
            <w:vAlign w:val="center"/>
          </w:tcPr>
          <w:p>
            <w:pPr>
              <w:spacing w:line="240" w:lineRule="auto"/>
              <w:jc w:val="center"/>
            </w:pPr>
          </w:p>
        </w:tc>
        <w:tc>
          <w:tcPr>
            <w:tcW w:w="2882" w:type="dxa"/>
            <w:vAlign w:val="center"/>
          </w:tcPr>
          <w:p>
            <w:pPr>
              <w:spacing w:line="240" w:lineRule="auto"/>
              <w:jc w:val="center"/>
            </w:pPr>
            <w:r>
              <w:rPr>
                <w:rFonts w:hint="eastAsia"/>
              </w:rPr>
              <w:t>污泥、栅渣</w:t>
            </w:r>
          </w:p>
        </w:tc>
        <w:tc>
          <w:tcPr>
            <w:tcW w:w="3213" w:type="dxa"/>
            <w:vAlign w:val="center"/>
          </w:tcPr>
          <w:p>
            <w:pPr>
              <w:spacing w:line="240" w:lineRule="auto"/>
              <w:jc w:val="center"/>
            </w:pPr>
            <w:r>
              <w:rPr>
                <w:rFonts w:hint="eastAsia"/>
              </w:rPr>
              <w:t>污泥经板框压滤后和污泥外运处置</w:t>
            </w:r>
          </w:p>
        </w:tc>
        <w:tc>
          <w:tcPr>
            <w:tcW w:w="838" w:type="dxa"/>
            <w:vAlign w:val="center"/>
          </w:tcPr>
          <w:p>
            <w:pPr>
              <w:spacing w:line="240" w:lineRule="auto"/>
              <w:jc w:val="center"/>
            </w:pPr>
            <w:r>
              <w:t>1</w:t>
            </w:r>
            <w:r>
              <w:rPr>
                <w:rFonts w:hint="eastAsia"/>
              </w:rPr>
              <w:t>处</w:t>
            </w:r>
          </w:p>
        </w:tc>
        <w:tc>
          <w:tcPr>
            <w:tcW w:w="1289" w:type="dxa"/>
            <w:vAlign w:val="center"/>
          </w:tcPr>
          <w:p>
            <w:pPr>
              <w:spacing w:line="240" w:lineRule="auto"/>
              <w:jc w:val="center"/>
              <w:rPr>
                <w:rFonts w:hint="eastAsia" w:eastAsia="宋体"/>
                <w:lang w:eastAsia="zh-CN"/>
              </w:rPr>
            </w:pPr>
            <w:r>
              <w:rPr>
                <w:rFonts w:hint="eastAsia"/>
                <w:lang w:val="en-US" w:eastAsia="zh-CN"/>
              </w:rPr>
              <w:t>2</w:t>
            </w:r>
          </w:p>
        </w:tc>
        <w:tc>
          <w:tcPr>
            <w:tcW w:w="4046" w:type="dxa"/>
            <w:vMerge w:val="continue"/>
            <w:vAlign w:val="center"/>
          </w:tcPr>
          <w:p>
            <w:pPr>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674" w:type="dxa"/>
            <w:vMerge w:val="continue"/>
            <w:vAlign w:val="center"/>
          </w:tcPr>
          <w:p>
            <w:pPr>
              <w:spacing w:line="240" w:lineRule="auto"/>
              <w:jc w:val="center"/>
            </w:pPr>
          </w:p>
        </w:tc>
        <w:tc>
          <w:tcPr>
            <w:tcW w:w="1276" w:type="dxa"/>
            <w:vAlign w:val="center"/>
          </w:tcPr>
          <w:p>
            <w:pPr>
              <w:spacing w:line="240" w:lineRule="auto"/>
              <w:jc w:val="center"/>
            </w:pPr>
            <w:r>
              <w:t>办公生活</w:t>
            </w:r>
          </w:p>
        </w:tc>
        <w:tc>
          <w:tcPr>
            <w:tcW w:w="2882" w:type="dxa"/>
            <w:vAlign w:val="center"/>
          </w:tcPr>
          <w:p>
            <w:pPr>
              <w:spacing w:line="240" w:lineRule="auto"/>
              <w:jc w:val="center"/>
            </w:pPr>
            <w:r>
              <w:t>生活垃圾</w:t>
            </w:r>
          </w:p>
        </w:tc>
        <w:tc>
          <w:tcPr>
            <w:tcW w:w="3213" w:type="dxa"/>
            <w:vAlign w:val="center"/>
          </w:tcPr>
          <w:p>
            <w:pPr>
              <w:spacing w:line="240" w:lineRule="auto"/>
              <w:jc w:val="center"/>
            </w:pPr>
            <w:r>
              <w:t>设置垃圾箱，环卫部门清运</w:t>
            </w:r>
          </w:p>
        </w:tc>
        <w:tc>
          <w:tcPr>
            <w:tcW w:w="838" w:type="dxa"/>
            <w:vAlign w:val="center"/>
          </w:tcPr>
          <w:p>
            <w:pPr>
              <w:spacing w:line="240" w:lineRule="auto"/>
              <w:jc w:val="center"/>
            </w:pPr>
            <w:r>
              <w:t>3个</w:t>
            </w:r>
          </w:p>
        </w:tc>
        <w:tc>
          <w:tcPr>
            <w:tcW w:w="1289" w:type="dxa"/>
            <w:vAlign w:val="center"/>
          </w:tcPr>
          <w:p>
            <w:pPr>
              <w:spacing w:line="240" w:lineRule="auto"/>
              <w:jc w:val="center"/>
            </w:pPr>
            <w:r>
              <w:rPr>
                <w:rFonts w:hint="eastAsia"/>
              </w:rPr>
              <w:t>1</w:t>
            </w:r>
          </w:p>
        </w:tc>
        <w:tc>
          <w:tcPr>
            <w:tcW w:w="4046" w:type="dxa"/>
            <w:vMerge w:val="continue"/>
            <w:vAlign w:val="center"/>
          </w:tcPr>
          <w:p>
            <w:pPr>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674" w:type="dxa"/>
            <w:vAlign w:val="center"/>
          </w:tcPr>
          <w:p>
            <w:pPr>
              <w:spacing w:line="240" w:lineRule="auto"/>
              <w:jc w:val="center"/>
            </w:pPr>
            <w:r>
              <w:t>噪声</w:t>
            </w:r>
          </w:p>
        </w:tc>
        <w:tc>
          <w:tcPr>
            <w:tcW w:w="1276" w:type="dxa"/>
            <w:vAlign w:val="center"/>
          </w:tcPr>
          <w:p>
            <w:pPr>
              <w:spacing w:line="240" w:lineRule="auto"/>
              <w:jc w:val="center"/>
            </w:pPr>
            <w:r>
              <w:t>机械设备</w:t>
            </w:r>
          </w:p>
        </w:tc>
        <w:tc>
          <w:tcPr>
            <w:tcW w:w="2882" w:type="dxa"/>
            <w:vAlign w:val="center"/>
          </w:tcPr>
          <w:p>
            <w:pPr>
              <w:spacing w:line="240" w:lineRule="auto"/>
              <w:jc w:val="center"/>
            </w:pPr>
            <w:r>
              <w:t>噪声</w:t>
            </w:r>
          </w:p>
        </w:tc>
        <w:tc>
          <w:tcPr>
            <w:tcW w:w="3213" w:type="dxa"/>
            <w:vAlign w:val="center"/>
          </w:tcPr>
          <w:p>
            <w:pPr>
              <w:spacing w:line="240" w:lineRule="auto"/>
              <w:jc w:val="center"/>
            </w:pPr>
            <w:r>
              <w:t>设备减振、厂房隔音、围挡及加强设备维护等</w:t>
            </w:r>
          </w:p>
        </w:tc>
        <w:tc>
          <w:tcPr>
            <w:tcW w:w="838" w:type="dxa"/>
            <w:vAlign w:val="center"/>
          </w:tcPr>
          <w:p>
            <w:pPr>
              <w:spacing w:line="240" w:lineRule="auto"/>
              <w:jc w:val="center"/>
            </w:pPr>
            <w:r>
              <w:t>/</w:t>
            </w:r>
          </w:p>
        </w:tc>
        <w:tc>
          <w:tcPr>
            <w:tcW w:w="1289" w:type="dxa"/>
            <w:vAlign w:val="center"/>
          </w:tcPr>
          <w:p>
            <w:pPr>
              <w:spacing w:line="240" w:lineRule="auto"/>
              <w:jc w:val="center"/>
            </w:pPr>
            <w:r>
              <w:t>4</w:t>
            </w:r>
          </w:p>
        </w:tc>
        <w:tc>
          <w:tcPr>
            <w:tcW w:w="4046" w:type="dxa"/>
            <w:vAlign w:val="center"/>
          </w:tcPr>
          <w:p>
            <w:pPr>
              <w:spacing w:line="240" w:lineRule="auto"/>
              <w:jc w:val="center"/>
            </w:pPr>
            <w:r>
              <w:t>达到《工业企业厂界环境噪声排放标准》（GB12348-2008）</w:t>
            </w:r>
            <w:r>
              <w:rPr>
                <w:rFonts w:hint="eastAsia"/>
                <w:lang w:val="en-US" w:eastAsia="zh-CN"/>
              </w:rPr>
              <w:t>3</w:t>
            </w:r>
            <w:r>
              <w:t>类</w:t>
            </w:r>
            <w:r>
              <w:rPr>
                <w:rFonts w:hint="eastAsia"/>
                <w:lang w:eastAsia="zh-CN"/>
              </w:rPr>
              <w:t>区</w:t>
            </w:r>
            <w: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674" w:type="dxa"/>
            <w:vAlign w:val="center"/>
          </w:tcPr>
          <w:p>
            <w:pPr>
              <w:spacing w:line="240" w:lineRule="auto"/>
              <w:jc w:val="center"/>
            </w:pPr>
            <w:r>
              <w:t>地下水</w:t>
            </w:r>
          </w:p>
        </w:tc>
        <w:tc>
          <w:tcPr>
            <w:tcW w:w="4158" w:type="dxa"/>
            <w:gridSpan w:val="2"/>
            <w:vAlign w:val="center"/>
          </w:tcPr>
          <w:p>
            <w:pPr>
              <w:spacing w:line="240" w:lineRule="auto"/>
              <w:jc w:val="center"/>
            </w:pPr>
            <w:r>
              <w:t>污染物下渗</w:t>
            </w:r>
          </w:p>
        </w:tc>
        <w:tc>
          <w:tcPr>
            <w:tcW w:w="3213" w:type="dxa"/>
            <w:vAlign w:val="center"/>
          </w:tcPr>
          <w:p>
            <w:pPr>
              <w:spacing w:line="240" w:lineRule="auto"/>
              <w:jc w:val="center"/>
            </w:pPr>
            <w:r>
              <w:t>厂区分区防渗措施</w:t>
            </w:r>
          </w:p>
        </w:tc>
        <w:tc>
          <w:tcPr>
            <w:tcW w:w="838" w:type="dxa"/>
            <w:vAlign w:val="center"/>
          </w:tcPr>
          <w:p>
            <w:pPr>
              <w:spacing w:line="240" w:lineRule="auto"/>
              <w:jc w:val="center"/>
            </w:pPr>
            <w:r>
              <w:t>/</w:t>
            </w:r>
          </w:p>
        </w:tc>
        <w:tc>
          <w:tcPr>
            <w:tcW w:w="1289" w:type="dxa"/>
            <w:vAlign w:val="center"/>
          </w:tcPr>
          <w:p>
            <w:pPr>
              <w:spacing w:line="240" w:lineRule="auto"/>
              <w:jc w:val="center"/>
            </w:pPr>
            <w:r>
              <w:rPr>
                <w:rFonts w:hint="eastAsia"/>
              </w:rPr>
              <w:t>4</w:t>
            </w:r>
          </w:p>
        </w:tc>
        <w:tc>
          <w:tcPr>
            <w:tcW w:w="4046" w:type="dxa"/>
            <w:vAlign w:val="center"/>
          </w:tcPr>
          <w:p>
            <w:pPr>
              <w:spacing w:line="240" w:lineRule="auto"/>
              <w:jc w:val="center"/>
            </w:pPr>
            <w:r>
              <w:t>不对项目区地下水产生影响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8883" w:type="dxa"/>
            <w:gridSpan w:val="5"/>
            <w:vAlign w:val="center"/>
          </w:tcPr>
          <w:p>
            <w:pPr>
              <w:spacing w:line="240" w:lineRule="auto"/>
              <w:jc w:val="center"/>
            </w:pPr>
            <w:r>
              <w:t>合计</w:t>
            </w:r>
          </w:p>
        </w:tc>
        <w:tc>
          <w:tcPr>
            <w:tcW w:w="1289" w:type="dxa"/>
            <w:vAlign w:val="center"/>
          </w:tcPr>
          <w:p>
            <w:pPr>
              <w:spacing w:line="240" w:lineRule="auto"/>
              <w:jc w:val="center"/>
              <w:rPr>
                <w:rFonts w:hint="default" w:eastAsia="宋体"/>
                <w:lang w:val="en-US" w:eastAsia="zh-CN"/>
              </w:rPr>
            </w:pPr>
            <w:r>
              <w:rPr>
                <w:rFonts w:hint="eastAsia"/>
                <w:lang w:val="en-US" w:eastAsia="zh-CN"/>
              </w:rPr>
              <w:t>35</w:t>
            </w:r>
          </w:p>
        </w:tc>
        <w:tc>
          <w:tcPr>
            <w:tcW w:w="4046" w:type="dxa"/>
            <w:vAlign w:val="center"/>
          </w:tcPr>
          <w:p>
            <w:pPr>
              <w:spacing w:line="240" w:lineRule="auto"/>
              <w:jc w:val="center"/>
            </w:pPr>
            <w:r>
              <w:t>/</w:t>
            </w:r>
          </w:p>
        </w:tc>
      </w:tr>
    </w:tbl>
    <w:p>
      <w:pPr>
        <w:pStyle w:val="51"/>
        <w:adjustRightInd/>
        <w:snapToGrid/>
        <w:ind w:firstLine="0" w:firstLineChars="0"/>
        <w:rPr>
          <w:rFonts w:cs="Times New Roman"/>
          <w:sz w:val="30"/>
          <w:szCs w:val="30"/>
        </w:rPr>
        <w:sectPr>
          <w:headerReference r:id="rId16" w:type="default"/>
          <w:pgSz w:w="16840" w:h="11907" w:orient="landscape"/>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pStyle w:val="5"/>
        <w:jc w:val="center"/>
        <w:rPr>
          <w:rFonts w:eastAsia="黑体"/>
          <w:sz w:val="36"/>
          <w:szCs w:val="36"/>
        </w:rPr>
      </w:pPr>
      <w:bookmarkStart w:id="212" w:name="_Toc30350_WPSOffice_Level1"/>
      <w:bookmarkStart w:id="213" w:name="_Toc532395342"/>
      <w:r>
        <w:rPr>
          <w:rFonts w:eastAsia="黑体"/>
          <w:sz w:val="36"/>
          <w:szCs w:val="36"/>
        </w:rPr>
        <w:t>第七章 环境影响经济损益分析</w:t>
      </w:r>
      <w:bookmarkEnd w:id="212"/>
      <w:bookmarkEnd w:id="213"/>
    </w:p>
    <w:p>
      <w:pPr>
        <w:pStyle w:val="5"/>
        <w:ind w:firstLine="480" w:firstLineChars="200"/>
        <w:rPr>
          <w:b w:val="0"/>
          <w:bCs w:val="0"/>
          <w:sz w:val="24"/>
          <w:szCs w:val="24"/>
        </w:rPr>
      </w:pPr>
      <w:bookmarkStart w:id="214" w:name="_Toc532395343"/>
      <w:r>
        <w:rPr>
          <w:b w:val="0"/>
          <w:bCs w:val="0"/>
          <w:sz w:val="24"/>
          <w:szCs w:val="24"/>
        </w:rPr>
        <w:t>环境影响经济损益分析即是根据项目的性质和当地的具体情况，确定环境影响因子</w:t>
      </w:r>
      <w:r>
        <w:rPr>
          <w:rFonts w:hint="eastAsia"/>
          <w:b w:val="0"/>
          <w:bCs w:val="0"/>
          <w:sz w:val="24"/>
          <w:szCs w:val="24"/>
          <w:lang w:eastAsia="zh-CN"/>
        </w:rPr>
        <w:t>，</w:t>
      </w:r>
      <w:r>
        <w:rPr>
          <w:b w:val="0"/>
          <w:bCs w:val="0"/>
          <w:sz w:val="24"/>
          <w:szCs w:val="24"/>
        </w:rPr>
        <w:t>从而对项目环境影响范围内的环境影响总体做出经济评价。根据理论发展和多年的实践经验，任何工程都不可能对全部环境影响因子做出经济评价，因此环境影响经济损益分析的重点，是对工程的主要环境影响因子做出投资费用和经济损益的评价，即项目的环境保护措施投资估算和经济效益、环境效益和社会效益以及项目环境影响的费用-效益总体分析评价。</w:t>
      </w:r>
    </w:p>
    <w:p>
      <w:pPr>
        <w:pStyle w:val="5"/>
        <w:rPr>
          <w:sz w:val="24"/>
          <w:szCs w:val="24"/>
        </w:rPr>
      </w:pPr>
      <w:bookmarkStart w:id="215" w:name="_Toc27914_WPSOffice_Level2"/>
      <w:r>
        <w:rPr>
          <w:sz w:val="24"/>
          <w:szCs w:val="24"/>
        </w:rPr>
        <w:t>7.1 经济效益</w:t>
      </w:r>
      <w:bookmarkEnd w:id="214"/>
      <w:bookmarkEnd w:id="215"/>
    </w:p>
    <w:p>
      <w:pPr>
        <w:ind w:firstLine="480" w:firstLineChars="200"/>
        <w:rPr>
          <w:sz w:val="24"/>
          <w:szCs w:val="24"/>
        </w:rPr>
      </w:pPr>
      <w:r>
        <w:rPr>
          <w:sz w:val="24"/>
          <w:szCs w:val="24"/>
        </w:rPr>
        <w:t>本项目总投资</w:t>
      </w:r>
      <w:r>
        <w:rPr>
          <w:rFonts w:hint="eastAsia"/>
          <w:sz w:val="24"/>
          <w:szCs w:val="24"/>
          <w:lang w:val="en-US" w:eastAsia="zh-CN"/>
        </w:rPr>
        <w:t>1000</w:t>
      </w:r>
      <w:r>
        <w:rPr>
          <w:sz w:val="24"/>
          <w:szCs w:val="24"/>
        </w:rPr>
        <w:t>万元，项目建成投产后，年均实现销售收入</w:t>
      </w:r>
      <w:r>
        <w:rPr>
          <w:rFonts w:hint="eastAsia"/>
          <w:sz w:val="24"/>
          <w:szCs w:val="24"/>
          <w:lang w:val="en-US" w:eastAsia="zh-CN"/>
        </w:rPr>
        <w:t>600</w:t>
      </w:r>
      <w:r>
        <w:rPr>
          <w:sz w:val="24"/>
          <w:szCs w:val="24"/>
        </w:rPr>
        <w:t>万元，由此可见，本项目可取得较好的经济效益，对当地的国民经济发展也将作出一定的贡献。主要经济效益指标见表7</w:t>
      </w:r>
      <w:r>
        <w:rPr>
          <w:rFonts w:hint="eastAsia"/>
          <w:sz w:val="24"/>
          <w:szCs w:val="24"/>
          <w:lang w:val="en-US" w:eastAsia="zh-CN"/>
        </w:rPr>
        <w:t>.</w:t>
      </w:r>
      <w:r>
        <w:rPr>
          <w:sz w:val="24"/>
          <w:szCs w:val="24"/>
        </w:rPr>
        <w:t>1-1。</w:t>
      </w:r>
    </w:p>
    <w:p>
      <w:pPr>
        <w:jc w:val="center"/>
        <w:rPr>
          <w:b/>
          <w:sz w:val="24"/>
          <w:szCs w:val="24"/>
        </w:rPr>
      </w:pPr>
      <w:bookmarkStart w:id="216" w:name="_Toc29675_WPSOffice_Level2"/>
      <w:bookmarkStart w:id="217" w:name="_Toc7636_WPSOffice_Level2"/>
      <w:bookmarkStart w:id="218" w:name="_Toc30884_WPSOffice_Level2"/>
      <w:bookmarkStart w:id="219" w:name="_Toc24028_WPSOffice_Level2"/>
      <w:r>
        <w:rPr>
          <w:b/>
          <w:sz w:val="24"/>
          <w:szCs w:val="24"/>
        </w:rPr>
        <w:t>表7</w:t>
      </w:r>
      <w:r>
        <w:rPr>
          <w:rFonts w:hint="eastAsia"/>
          <w:b/>
          <w:sz w:val="24"/>
          <w:szCs w:val="24"/>
          <w:lang w:val="en-US" w:eastAsia="zh-CN"/>
        </w:rPr>
        <w:t>.</w:t>
      </w:r>
      <w:r>
        <w:rPr>
          <w:b/>
          <w:sz w:val="24"/>
          <w:szCs w:val="24"/>
        </w:rPr>
        <w:t>1-1  项目主要经济指标一览表</w:t>
      </w:r>
      <w:bookmarkEnd w:id="216"/>
      <w:bookmarkEnd w:id="217"/>
      <w:bookmarkEnd w:id="218"/>
      <w:bookmarkEnd w:id="219"/>
    </w:p>
    <w:tbl>
      <w:tblPr>
        <w:tblStyle w:val="22"/>
        <w:tblW w:w="928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3929"/>
        <w:gridCol w:w="1693"/>
        <w:gridCol w:w="19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4" w:type="dxa"/>
            <w:vAlign w:val="center"/>
          </w:tcPr>
          <w:p>
            <w:pPr>
              <w:widowControl/>
              <w:spacing w:line="240" w:lineRule="auto"/>
              <w:jc w:val="center"/>
              <w:rPr>
                <w:kern w:val="0"/>
              </w:rPr>
            </w:pPr>
            <w:r>
              <w:rPr>
                <w:kern w:val="0"/>
              </w:rPr>
              <w:t>序号</w:t>
            </w:r>
          </w:p>
        </w:tc>
        <w:tc>
          <w:tcPr>
            <w:tcW w:w="3929" w:type="dxa"/>
            <w:vAlign w:val="center"/>
          </w:tcPr>
          <w:p>
            <w:pPr>
              <w:widowControl/>
              <w:spacing w:line="240" w:lineRule="auto"/>
              <w:jc w:val="center"/>
              <w:rPr>
                <w:kern w:val="0"/>
              </w:rPr>
            </w:pPr>
            <w:r>
              <w:rPr>
                <w:kern w:val="0"/>
              </w:rPr>
              <w:t>项目</w:t>
            </w:r>
          </w:p>
        </w:tc>
        <w:tc>
          <w:tcPr>
            <w:tcW w:w="1693" w:type="dxa"/>
            <w:vAlign w:val="center"/>
          </w:tcPr>
          <w:p>
            <w:pPr>
              <w:widowControl/>
              <w:spacing w:line="240" w:lineRule="auto"/>
              <w:jc w:val="center"/>
              <w:rPr>
                <w:kern w:val="0"/>
              </w:rPr>
            </w:pPr>
            <w:r>
              <w:rPr>
                <w:kern w:val="0"/>
              </w:rPr>
              <w:t>单位</w:t>
            </w:r>
          </w:p>
        </w:tc>
        <w:tc>
          <w:tcPr>
            <w:tcW w:w="1971" w:type="dxa"/>
            <w:vAlign w:val="center"/>
          </w:tcPr>
          <w:p>
            <w:pPr>
              <w:widowControl/>
              <w:spacing w:line="240" w:lineRule="auto"/>
              <w:jc w:val="center"/>
              <w:rPr>
                <w:kern w:val="0"/>
              </w:rPr>
            </w:pPr>
            <w:r>
              <w:rPr>
                <w:kern w:val="0"/>
              </w:rPr>
              <w:t>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4" w:type="dxa"/>
            <w:vAlign w:val="center"/>
          </w:tcPr>
          <w:p>
            <w:pPr>
              <w:widowControl/>
              <w:spacing w:line="240" w:lineRule="auto"/>
              <w:jc w:val="center"/>
              <w:rPr>
                <w:kern w:val="0"/>
              </w:rPr>
            </w:pPr>
            <w:r>
              <w:rPr>
                <w:kern w:val="0"/>
              </w:rPr>
              <w:t>1</w:t>
            </w:r>
          </w:p>
        </w:tc>
        <w:tc>
          <w:tcPr>
            <w:tcW w:w="3929" w:type="dxa"/>
            <w:vAlign w:val="center"/>
          </w:tcPr>
          <w:p>
            <w:pPr>
              <w:widowControl/>
              <w:spacing w:line="240" w:lineRule="auto"/>
              <w:jc w:val="center"/>
              <w:rPr>
                <w:kern w:val="0"/>
                <w:highlight w:val="yellow"/>
              </w:rPr>
            </w:pPr>
            <w:r>
              <w:rPr>
                <w:kern w:val="0"/>
              </w:rPr>
              <w:t>项目总投资</w:t>
            </w:r>
          </w:p>
        </w:tc>
        <w:tc>
          <w:tcPr>
            <w:tcW w:w="1693" w:type="dxa"/>
            <w:vAlign w:val="center"/>
          </w:tcPr>
          <w:p>
            <w:pPr>
              <w:widowControl/>
              <w:spacing w:line="240" w:lineRule="auto"/>
              <w:jc w:val="center"/>
              <w:rPr>
                <w:kern w:val="0"/>
                <w:highlight w:val="yellow"/>
              </w:rPr>
            </w:pPr>
            <w:r>
              <w:rPr>
                <w:kern w:val="0"/>
              </w:rPr>
              <w:t>万元</w:t>
            </w:r>
          </w:p>
        </w:tc>
        <w:tc>
          <w:tcPr>
            <w:tcW w:w="1971" w:type="dxa"/>
            <w:vAlign w:val="center"/>
          </w:tcPr>
          <w:p>
            <w:pPr>
              <w:widowControl/>
              <w:spacing w:line="240" w:lineRule="auto"/>
              <w:jc w:val="center"/>
              <w:rPr>
                <w:rFonts w:hint="default" w:eastAsia="宋体"/>
                <w:kern w:val="0"/>
                <w:highlight w:val="yellow"/>
                <w:lang w:val="en-US" w:eastAsia="zh-CN"/>
              </w:rPr>
            </w:pPr>
            <w:r>
              <w:rPr>
                <w:rFonts w:hint="eastAsia"/>
                <w:kern w:val="0"/>
                <w:lang w:val="en-US" w:eastAsia="zh-CN"/>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4" w:type="dxa"/>
            <w:vAlign w:val="center"/>
          </w:tcPr>
          <w:p>
            <w:pPr>
              <w:widowControl/>
              <w:spacing w:line="240" w:lineRule="auto"/>
              <w:jc w:val="center"/>
              <w:rPr>
                <w:kern w:val="0"/>
              </w:rPr>
            </w:pPr>
            <w:r>
              <w:rPr>
                <w:kern w:val="0"/>
              </w:rPr>
              <w:t>2</w:t>
            </w:r>
          </w:p>
        </w:tc>
        <w:tc>
          <w:tcPr>
            <w:tcW w:w="3929" w:type="dxa"/>
            <w:vAlign w:val="center"/>
          </w:tcPr>
          <w:p>
            <w:pPr>
              <w:widowControl/>
              <w:spacing w:line="240" w:lineRule="auto"/>
              <w:jc w:val="center"/>
              <w:rPr>
                <w:kern w:val="0"/>
              </w:rPr>
            </w:pPr>
            <w:r>
              <w:rPr>
                <w:kern w:val="0"/>
              </w:rPr>
              <w:t>年均销售收入</w:t>
            </w:r>
          </w:p>
        </w:tc>
        <w:tc>
          <w:tcPr>
            <w:tcW w:w="1693" w:type="dxa"/>
            <w:vAlign w:val="center"/>
          </w:tcPr>
          <w:p>
            <w:pPr>
              <w:widowControl/>
              <w:spacing w:line="240" w:lineRule="auto"/>
              <w:jc w:val="center"/>
              <w:rPr>
                <w:kern w:val="0"/>
              </w:rPr>
            </w:pPr>
            <w:r>
              <w:rPr>
                <w:kern w:val="0"/>
              </w:rPr>
              <w:t>万元</w:t>
            </w:r>
          </w:p>
        </w:tc>
        <w:tc>
          <w:tcPr>
            <w:tcW w:w="1971" w:type="dxa"/>
            <w:vAlign w:val="center"/>
          </w:tcPr>
          <w:p>
            <w:pPr>
              <w:widowControl/>
              <w:spacing w:line="240" w:lineRule="auto"/>
              <w:jc w:val="center"/>
              <w:rPr>
                <w:rFonts w:hint="default" w:eastAsia="宋体"/>
                <w:kern w:val="0"/>
                <w:lang w:val="en-US" w:eastAsia="zh-CN"/>
              </w:rPr>
            </w:pPr>
            <w:r>
              <w:rPr>
                <w:rFonts w:hint="eastAsia"/>
                <w:kern w:val="0"/>
                <w:lang w:val="en-US" w:eastAsia="zh-CN"/>
              </w:rPr>
              <w:t>600</w:t>
            </w:r>
          </w:p>
        </w:tc>
      </w:tr>
    </w:tbl>
    <w:p>
      <w:pPr>
        <w:pStyle w:val="5"/>
        <w:rPr>
          <w:sz w:val="24"/>
          <w:szCs w:val="24"/>
        </w:rPr>
      </w:pPr>
      <w:bookmarkStart w:id="220" w:name="_Toc532395344"/>
      <w:bookmarkStart w:id="221" w:name="_Toc14560_WPSOffice_Level2"/>
      <w:r>
        <w:rPr>
          <w:sz w:val="24"/>
          <w:szCs w:val="24"/>
        </w:rPr>
        <w:t>7.2 社会效益</w:t>
      </w:r>
      <w:bookmarkEnd w:id="220"/>
      <w:bookmarkEnd w:id="221"/>
    </w:p>
    <w:p>
      <w:pPr>
        <w:pStyle w:val="5"/>
        <w:ind w:firstLine="480" w:firstLineChars="200"/>
        <w:rPr>
          <w:b w:val="0"/>
          <w:bCs w:val="0"/>
          <w:sz w:val="24"/>
          <w:szCs w:val="24"/>
        </w:rPr>
      </w:pPr>
      <w:bookmarkStart w:id="222" w:name="_Toc532395345"/>
      <w:r>
        <w:rPr>
          <w:b w:val="0"/>
          <w:bCs w:val="0"/>
          <w:sz w:val="24"/>
          <w:szCs w:val="24"/>
        </w:rPr>
        <w:t>随着人民生活水平的提高，</w:t>
      </w:r>
      <w:r>
        <w:rPr>
          <w:rFonts w:hint="eastAsia"/>
          <w:b w:val="0"/>
          <w:bCs w:val="0"/>
          <w:sz w:val="24"/>
          <w:szCs w:val="24"/>
          <w:lang w:eastAsia="zh-CN"/>
        </w:rPr>
        <w:t>服装</w:t>
      </w:r>
      <w:r>
        <w:rPr>
          <w:b w:val="0"/>
          <w:bCs w:val="0"/>
          <w:sz w:val="24"/>
          <w:szCs w:val="24"/>
        </w:rPr>
        <w:t>需求量不断增加，</w:t>
      </w:r>
      <w:r>
        <w:rPr>
          <w:rFonts w:hint="eastAsia"/>
          <w:b w:val="0"/>
          <w:bCs w:val="0"/>
          <w:sz w:val="24"/>
          <w:szCs w:val="24"/>
          <w:lang w:eastAsia="zh-CN"/>
        </w:rPr>
        <w:t>服装制造业</w:t>
      </w:r>
      <w:r>
        <w:rPr>
          <w:b w:val="0"/>
          <w:bCs w:val="0"/>
          <w:sz w:val="24"/>
          <w:szCs w:val="24"/>
        </w:rPr>
        <w:t>即创造了经济效益，还为社会提供了一定的就业机会，对繁荣经济有一定的好处，体现了良好的社会效益。</w:t>
      </w:r>
    </w:p>
    <w:p>
      <w:pPr>
        <w:pStyle w:val="5"/>
        <w:rPr>
          <w:b w:val="0"/>
          <w:bCs w:val="0"/>
          <w:sz w:val="24"/>
          <w:szCs w:val="24"/>
        </w:rPr>
      </w:pPr>
      <w:r>
        <w:rPr>
          <w:b w:val="0"/>
          <w:bCs w:val="0"/>
          <w:sz w:val="24"/>
          <w:szCs w:val="24"/>
        </w:rPr>
        <w:t>主要体现如下方面：</w:t>
      </w:r>
    </w:p>
    <w:p>
      <w:pPr>
        <w:pStyle w:val="5"/>
        <w:ind w:firstLine="480" w:firstLineChars="200"/>
        <w:rPr>
          <w:b w:val="0"/>
          <w:bCs w:val="0"/>
          <w:sz w:val="24"/>
          <w:szCs w:val="24"/>
        </w:rPr>
      </w:pPr>
      <w:r>
        <w:rPr>
          <w:b w:val="0"/>
          <w:bCs w:val="0"/>
          <w:sz w:val="24"/>
          <w:szCs w:val="24"/>
        </w:rPr>
        <w:t>（1）项目运营后，每年上缴税金可带来直接效益。</w:t>
      </w:r>
    </w:p>
    <w:p>
      <w:pPr>
        <w:pStyle w:val="5"/>
        <w:ind w:firstLine="480" w:firstLineChars="200"/>
        <w:rPr>
          <w:b w:val="0"/>
          <w:bCs w:val="0"/>
          <w:sz w:val="24"/>
          <w:szCs w:val="24"/>
        </w:rPr>
      </w:pPr>
      <w:r>
        <w:rPr>
          <w:b w:val="0"/>
          <w:bCs w:val="0"/>
          <w:sz w:val="24"/>
          <w:szCs w:val="24"/>
        </w:rPr>
        <w:t>（2）为社会提供了高质量的</w:t>
      </w:r>
      <w:r>
        <w:rPr>
          <w:rFonts w:hint="eastAsia"/>
          <w:b w:val="0"/>
          <w:bCs w:val="0"/>
          <w:sz w:val="24"/>
          <w:szCs w:val="24"/>
          <w:lang w:eastAsia="zh-CN"/>
        </w:rPr>
        <w:t>服装</w:t>
      </w:r>
      <w:r>
        <w:rPr>
          <w:b w:val="0"/>
          <w:bCs w:val="0"/>
          <w:sz w:val="24"/>
          <w:szCs w:val="24"/>
        </w:rPr>
        <w:t>，解决社会的</w:t>
      </w:r>
      <w:r>
        <w:rPr>
          <w:rFonts w:hint="eastAsia"/>
          <w:b w:val="0"/>
          <w:bCs w:val="0"/>
          <w:sz w:val="24"/>
          <w:szCs w:val="24"/>
          <w:lang w:eastAsia="zh-CN"/>
        </w:rPr>
        <w:t>衣着质量要求</w:t>
      </w:r>
      <w:r>
        <w:rPr>
          <w:b w:val="0"/>
          <w:bCs w:val="0"/>
          <w:sz w:val="24"/>
          <w:szCs w:val="24"/>
        </w:rPr>
        <w:t>。</w:t>
      </w:r>
    </w:p>
    <w:p>
      <w:pPr>
        <w:pStyle w:val="5"/>
        <w:ind w:firstLine="480" w:firstLineChars="200"/>
        <w:rPr>
          <w:b w:val="0"/>
          <w:bCs w:val="0"/>
          <w:sz w:val="24"/>
          <w:szCs w:val="24"/>
        </w:rPr>
      </w:pPr>
      <w:r>
        <w:rPr>
          <w:b w:val="0"/>
          <w:bCs w:val="0"/>
          <w:sz w:val="24"/>
          <w:szCs w:val="24"/>
        </w:rPr>
        <w:t>（3）项目实施，可以解决</w:t>
      </w:r>
      <w:r>
        <w:rPr>
          <w:rFonts w:hint="eastAsia"/>
          <w:b w:val="0"/>
          <w:bCs w:val="0"/>
          <w:sz w:val="24"/>
          <w:szCs w:val="24"/>
        </w:rPr>
        <w:t>当地居民</w:t>
      </w:r>
      <w:r>
        <w:rPr>
          <w:b w:val="0"/>
          <w:bCs w:val="0"/>
          <w:sz w:val="24"/>
          <w:szCs w:val="24"/>
        </w:rPr>
        <w:t>的就业问题。</w:t>
      </w:r>
    </w:p>
    <w:p>
      <w:pPr>
        <w:pStyle w:val="5"/>
        <w:rPr>
          <w:sz w:val="24"/>
          <w:szCs w:val="24"/>
        </w:rPr>
      </w:pPr>
      <w:bookmarkStart w:id="223" w:name="_Toc22303_WPSOffice_Level2"/>
      <w:r>
        <w:rPr>
          <w:sz w:val="24"/>
          <w:szCs w:val="24"/>
        </w:rPr>
        <w:t>7.3 环境效益</w:t>
      </w:r>
      <w:bookmarkEnd w:id="222"/>
      <w:bookmarkEnd w:id="223"/>
    </w:p>
    <w:p>
      <w:pPr>
        <w:pStyle w:val="5"/>
        <w:ind w:firstLine="496" w:firstLineChars="200"/>
        <w:rPr>
          <w:b w:val="0"/>
          <w:bCs w:val="0"/>
          <w:spacing w:val="4"/>
          <w:sz w:val="24"/>
          <w:szCs w:val="24"/>
        </w:rPr>
      </w:pPr>
      <w:r>
        <w:rPr>
          <w:b w:val="0"/>
          <w:bCs w:val="0"/>
          <w:spacing w:val="4"/>
          <w:sz w:val="24"/>
          <w:szCs w:val="24"/>
        </w:rPr>
        <w:t>由工程分析可知，</w:t>
      </w:r>
      <w:bookmarkStart w:id="224" w:name="_Toc532395346"/>
      <w:r>
        <w:rPr>
          <w:b w:val="0"/>
          <w:bCs w:val="0"/>
          <w:spacing w:val="4"/>
          <w:sz w:val="24"/>
          <w:szCs w:val="24"/>
        </w:rPr>
        <w:t>项目产生的污染物达标排放；同时，通过加强</w:t>
      </w:r>
      <w:r>
        <w:rPr>
          <w:rFonts w:hint="eastAsia"/>
          <w:b w:val="0"/>
          <w:bCs w:val="0"/>
          <w:spacing w:val="4"/>
          <w:sz w:val="24"/>
          <w:szCs w:val="24"/>
        </w:rPr>
        <w:t>厂区</w:t>
      </w:r>
      <w:r>
        <w:rPr>
          <w:b w:val="0"/>
          <w:bCs w:val="0"/>
          <w:spacing w:val="4"/>
          <w:sz w:val="24"/>
          <w:szCs w:val="24"/>
        </w:rPr>
        <w:t>污染物治理措施，降低了污染物事故排放的可能性，并减少了污水污染物的排放量。因此，项目的建设具有一定的环境效益。</w:t>
      </w:r>
    </w:p>
    <w:p>
      <w:pPr>
        <w:pStyle w:val="5"/>
        <w:rPr>
          <w:sz w:val="24"/>
          <w:szCs w:val="24"/>
        </w:rPr>
      </w:pPr>
      <w:bookmarkStart w:id="225" w:name="_Toc5774_WPSOffice_Level2"/>
      <w:r>
        <w:rPr>
          <w:sz w:val="24"/>
          <w:szCs w:val="24"/>
        </w:rPr>
        <w:t>7.4 环境经济损益分析</w:t>
      </w:r>
      <w:bookmarkEnd w:id="224"/>
      <w:bookmarkEnd w:id="225"/>
    </w:p>
    <w:p>
      <w:pPr>
        <w:rPr>
          <w:b/>
          <w:sz w:val="24"/>
          <w:szCs w:val="24"/>
        </w:rPr>
      </w:pPr>
      <w:r>
        <w:rPr>
          <w:b/>
          <w:sz w:val="24"/>
          <w:szCs w:val="24"/>
        </w:rPr>
        <w:t>7.4.1 环保投资估算</w:t>
      </w:r>
    </w:p>
    <w:p>
      <w:pPr>
        <w:ind w:firstLine="480" w:firstLineChars="200"/>
        <w:rPr>
          <w:sz w:val="24"/>
          <w:szCs w:val="24"/>
          <w:highlight w:val="none"/>
        </w:rPr>
      </w:pPr>
      <w:r>
        <w:rPr>
          <w:sz w:val="24"/>
          <w:szCs w:val="24"/>
        </w:rPr>
        <w:t>项目环保投资</w:t>
      </w:r>
      <w:r>
        <w:rPr>
          <w:kern w:val="18"/>
          <w:sz w:val="24"/>
          <w:szCs w:val="24"/>
        </w:rPr>
        <w:t>包括为预防和减缓建设项目不利环境影响而采取的各项环境保护措施和设施的建设费用、运行维护费用，直接为建设项目服务的环境管理与监测费用以及相关科研费用。根据估算结果，项</w:t>
      </w:r>
      <w:r>
        <w:rPr>
          <w:kern w:val="18"/>
          <w:sz w:val="24"/>
          <w:szCs w:val="24"/>
          <w:highlight w:val="none"/>
        </w:rPr>
        <w:t>目环保投资</w:t>
      </w:r>
      <w:r>
        <w:rPr>
          <w:rFonts w:hint="eastAsia"/>
          <w:kern w:val="18"/>
          <w:sz w:val="24"/>
          <w:szCs w:val="24"/>
          <w:highlight w:val="none"/>
          <w:lang w:val="en-US" w:eastAsia="zh-CN"/>
        </w:rPr>
        <w:t>35</w:t>
      </w:r>
      <w:r>
        <w:rPr>
          <w:kern w:val="18"/>
          <w:sz w:val="24"/>
          <w:szCs w:val="24"/>
          <w:highlight w:val="none"/>
        </w:rPr>
        <w:t>万元。</w:t>
      </w:r>
    </w:p>
    <w:p>
      <w:pPr>
        <w:rPr>
          <w:b/>
          <w:sz w:val="24"/>
          <w:szCs w:val="24"/>
        </w:rPr>
      </w:pPr>
      <w:r>
        <w:rPr>
          <w:b/>
          <w:sz w:val="24"/>
          <w:szCs w:val="24"/>
        </w:rPr>
        <w:t>7.4.2 环境经济损益指标分析</w:t>
      </w:r>
    </w:p>
    <w:p>
      <w:pPr>
        <w:ind w:firstLine="480" w:firstLineChars="200"/>
        <w:rPr>
          <w:sz w:val="24"/>
          <w:szCs w:val="24"/>
        </w:rPr>
      </w:pPr>
      <w:r>
        <w:rPr>
          <w:sz w:val="24"/>
          <w:szCs w:val="24"/>
        </w:rPr>
        <w:t>本次评价主要从环境保护投资比例系数、产值环境系数、环境经济损益系数等几项指标来进行环境经济损益分析。</w:t>
      </w:r>
    </w:p>
    <w:p>
      <w:pPr>
        <w:ind w:firstLine="472" w:firstLineChars="197"/>
        <w:rPr>
          <w:sz w:val="24"/>
          <w:szCs w:val="24"/>
        </w:rPr>
      </w:pPr>
      <w:r>
        <w:rPr>
          <w:sz w:val="24"/>
          <w:szCs w:val="24"/>
        </w:rPr>
        <w:t>（1）环保投资比例系数Hz</w:t>
      </w:r>
    </w:p>
    <w:p>
      <w:pPr>
        <w:ind w:firstLine="480" w:firstLineChars="200"/>
        <w:rPr>
          <w:sz w:val="24"/>
          <w:szCs w:val="24"/>
        </w:rPr>
      </w:pPr>
      <w:r>
        <w:rPr>
          <w:sz w:val="24"/>
          <w:szCs w:val="24"/>
        </w:rPr>
        <w:t>环保投资比例系数是指环保建设投资与企业建设总投资的比值，它体现了企业对环保工作的重视程度。</w:t>
      </w:r>
    </w:p>
    <w:p>
      <w:pPr>
        <w:ind w:firstLine="480" w:firstLineChars="200"/>
        <w:jc w:val="center"/>
        <w:rPr>
          <w:sz w:val="24"/>
          <w:szCs w:val="24"/>
        </w:rPr>
      </w:pPr>
      <w:r>
        <w:rPr>
          <w:sz w:val="24"/>
          <w:szCs w:val="24"/>
        </w:rPr>
        <w:t>Hz=（E</w:t>
      </w:r>
      <w:r>
        <w:rPr>
          <w:sz w:val="24"/>
          <w:szCs w:val="24"/>
          <w:vertAlign w:val="subscript"/>
        </w:rPr>
        <w:t>0</w:t>
      </w:r>
      <w:r>
        <w:rPr>
          <w:sz w:val="24"/>
          <w:szCs w:val="24"/>
        </w:rPr>
        <w:t>/E</w:t>
      </w:r>
      <w:r>
        <w:rPr>
          <w:sz w:val="24"/>
          <w:szCs w:val="24"/>
          <w:vertAlign w:val="subscript"/>
        </w:rPr>
        <w:t>R</w:t>
      </w:r>
      <w:r>
        <w:rPr>
          <w:sz w:val="24"/>
          <w:szCs w:val="24"/>
        </w:rPr>
        <w:t>）×100%</w:t>
      </w:r>
    </w:p>
    <w:p>
      <w:pPr>
        <w:ind w:firstLine="480" w:firstLineChars="200"/>
        <w:rPr>
          <w:sz w:val="24"/>
          <w:szCs w:val="24"/>
        </w:rPr>
      </w:pPr>
      <w:r>
        <w:rPr>
          <w:sz w:val="24"/>
          <w:szCs w:val="24"/>
        </w:rPr>
        <w:t>式中：Hz—环保投资比例系数；</w:t>
      </w:r>
    </w:p>
    <w:p>
      <w:pPr>
        <w:ind w:firstLine="480" w:firstLineChars="200"/>
        <w:rPr>
          <w:sz w:val="24"/>
          <w:szCs w:val="24"/>
        </w:rPr>
      </w:pPr>
      <w:r>
        <w:rPr>
          <w:sz w:val="24"/>
          <w:szCs w:val="24"/>
        </w:rPr>
        <w:t xml:space="preserve">      E</w:t>
      </w:r>
      <w:r>
        <w:rPr>
          <w:sz w:val="24"/>
          <w:szCs w:val="24"/>
          <w:vertAlign w:val="subscript"/>
        </w:rPr>
        <w:t>0</w:t>
      </w:r>
      <w:r>
        <w:rPr>
          <w:sz w:val="24"/>
          <w:szCs w:val="24"/>
        </w:rPr>
        <w:t>—环保建设投资，万元；</w:t>
      </w:r>
    </w:p>
    <w:p>
      <w:pPr>
        <w:ind w:firstLine="480" w:firstLineChars="200"/>
        <w:rPr>
          <w:sz w:val="24"/>
          <w:szCs w:val="24"/>
        </w:rPr>
      </w:pPr>
      <w:r>
        <w:rPr>
          <w:sz w:val="24"/>
          <w:szCs w:val="24"/>
        </w:rPr>
        <w:t xml:space="preserve">      E</w:t>
      </w:r>
      <w:r>
        <w:rPr>
          <w:sz w:val="24"/>
          <w:szCs w:val="24"/>
          <w:vertAlign w:val="subscript"/>
        </w:rPr>
        <w:t>R</w:t>
      </w:r>
      <w:r>
        <w:rPr>
          <w:sz w:val="24"/>
          <w:szCs w:val="24"/>
        </w:rPr>
        <w:t>—企业（工程）建设总投资，万元。</w:t>
      </w:r>
    </w:p>
    <w:p>
      <w:pPr>
        <w:ind w:firstLine="480" w:firstLineChars="200"/>
        <w:rPr>
          <w:sz w:val="24"/>
          <w:szCs w:val="24"/>
        </w:rPr>
      </w:pPr>
      <w:r>
        <w:rPr>
          <w:sz w:val="24"/>
          <w:szCs w:val="24"/>
        </w:rPr>
        <w:t>本项目环保投资费用</w:t>
      </w:r>
      <w:r>
        <w:rPr>
          <w:rFonts w:hint="eastAsia"/>
          <w:sz w:val="24"/>
          <w:szCs w:val="24"/>
          <w:lang w:val="en-US" w:eastAsia="zh-CN"/>
        </w:rPr>
        <w:t>35</w:t>
      </w:r>
      <w:r>
        <w:rPr>
          <w:sz w:val="24"/>
          <w:szCs w:val="24"/>
        </w:rPr>
        <w:t>万元，工程建设总投资为</w:t>
      </w:r>
      <w:r>
        <w:rPr>
          <w:rFonts w:hint="eastAsia"/>
          <w:sz w:val="24"/>
          <w:szCs w:val="24"/>
          <w:lang w:val="en-US" w:eastAsia="zh-CN"/>
        </w:rPr>
        <w:t>1000</w:t>
      </w:r>
      <w:r>
        <w:rPr>
          <w:sz w:val="24"/>
          <w:szCs w:val="24"/>
        </w:rPr>
        <w:t>万元，环保投资占工程计划总投资</w:t>
      </w:r>
      <w:r>
        <w:rPr>
          <w:rFonts w:hint="eastAsia"/>
          <w:sz w:val="24"/>
          <w:szCs w:val="24"/>
          <w:lang w:val="en-US" w:eastAsia="zh-CN"/>
        </w:rPr>
        <w:t>0.35</w:t>
      </w:r>
      <w:r>
        <w:rPr>
          <w:sz w:val="24"/>
          <w:szCs w:val="24"/>
        </w:rPr>
        <w:t>%，能有效地控制环境污染，实行清洁生产，降低能耗、物耗，减轻了对周围环境的影响。</w:t>
      </w:r>
    </w:p>
    <w:p>
      <w:pPr>
        <w:ind w:firstLine="472" w:firstLineChars="197"/>
        <w:rPr>
          <w:sz w:val="24"/>
          <w:szCs w:val="24"/>
        </w:rPr>
      </w:pPr>
      <w:r>
        <w:rPr>
          <w:sz w:val="24"/>
          <w:szCs w:val="24"/>
        </w:rPr>
        <w:t>（2）产值环境系数Fg</w:t>
      </w:r>
    </w:p>
    <w:p>
      <w:pPr>
        <w:ind w:firstLine="480" w:firstLineChars="200"/>
        <w:rPr>
          <w:sz w:val="24"/>
          <w:szCs w:val="24"/>
        </w:rPr>
      </w:pPr>
      <w:r>
        <w:rPr>
          <w:sz w:val="24"/>
          <w:szCs w:val="24"/>
        </w:rPr>
        <w:t>产值环境系数是指年环保费用与工业总产值的比值，年环保费用是指环保治理设施及综合利用装置的运行费用、折旧费、日常管理费等，产值环境系数的表达式为：</w:t>
      </w:r>
    </w:p>
    <w:p>
      <w:pPr>
        <w:ind w:firstLine="480" w:firstLineChars="200"/>
        <w:jc w:val="center"/>
        <w:rPr>
          <w:sz w:val="24"/>
          <w:szCs w:val="24"/>
        </w:rPr>
      </w:pPr>
      <w:r>
        <w:rPr>
          <w:sz w:val="24"/>
          <w:szCs w:val="24"/>
        </w:rPr>
        <w:t>Fg=（Ez/Es）×100%</w:t>
      </w:r>
    </w:p>
    <w:p>
      <w:pPr>
        <w:ind w:firstLine="480" w:firstLineChars="200"/>
        <w:rPr>
          <w:sz w:val="24"/>
          <w:szCs w:val="24"/>
        </w:rPr>
      </w:pPr>
      <w:r>
        <w:rPr>
          <w:sz w:val="24"/>
          <w:szCs w:val="24"/>
        </w:rPr>
        <w:t>式中：Ez—年环保费用，万元</w:t>
      </w:r>
    </w:p>
    <w:p>
      <w:pPr>
        <w:ind w:firstLine="480" w:firstLineChars="200"/>
        <w:rPr>
          <w:sz w:val="24"/>
          <w:szCs w:val="24"/>
        </w:rPr>
      </w:pPr>
      <w:r>
        <w:rPr>
          <w:sz w:val="24"/>
          <w:szCs w:val="24"/>
        </w:rPr>
        <w:t xml:space="preserve">      Es—年工业总产值，万元</w:t>
      </w:r>
    </w:p>
    <w:p>
      <w:pPr>
        <w:ind w:firstLine="480" w:firstLineChars="200"/>
        <w:rPr>
          <w:sz w:val="24"/>
          <w:szCs w:val="24"/>
        </w:rPr>
      </w:pPr>
      <w:r>
        <w:rPr>
          <w:sz w:val="24"/>
          <w:szCs w:val="24"/>
        </w:rPr>
        <w:t>建设工程实施后，每年环保设施运行及管理费用为10万元，本项目年工业总产值为</w:t>
      </w:r>
      <w:r>
        <w:rPr>
          <w:rFonts w:hint="eastAsia"/>
          <w:sz w:val="24"/>
          <w:szCs w:val="24"/>
          <w:lang w:val="en-US" w:eastAsia="zh-CN"/>
        </w:rPr>
        <w:t>600</w:t>
      </w:r>
      <w:r>
        <w:rPr>
          <w:sz w:val="24"/>
          <w:szCs w:val="24"/>
        </w:rPr>
        <w:t>万元，则产值环境系数1.03%。</w:t>
      </w:r>
    </w:p>
    <w:p>
      <w:pPr>
        <w:ind w:firstLine="480" w:firstLineChars="200"/>
        <w:rPr>
          <w:sz w:val="24"/>
          <w:szCs w:val="24"/>
        </w:rPr>
      </w:pPr>
      <w:r>
        <w:rPr>
          <w:sz w:val="24"/>
          <w:szCs w:val="24"/>
        </w:rPr>
        <w:t>（3）环境经济效益系数</w:t>
      </w:r>
    </w:p>
    <w:p>
      <w:pPr>
        <w:ind w:firstLine="480" w:firstLineChars="200"/>
        <w:rPr>
          <w:sz w:val="24"/>
          <w:szCs w:val="24"/>
        </w:rPr>
      </w:pPr>
      <w:r>
        <w:rPr>
          <w:sz w:val="24"/>
          <w:szCs w:val="24"/>
        </w:rPr>
        <w:t>环境经济效益系数Jx是指因有效的采取环境保护措施而挽回的经济价值与环境保护费用之比，其表达式为：</w:t>
      </w:r>
    </w:p>
    <w:p>
      <w:pPr>
        <w:ind w:firstLine="480" w:firstLineChars="200"/>
        <w:jc w:val="center"/>
        <w:rPr>
          <w:sz w:val="24"/>
          <w:szCs w:val="24"/>
        </w:rPr>
      </w:pPr>
      <w:r>
        <w:rPr>
          <w:sz w:val="24"/>
          <w:szCs w:val="24"/>
        </w:rPr>
        <w:t>Jx=Ei/Ez</w:t>
      </w:r>
    </w:p>
    <w:p>
      <w:pPr>
        <w:ind w:firstLine="480" w:firstLineChars="200"/>
        <w:rPr>
          <w:sz w:val="24"/>
          <w:szCs w:val="24"/>
        </w:rPr>
      </w:pPr>
      <w:r>
        <w:rPr>
          <w:sz w:val="24"/>
          <w:szCs w:val="24"/>
        </w:rPr>
        <w:t>式中：Ei—每年环保措施挽回的经济效益，万元；</w:t>
      </w:r>
    </w:p>
    <w:p>
      <w:pPr>
        <w:ind w:firstLine="480" w:firstLineChars="200"/>
        <w:rPr>
          <w:sz w:val="24"/>
          <w:szCs w:val="24"/>
        </w:rPr>
      </w:pPr>
      <w:r>
        <w:rPr>
          <w:sz w:val="24"/>
          <w:szCs w:val="24"/>
        </w:rPr>
        <w:t xml:space="preserve">      Ez—年环保费用，万元。</w:t>
      </w:r>
    </w:p>
    <w:p>
      <w:pPr>
        <w:ind w:firstLine="480" w:firstLineChars="200"/>
        <w:rPr>
          <w:sz w:val="24"/>
          <w:szCs w:val="24"/>
        </w:rPr>
      </w:pPr>
      <w:r>
        <w:rPr>
          <w:sz w:val="24"/>
          <w:szCs w:val="24"/>
        </w:rPr>
        <w:t>工程每年环保措施挽回的经济效益10万元，年环保费用为</w:t>
      </w:r>
      <w:r>
        <w:rPr>
          <w:rFonts w:hint="eastAsia"/>
          <w:sz w:val="24"/>
          <w:szCs w:val="24"/>
          <w:lang w:val="en-US" w:eastAsia="zh-CN"/>
        </w:rPr>
        <w:t>3</w:t>
      </w:r>
      <w:r>
        <w:rPr>
          <w:rFonts w:hint="eastAsia"/>
          <w:sz w:val="24"/>
          <w:szCs w:val="24"/>
        </w:rPr>
        <w:t>5</w:t>
      </w:r>
      <w:r>
        <w:rPr>
          <w:sz w:val="24"/>
          <w:szCs w:val="24"/>
        </w:rPr>
        <w:t>万元，则环境经济效益系数为0.</w:t>
      </w:r>
      <w:r>
        <w:rPr>
          <w:rFonts w:hint="eastAsia"/>
          <w:sz w:val="24"/>
          <w:szCs w:val="24"/>
          <w:lang w:val="en-US" w:eastAsia="zh-CN"/>
        </w:rPr>
        <w:t>3</w:t>
      </w:r>
      <w:r>
        <w:rPr>
          <w:sz w:val="24"/>
          <w:szCs w:val="24"/>
        </w:rPr>
        <w:t>，说明采取的环保费用取得了一定的环境经济效益。</w:t>
      </w:r>
    </w:p>
    <w:p>
      <w:pPr>
        <w:ind w:firstLine="480" w:firstLineChars="200"/>
        <w:rPr>
          <w:sz w:val="24"/>
          <w:szCs w:val="24"/>
        </w:rPr>
      </w:pPr>
      <w:r>
        <w:rPr>
          <w:sz w:val="24"/>
          <w:szCs w:val="24"/>
        </w:rPr>
        <w:t>环境经济损益指标分析：</w:t>
      </w:r>
    </w:p>
    <w:p>
      <w:pPr>
        <w:ind w:firstLine="480" w:firstLineChars="200"/>
        <w:rPr>
          <w:sz w:val="24"/>
          <w:szCs w:val="24"/>
        </w:rPr>
      </w:pPr>
      <w:r>
        <w:rPr>
          <w:sz w:val="24"/>
          <w:szCs w:val="24"/>
        </w:rPr>
        <w:t>项目建成投产后可促进当地工业的发展、增加职工收入等，在采取了相应的、必要的环保措施后，该项目满足环保要求，对环境的影响将会降低到最低限度。</w:t>
      </w:r>
    </w:p>
    <w:p>
      <w:pPr>
        <w:ind w:firstLine="480" w:firstLineChars="200"/>
        <w:rPr>
          <w:sz w:val="24"/>
          <w:szCs w:val="24"/>
        </w:rPr>
      </w:pPr>
      <w:r>
        <w:rPr>
          <w:sz w:val="24"/>
          <w:szCs w:val="24"/>
        </w:rPr>
        <w:t>项目的建设可取得较好的经济效益、社会效益，同时满足环保准入条件，项目取得的环境效益等于所付出的环保费用，说明该项目环保措施和投入是可行的。</w:t>
      </w:r>
    </w:p>
    <w:p>
      <w:pPr>
        <w:ind w:firstLine="420" w:firstLineChars="200"/>
      </w:pPr>
    </w:p>
    <w:p>
      <w:pPr>
        <w:ind w:firstLine="420" w:firstLineChars="200"/>
      </w:pPr>
    </w:p>
    <w:p>
      <w:pPr>
        <w:pStyle w:val="51"/>
        <w:adjustRightInd/>
        <w:snapToGrid/>
        <w:ind w:firstLine="880"/>
        <w:rPr>
          <w:rFonts w:cs="Times New Roman"/>
          <w:sz w:val="44"/>
          <w:szCs w:val="44"/>
        </w:rPr>
        <w:sectPr>
          <w:headerReference r:id="rId17" w:type="default"/>
          <w:pgSz w:w="11907" w:h="16840"/>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pStyle w:val="5"/>
        <w:jc w:val="center"/>
        <w:rPr>
          <w:rFonts w:eastAsia="黑体"/>
          <w:sz w:val="36"/>
          <w:szCs w:val="36"/>
        </w:rPr>
      </w:pPr>
      <w:bookmarkStart w:id="226" w:name="_Toc532395347"/>
      <w:bookmarkStart w:id="227" w:name="_Toc5819_WPSOffice_Level1"/>
      <w:r>
        <w:rPr>
          <w:rFonts w:eastAsia="黑体"/>
          <w:sz w:val="36"/>
          <w:szCs w:val="36"/>
        </w:rPr>
        <w:t>第八章 环境管理与监测计划</w:t>
      </w:r>
      <w:bookmarkEnd w:id="226"/>
      <w:bookmarkEnd w:id="227"/>
    </w:p>
    <w:p>
      <w:pPr>
        <w:pStyle w:val="5"/>
        <w:spacing w:line="480" w:lineRule="exact"/>
        <w:rPr>
          <w:bCs w:val="0"/>
          <w:sz w:val="28"/>
          <w:szCs w:val="28"/>
        </w:rPr>
      </w:pPr>
      <w:bookmarkStart w:id="228" w:name="_Toc300426865"/>
      <w:bookmarkStart w:id="229" w:name="_Toc324866660"/>
      <w:bookmarkStart w:id="230" w:name="_Toc232386559"/>
      <w:bookmarkStart w:id="231" w:name="_Toc11212"/>
      <w:bookmarkStart w:id="232" w:name="_Toc27500_WPSOffice_Level2"/>
      <w:bookmarkStart w:id="233" w:name="_Toc162843401"/>
      <w:bookmarkStart w:id="234" w:name="_Toc162843637"/>
      <w:bookmarkStart w:id="235" w:name="_Toc158783630"/>
      <w:bookmarkStart w:id="236" w:name="_Toc162843177"/>
      <w:r>
        <w:rPr>
          <w:rFonts w:hint="eastAsia"/>
          <w:bCs w:val="0"/>
          <w:sz w:val="28"/>
          <w:szCs w:val="28"/>
        </w:rPr>
        <w:t>8</w:t>
      </w:r>
      <w:r>
        <w:rPr>
          <w:bCs w:val="0"/>
          <w:sz w:val="28"/>
          <w:szCs w:val="28"/>
        </w:rPr>
        <w:t>.1环境管理</w:t>
      </w:r>
      <w:bookmarkEnd w:id="228"/>
      <w:bookmarkEnd w:id="229"/>
      <w:bookmarkEnd w:id="230"/>
      <w:bookmarkEnd w:id="231"/>
      <w:bookmarkEnd w:id="232"/>
      <w:bookmarkEnd w:id="233"/>
      <w:bookmarkEnd w:id="234"/>
      <w:bookmarkEnd w:id="235"/>
      <w:bookmarkEnd w:id="236"/>
    </w:p>
    <w:p>
      <w:pPr>
        <w:spacing w:line="480" w:lineRule="exact"/>
        <w:ind w:firstLine="482" w:firstLineChars="200"/>
        <w:rPr>
          <w:b/>
          <w:sz w:val="24"/>
        </w:rPr>
      </w:pPr>
      <w:bookmarkStart w:id="237" w:name="_Toc162843638"/>
      <w:bookmarkStart w:id="238" w:name="_Toc162843402"/>
      <w:r>
        <w:rPr>
          <w:rFonts w:hint="eastAsia"/>
          <w:b/>
          <w:sz w:val="24"/>
        </w:rPr>
        <w:t>8</w:t>
      </w:r>
      <w:r>
        <w:rPr>
          <w:b/>
          <w:sz w:val="24"/>
        </w:rPr>
        <w:t>.1.1环境管理机构设置的目的</w:t>
      </w:r>
      <w:bookmarkEnd w:id="237"/>
      <w:bookmarkEnd w:id="238"/>
    </w:p>
    <w:p>
      <w:pPr>
        <w:spacing w:line="480" w:lineRule="exact"/>
        <w:ind w:firstLine="480" w:firstLineChars="200"/>
        <w:rPr>
          <w:sz w:val="24"/>
        </w:rPr>
      </w:pPr>
      <w:r>
        <w:rPr>
          <w:sz w:val="24"/>
        </w:rPr>
        <w:t>环境管理机构的设置，目的是为了贯彻执行中华人民共和国环境保护法的有关法律、法规，全面落实《国务院关于环境保护若干问题的决定》的有关规定，对项目</w:t>
      </w:r>
      <w:r>
        <w:rPr>
          <w:rFonts w:hint="eastAsia"/>
          <w:sz w:val="24"/>
        </w:rPr>
        <w:t>“</w:t>
      </w:r>
      <w:r>
        <w:rPr>
          <w:sz w:val="24"/>
        </w:rPr>
        <w:t>三废</w:t>
      </w:r>
      <w:r>
        <w:rPr>
          <w:rFonts w:hint="eastAsia"/>
          <w:sz w:val="24"/>
        </w:rPr>
        <w:t>”</w:t>
      </w:r>
      <w:r>
        <w:rPr>
          <w:sz w:val="24"/>
        </w:rPr>
        <w:t>排放实行监控，确保建设项目经济、环境和社会效益协调发展；协调地方环保部门工作，为企业的生产管理和环境管理提供保证，针对</w:t>
      </w:r>
      <w:r>
        <w:rPr>
          <w:rFonts w:hint="eastAsia"/>
          <w:sz w:val="24"/>
        </w:rPr>
        <w:t>项目</w:t>
      </w:r>
      <w:r>
        <w:rPr>
          <w:sz w:val="24"/>
        </w:rPr>
        <w:t>的具体情况，为加强严格管理，企业应设置环境管理机构，并尽相应的职责。</w:t>
      </w:r>
    </w:p>
    <w:p>
      <w:pPr>
        <w:spacing w:line="480" w:lineRule="exact"/>
        <w:ind w:firstLine="482" w:firstLineChars="200"/>
        <w:rPr>
          <w:b/>
          <w:sz w:val="24"/>
        </w:rPr>
      </w:pPr>
      <w:bookmarkStart w:id="239" w:name="_Toc162843403"/>
      <w:bookmarkStart w:id="240" w:name="_Toc162843639"/>
      <w:bookmarkStart w:id="241" w:name="_Toc50364807"/>
      <w:r>
        <w:rPr>
          <w:rFonts w:hint="eastAsia"/>
          <w:b/>
          <w:sz w:val="24"/>
        </w:rPr>
        <w:t>8</w:t>
      </w:r>
      <w:r>
        <w:rPr>
          <w:b/>
          <w:sz w:val="24"/>
        </w:rPr>
        <w:t>.1.2环境管理机构的设置</w:t>
      </w:r>
      <w:bookmarkEnd w:id="239"/>
      <w:bookmarkEnd w:id="240"/>
    </w:p>
    <w:p>
      <w:pPr>
        <w:spacing w:line="480" w:lineRule="exact"/>
        <w:ind w:firstLine="480" w:firstLineChars="200"/>
        <w:rPr>
          <w:sz w:val="24"/>
        </w:rPr>
      </w:pPr>
      <w:bookmarkStart w:id="242" w:name="_Toc162843404"/>
      <w:bookmarkStart w:id="243" w:name="_Toc162843178"/>
      <w:bookmarkStart w:id="244" w:name="_Toc162843640"/>
      <w:bookmarkStart w:id="245" w:name="_Toc232386560"/>
      <w:bookmarkStart w:id="246" w:name="_Toc158783631"/>
      <w:r>
        <w:rPr>
          <w:sz w:val="24"/>
        </w:rPr>
        <w:t>1、机构组成</w:t>
      </w:r>
      <w:bookmarkEnd w:id="242"/>
      <w:bookmarkEnd w:id="243"/>
      <w:bookmarkEnd w:id="244"/>
      <w:bookmarkEnd w:id="245"/>
      <w:bookmarkEnd w:id="246"/>
    </w:p>
    <w:p>
      <w:pPr>
        <w:spacing w:line="480" w:lineRule="exact"/>
        <w:ind w:firstLine="480" w:firstLineChars="200"/>
        <w:rPr>
          <w:sz w:val="24"/>
        </w:rPr>
      </w:pPr>
      <w:r>
        <w:rPr>
          <w:sz w:val="24"/>
        </w:rPr>
        <w:t>根据本工程的实际情况，在建设施工阶段，工程指挥部应设专人负责环境保护事宜。工程投入运营后，环境管理机构由后勤管理部门负责，下设环境管理小组对该项目环境管理和环境监控负责，并受项目主管单位及环保局的监督和指导。</w:t>
      </w:r>
    </w:p>
    <w:p>
      <w:pPr>
        <w:spacing w:line="480" w:lineRule="exact"/>
        <w:ind w:firstLine="480" w:firstLineChars="200"/>
        <w:rPr>
          <w:sz w:val="24"/>
        </w:rPr>
      </w:pPr>
      <w:bookmarkStart w:id="247" w:name="_Toc232386561"/>
      <w:bookmarkStart w:id="248" w:name="_Toc162843405"/>
      <w:bookmarkStart w:id="249" w:name="_Toc162843641"/>
      <w:bookmarkStart w:id="250" w:name="_Toc162843179"/>
      <w:bookmarkStart w:id="251" w:name="_Toc158783632"/>
      <w:r>
        <w:rPr>
          <w:sz w:val="24"/>
        </w:rPr>
        <w:t>2、环保机构定员</w:t>
      </w:r>
      <w:bookmarkEnd w:id="247"/>
      <w:bookmarkEnd w:id="248"/>
      <w:bookmarkEnd w:id="249"/>
      <w:bookmarkEnd w:id="250"/>
      <w:bookmarkEnd w:id="251"/>
    </w:p>
    <w:p>
      <w:pPr>
        <w:spacing w:line="480" w:lineRule="exact"/>
        <w:ind w:firstLine="480" w:firstLineChars="200"/>
        <w:rPr>
          <w:sz w:val="24"/>
        </w:rPr>
      </w:pPr>
      <w:r>
        <w:rPr>
          <w:sz w:val="24"/>
        </w:rPr>
        <w:t>施工期在建设工程指挥部设1~2名环境管理人员。运营期应在后勤管理部门下设专门的环保机构，并设专职的环保管理人员1名，污水处理站操作人员2名，固废处置人员2名。</w:t>
      </w:r>
    </w:p>
    <w:p>
      <w:pPr>
        <w:spacing w:line="480" w:lineRule="exact"/>
        <w:ind w:firstLine="480" w:firstLineChars="200"/>
        <w:rPr>
          <w:sz w:val="24"/>
        </w:rPr>
      </w:pPr>
      <w:bookmarkStart w:id="252" w:name="_Toc162843406"/>
      <w:bookmarkStart w:id="253" w:name="_Toc162843642"/>
      <w:r>
        <w:rPr>
          <w:sz w:val="24"/>
        </w:rPr>
        <w:t>3、环境管理机构的职责</w:t>
      </w:r>
      <w:bookmarkEnd w:id="252"/>
      <w:bookmarkEnd w:id="253"/>
    </w:p>
    <w:p>
      <w:pPr>
        <w:spacing w:line="480" w:lineRule="exact"/>
        <w:ind w:firstLine="480" w:firstLineChars="200"/>
        <w:rPr>
          <w:sz w:val="24"/>
        </w:rPr>
      </w:pPr>
      <w:r>
        <w:rPr>
          <w:sz w:val="24"/>
        </w:rPr>
        <w:t>该</w:t>
      </w:r>
      <w:r>
        <w:rPr>
          <w:rFonts w:hint="eastAsia"/>
          <w:sz w:val="24"/>
        </w:rPr>
        <w:t>项目</w:t>
      </w:r>
      <w:r>
        <w:rPr>
          <w:sz w:val="24"/>
        </w:rPr>
        <w:t>的环保机构负责</w:t>
      </w:r>
      <w:r>
        <w:rPr>
          <w:rFonts w:hint="eastAsia"/>
          <w:sz w:val="24"/>
        </w:rPr>
        <w:t>厂区内</w:t>
      </w:r>
      <w:r>
        <w:rPr>
          <w:sz w:val="24"/>
        </w:rPr>
        <w:t>的环境保护管理工作和处理环境保护的日常事务。环境保护管理的日常工作的主要内容有：</w:t>
      </w:r>
    </w:p>
    <w:p>
      <w:pPr>
        <w:spacing w:line="480" w:lineRule="exact"/>
        <w:ind w:firstLine="480" w:firstLineChars="200"/>
        <w:rPr>
          <w:sz w:val="24"/>
        </w:rPr>
      </w:pPr>
      <w:r>
        <w:rPr>
          <w:sz w:val="24"/>
        </w:rPr>
        <w:t>（1）负责监督检查有关环保法规、条例的执行情况，以及关于环境保护的规章制度的执行情况；</w:t>
      </w:r>
    </w:p>
    <w:p>
      <w:pPr>
        <w:spacing w:line="480" w:lineRule="exact"/>
        <w:ind w:firstLine="480" w:firstLineChars="200"/>
        <w:rPr>
          <w:sz w:val="24"/>
        </w:rPr>
      </w:pPr>
      <w:r>
        <w:rPr>
          <w:sz w:val="24"/>
        </w:rPr>
        <w:t>（2）制定</w:t>
      </w:r>
      <w:r>
        <w:rPr>
          <w:rFonts w:hint="eastAsia"/>
          <w:sz w:val="24"/>
        </w:rPr>
        <w:t>厂区</w:t>
      </w:r>
      <w:r>
        <w:rPr>
          <w:sz w:val="24"/>
        </w:rPr>
        <w:t>的环保管理制度、环保技术经济政策、环境保护发展规划和年度实施计划</w:t>
      </w:r>
      <w:r>
        <w:rPr>
          <w:rFonts w:hint="eastAsia"/>
          <w:sz w:val="24"/>
        </w:rPr>
        <w:t>；</w:t>
      </w:r>
    </w:p>
    <w:p>
      <w:pPr>
        <w:spacing w:line="480" w:lineRule="exact"/>
        <w:ind w:firstLine="480" w:firstLineChars="200"/>
        <w:rPr>
          <w:sz w:val="24"/>
        </w:rPr>
      </w:pPr>
      <w:r>
        <w:rPr>
          <w:sz w:val="24"/>
        </w:rPr>
        <w:t>（3）效果的检查；</w:t>
      </w:r>
    </w:p>
    <w:p>
      <w:pPr>
        <w:spacing w:line="480" w:lineRule="exact"/>
        <w:ind w:firstLine="480" w:firstLineChars="200"/>
        <w:rPr>
          <w:sz w:val="24"/>
        </w:rPr>
      </w:pPr>
      <w:r>
        <w:rPr>
          <w:sz w:val="24"/>
        </w:rPr>
        <w:t>（4）负责环保设施的日常运行管理工作，制定事故防范措施，一旦发生事故，组织污染源调查及控制工作，并及时总结经验教训</w:t>
      </w:r>
      <w:r>
        <w:rPr>
          <w:rFonts w:hint="eastAsia"/>
          <w:sz w:val="24"/>
        </w:rPr>
        <w:t>；</w:t>
      </w:r>
    </w:p>
    <w:p>
      <w:pPr>
        <w:spacing w:line="480" w:lineRule="exact"/>
        <w:ind w:firstLine="480" w:firstLineChars="200"/>
        <w:rPr>
          <w:sz w:val="24"/>
        </w:rPr>
      </w:pPr>
      <w:r>
        <w:rPr>
          <w:sz w:val="24"/>
        </w:rPr>
        <w:t>（5）经常对</w:t>
      </w:r>
      <w:r>
        <w:rPr>
          <w:rFonts w:hint="eastAsia"/>
          <w:sz w:val="24"/>
        </w:rPr>
        <w:t>职工</w:t>
      </w:r>
      <w:r>
        <w:rPr>
          <w:sz w:val="24"/>
        </w:rPr>
        <w:t>人员进行环境保护的教育和管理，使每一员工都有环保意识及危害意识，自觉节约用水、用电，对</w:t>
      </w:r>
      <w:r>
        <w:rPr>
          <w:rFonts w:hint="eastAsia"/>
          <w:sz w:val="24"/>
        </w:rPr>
        <w:t>不同</w:t>
      </w:r>
      <w:r>
        <w:rPr>
          <w:sz w:val="24"/>
        </w:rPr>
        <w:t>固体废弃物能自觉纳入相应的收集系统内，不乱排、乱倒</w:t>
      </w:r>
      <w:r>
        <w:rPr>
          <w:rFonts w:hint="eastAsia"/>
          <w:sz w:val="24"/>
        </w:rPr>
        <w:t>；</w:t>
      </w:r>
    </w:p>
    <w:p>
      <w:pPr>
        <w:spacing w:line="480" w:lineRule="exact"/>
        <w:ind w:firstLine="480" w:firstLineChars="200"/>
        <w:rPr>
          <w:sz w:val="24"/>
        </w:rPr>
      </w:pPr>
      <w:r>
        <w:rPr>
          <w:sz w:val="24"/>
        </w:rPr>
        <w:t>（6）负责调查处理污染投诉和污染事故，记录处理过程，协助地方</w:t>
      </w:r>
      <w:r>
        <w:rPr>
          <w:rFonts w:hint="eastAsia"/>
          <w:sz w:val="24"/>
          <w:lang w:eastAsia="zh-CN"/>
        </w:rPr>
        <w:t>生态环境局</w:t>
      </w:r>
      <w:r>
        <w:rPr>
          <w:sz w:val="24"/>
        </w:rPr>
        <w:t>进行生产过程的环境监督和管理</w:t>
      </w:r>
      <w:r>
        <w:rPr>
          <w:rFonts w:hint="eastAsia"/>
          <w:sz w:val="24"/>
        </w:rPr>
        <w:t>；</w:t>
      </w:r>
    </w:p>
    <w:p>
      <w:pPr>
        <w:spacing w:line="480" w:lineRule="exact"/>
        <w:ind w:firstLine="480" w:firstLineChars="200"/>
        <w:rPr>
          <w:sz w:val="24"/>
        </w:rPr>
      </w:pPr>
      <w:r>
        <w:rPr>
          <w:sz w:val="24"/>
        </w:rPr>
        <w:t>（7）负责环境监测计划的实施。</w:t>
      </w:r>
    </w:p>
    <w:p>
      <w:pPr>
        <w:spacing w:line="480" w:lineRule="exact"/>
        <w:ind w:firstLine="482" w:firstLineChars="200"/>
        <w:rPr>
          <w:b/>
          <w:sz w:val="24"/>
        </w:rPr>
      </w:pPr>
      <w:bookmarkStart w:id="254" w:name="_Toc162843643"/>
      <w:bookmarkStart w:id="255" w:name="_Toc162843407"/>
      <w:r>
        <w:rPr>
          <w:rFonts w:hint="eastAsia"/>
          <w:b/>
          <w:sz w:val="24"/>
        </w:rPr>
        <w:t>8</w:t>
      </w:r>
      <w:r>
        <w:rPr>
          <w:b/>
          <w:sz w:val="24"/>
        </w:rPr>
        <w:t>.1.3施工期环境管理计划</w:t>
      </w:r>
      <w:bookmarkEnd w:id="254"/>
      <w:bookmarkEnd w:id="255"/>
    </w:p>
    <w:p>
      <w:pPr>
        <w:spacing w:line="480" w:lineRule="exact"/>
        <w:ind w:firstLine="420" w:firstLineChars="200"/>
        <w:rPr>
          <w:sz w:val="24"/>
        </w:rPr>
      </w:pPr>
      <w:r>
        <w:rPr>
          <w:szCs w:val="28"/>
        </w:rPr>
        <w:t>（</w:t>
      </w:r>
      <w:r>
        <w:rPr>
          <w:sz w:val="24"/>
        </w:rPr>
        <w:t>1）环境管理机构对施工期环境保护工作全面负责，履行施工期各阶段环境管理职责。</w:t>
      </w:r>
    </w:p>
    <w:p>
      <w:pPr>
        <w:spacing w:line="480" w:lineRule="exact"/>
        <w:ind w:firstLine="360" w:firstLineChars="150"/>
        <w:rPr>
          <w:sz w:val="24"/>
        </w:rPr>
      </w:pPr>
      <w:r>
        <w:rPr>
          <w:sz w:val="24"/>
        </w:rPr>
        <w:t>（2）对施工队伍实行职责管理，要求施工队伍按要求文明施工，并做好监督、检查和教育工作。</w:t>
      </w:r>
    </w:p>
    <w:p>
      <w:pPr>
        <w:spacing w:line="480" w:lineRule="exact"/>
        <w:ind w:firstLine="360" w:firstLineChars="150"/>
        <w:rPr>
          <w:sz w:val="24"/>
        </w:rPr>
      </w:pPr>
      <w:r>
        <w:rPr>
          <w:sz w:val="24"/>
        </w:rPr>
        <w:t>（3）按照环保主管部门的要求和本报告中有关环境保护对策措施对施工程序和场地布置实施统一安排。</w:t>
      </w:r>
    </w:p>
    <w:p>
      <w:pPr>
        <w:spacing w:line="480" w:lineRule="exact"/>
        <w:ind w:firstLine="360" w:firstLineChars="150"/>
        <w:rPr>
          <w:sz w:val="24"/>
        </w:rPr>
      </w:pPr>
      <w:r>
        <w:rPr>
          <w:sz w:val="24"/>
        </w:rPr>
        <w:t>（4）土建工程需要土石方的挖掘与运输、管道挖沟、施工建材机械等占地，对产生的扬尘应及时洒水，及时清除弃土，避免二次扬尘。</w:t>
      </w:r>
    </w:p>
    <w:p>
      <w:pPr>
        <w:spacing w:line="480" w:lineRule="exact"/>
        <w:ind w:firstLine="360" w:firstLineChars="150"/>
        <w:rPr>
          <w:sz w:val="24"/>
        </w:rPr>
      </w:pPr>
      <w:r>
        <w:rPr>
          <w:sz w:val="24"/>
        </w:rPr>
        <w:t>（5）合理布置施工场内的机械和设备，把噪声较大的机械设备布置到远离居民的地点。</w:t>
      </w:r>
    </w:p>
    <w:p>
      <w:pPr>
        <w:spacing w:line="480" w:lineRule="exact"/>
        <w:ind w:firstLine="480" w:firstLineChars="200"/>
        <w:rPr>
          <w:sz w:val="24"/>
        </w:rPr>
      </w:pPr>
      <w:r>
        <w:rPr>
          <w:sz w:val="24"/>
        </w:rPr>
        <w:t>项目施工期环境保护管理及监理的主要内容见表</w:t>
      </w:r>
      <w:r>
        <w:rPr>
          <w:rFonts w:hint="eastAsia"/>
          <w:sz w:val="24"/>
        </w:rPr>
        <w:t>8</w:t>
      </w:r>
      <w:r>
        <w:rPr>
          <w:rFonts w:hint="eastAsia"/>
          <w:sz w:val="24"/>
          <w:lang w:val="en-US" w:eastAsia="zh-CN"/>
        </w:rPr>
        <w:t>.</w:t>
      </w:r>
      <w:r>
        <w:rPr>
          <w:sz w:val="24"/>
        </w:rPr>
        <w:t>1-1。</w:t>
      </w:r>
    </w:p>
    <w:p>
      <w:pPr>
        <w:spacing w:line="480" w:lineRule="exact"/>
        <w:jc w:val="center"/>
        <w:rPr>
          <w:sz w:val="24"/>
        </w:rPr>
      </w:pPr>
      <w:r>
        <w:rPr>
          <w:b/>
          <w:sz w:val="24"/>
        </w:rPr>
        <w:t>表</w:t>
      </w:r>
      <w:r>
        <w:rPr>
          <w:rFonts w:hint="eastAsia"/>
          <w:b/>
          <w:sz w:val="24"/>
        </w:rPr>
        <w:t>8</w:t>
      </w:r>
      <w:r>
        <w:rPr>
          <w:rFonts w:hint="eastAsia"/>
          <w:b/>
          <w:sz w:val="24"/>
          <w:lang w:val="en-US" w:eastAsia="zh-CN"/>
        </w:rPr>
        <w:t>.</w:t>
      </w:r>
      <w:r>
        <w:rPr>
          <w:b/>
          <w:sz w:val="24"/>
        </w:rPr>
        <w:t>1-1 施工期环境管理及监督主要内容</w:t>
      </w:r>
    </w:p>
    <w:tbl>
      <w:tblPr>
        <w:tblStyle w:val="22"/>
        <w:tblW w:w="9908" w:type="dxa"/>
        <w:jc w:val="center"/>
        <w:tblInd w:w="-92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13"/>
        <w:gridCol w:w="3780"/>
        <w:gridCol w:w="1620"/>
        <w:gridCol w:w="239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2113" w:type="dxa"/>
            <w:tcBorders>
              <w:tl2br w:val="nil"/>
              <w:tr2bl w:val="nil"/>
            </w:tcBorders>
            <w:vAlign w:val="center"/>
          </w:tcPr>
          <w:p>
            <w:pPr>
              <w:pStyle w:val="14"/>
              <w:ind w:left="0" w:leftChars="0"/>
              <w:jc w:val="center"/>
              <w:rPr>
                <w:sz w:val="21"/>
              </w:rPr>
            </w:pPr>
            <w:r>
              <w:rPr>
                <w:sz w:val="21"/>
              </w:rPr>
              <w:t>防治对象</w:t>
            </w:r>
          </w:p>
        </w:tc>
        <w:tc>
          <w:tcPr>
            <w:tcW w:w="3780" w:type="dxa"/>
            <w:tcBorders>
              <w:tl2br w:val="nil"/>
              <w:tr2bl w:val="nil"/>
            </w:tcBorders>
            <w:vAlign w:val="center"/>
          </w:tcPr>
          <w:p>
            <w:pPr>
              <w:jc w:val="center"/>
            </w:pPr>
            <w:r>
              <w:t>防治措施</w:t>
            </w:r>
          </w:p>
        </w:tc>
        <w:tc>
          <w:tcPr>
            <w:tcW w:w="1620" w:type="dxa"/>
            <w:tcBorders>
              <w:tl2br w:val="nil"/>
              <w:tr2bl w:val="nil"/>
            </w:tcBorders>
            <w:vAlign w:val="center"/>
          </w:tcPr>
          <w:p>
            <w:pPr>
              <w:jc w:val="center"/>
            </w:pPr>
            <w:r>
              <w:t>环境管理</w:t>
            </w:r>
          </w:p>
        </w:tc>
        <w:tc>
          <w:tcPr>
            <w:tcW w:w="2395" w:type="dxa"/>
            <w:tcBorders>
              <w:tl2br w:val="nil"/>
              <w:tr2bl w:val="nil"/>
            </w:tcBorders>
            <w:vAlign w:val="center"/>
          </w:tcPr>
          <w:p>
            <w:pPr>
              <w:jc w:val="center"/>
            </w:pPr>
            <w:r>
              <w:t>环境监理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2113" w:type="dxa"/>
            <w:vMerge w:val="restart"/>
            <w:tcBorders>
              <w:tl2br w:val="nil"/>
              <w:tr2bl w:val="nil"/>
            </w:tcBorders>
            <w:vAlign w:val="center"/>
          </w:tcPr>
          <w:p>
            <w:pPr>
              <w:jc w:val="center"/>
            </w:pPr>
            <w:r>
              <w:t>施工扬尘</w:t>
            </w:r>
          </w:p>
        </w:tc>
        <w:tc>
          <w:tcPr>
            <w:tcW w:w="3780" w:type="dxa"/>
            <w:tcBorders>
              <w:tl2br w:val="nil"/>
              <w:tr2bl w:val="nil"/>
            </w:tcBorders>
            <w:vAlign w:val="center"/>
          </w:tcPr>
          <w:p>
            <w:pPr>
              <w:jc w:val="center"/>
            </w:pPr>
            <w:r>
              <w:t>施工场地硬化，使用商品混凝土；</w:t>
            </w:r>
          </w:p>
        </w:tc>
        <w:tc>
          <w:tcPr>
            <w:tcW w:w="1620" w:type="dxa"/>
            <w:vMerge w:val="restart"/>
            <w:tcBorders>
              <w:tl2br w:val="nil"/>
              <w:tr2bl w:val="nil"/>
            </w:tcBorders>
            <w:vAlign w:val="center"/>
          </w:tcPr>
          <w:p>
            <w:pPr>
              <w:jc w:val="center"/>
            </w:pPr>
            <w:r>
              <w:t>施工单位环保措施上墙，落实到人，做好施工场地环境管理和保洁工作。</w:t>
            </w:r>
          </w:p>
        </w:tc>
        <w:tc>
          <w:tcPr>
            <w:tcW w:w="2395" w:type="dxa"/>
            <w:vMerge w:val="restart"/>
            <w:tcBorders>
              <w:tl2br w:val="nil"/>
              <w:tr2bl w:val="nil"/>
            </w:tcBorders>
            <w:vAlign w:val="center"/>
          </w:tcPr>
          <w:p>
            <w:pPr>
              <w:jc w:val="center"/>
            </w:pPr>
            <w:r>
              <w:t>行政管理部门及环境管理部门进行定期检查，如有违规，应进行处罚并整改。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2113" w:type="dxa"/>
            <w:vMerge w:val="continue"/>
            <w:tcBorders>
              <w:tl2br w:val="nil"/>
              <w:tr2bl w:val="nil"/>
            </w:tcBorders>
            <w:vAlign w:val="center"/>
          </w:tcPr>
          <w:p>
            <w:pPr>
              <w:jc w:val="center"/>
            </w:pPr>
          </w:p>
        </w:tc>
        <w:tc>
          <w:tcPr>
            <w:tcW w:w="3780" w:type="dxa"/>
            <w:tcBorders>
              <w:tl2br w:val="nil"/>
              <w:tr2bl w:val="nil"/>
            </w:tcBorders>
            <w:vAlign w:val="center"/>
          </w:tcPr>
          <w:p>
            <w:pPr>
              <w:jc w:val="center"/>
            </w:pPr>
            <w:r>
              <w:t>建筑垃圾及多余弃土及时清运；</w:t>
            </w:r>
          </w:p>
        </w:tc>
        <w:tc>
          <w:tcPr>
            <w:tcW w:w="1620" w:type="dxa"/>
            <w:vMerge w:val="continue"/>
            <w:tcBorders>
              <w:tl2br w:val="nil"/>
              <w:tr2bl w:val="nil"/>
            </w:tcBorders>
            <w:vAlign w:val="center"/>
          </w:tcPr>
          <w:p>
            <w:pPr>
              <w:jc w:val="center"/>
            </w:pPr>
          </w:p>
        </w:tc>
        <w:tc>
          <w:tcPr>
            <w:tcW w:w="2395" w:type="dxa"/>
            <w:vMerge w:val="continue"/>
            <w:tcBorders>
              <w:tl2br w:val="nil"/>
              <w:tr2bl w:val="nil"/>
            </w:tcBorders>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2113" w:type="dxa"/>
            <w:vMerge w:val="continue"/>
            <w:tcBorders>
              <w:tl2br w:val="nil"/>
              <w:tr2bl w:val="nil"/>
            </w:tcBorders>
            <w:vAlign w:val="center"/>
          </w:tcPr>
          <w:p>
            <w:pPr>
              <w:jc w:val="center"/>
            </w:pPr>
          </w:p>
        </w:tc>
        <w:tc>
          <w:tcPr>
            <w:tcW w:w="3780" w:type="dxa"/>
            <w:tcBorders>
              <w:tl2br w:val="nil"/>
              <w:tr2bl w:val="nil"/>
            </w:tcBorders>
            <w:vAlign w:val="center"/>
          </w:tcPr>
          <w:p>
            <w:pPr>
              <w:jc w:val="center"/>
            </w:pPr>
            <w:r>
              <w:t>施工场地车辆出入口设置车辆冲洗及沉淀设施；</w:t>
            </w:r>
          </w:p>
        </w:tc>
        <w:tc>
          <w:tcPr>
            <w:tcW w:w="1620" w:type="dxa"/>
            <w:vMerge w:val="continue"/>
            <w:tcBorders>
              <w:tl2br w:val="nil"/>
              <w:tr2bl w:val="nil"/>
            </w:tcBorders>
            <w:vAlign w:val="center"/>
          </w:tcPr>
          <w:p>
            <w:pPr>
              <w:jc w:val="center"/>
            </w:pPr>
          </w:p>
        </w:tc>
        <w:tc>
          <w:tcPr>
            <w:tcW w:w="2395" w:type="dxa"/>
            <w:vMerge w:val="continue"/>
            <w:tcBorders>
              <w:tl2br w:val="nil"/>
              <w:tr2bl w:val="nil"/>
            </w:tcBorders>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2113" w:type="dxa"/>
            <w:vMerge w:val="continue"/>
            <w:tcBorders>
              <w:tl2br w:val="nil"/>
              <w:tr2bl w:val="nil"/>
            </w:tcBorders>
            <w:vAlign w:val="center"/>
          </w:tcPr>
          <w:p>
            <w:pPr>
              <w:jc w:val="center"/>
            </w:pPr>
          </w:p>
        </w:tc>
        <w:tc>
          <w:tcPr>
            <w:tcW w:w="3780" w:type="dxa"/>
            <w:tcBorders>
              <w:tl2br w:val="nil"/>
              <w:tr2bl w:val="nil"/>
            </w:tcBorders>
            <w:vAlign w:val="center"/>
          </w:tcPr>
          <w:p>
            <w:pPr>
              <w:jc w:val="center"/>
            </w:pPr>
            <w:r>
              <w:t>对工地及进出口定期洒水抑尘、清扫，保持工地整齐干净；</w:t>
            </w:r>
          </w:p>
        </w:tc>
        <w:tc>
          <w:tcPr>
            <w:tcW w:w="1620" w:type="dxa"/>
            <w:vMerge w:val="continue"/>
            <w:tcBorders>
              <w:tl2br w:val="nil"/>
              <w:tr2bl w:val="nil"/>
            </w:tcBorders>
            <w:vAlign w:val="center"/>
          </w:tcPr>
          <w:p>
            <w:pPr>
              <w:jc w:val="center"/>
            </w:pPr>
          </w:p>
        </w:tc>
        <w:tc>
          <w:tcPr>
            <w:tcW w:w="2395" w:type="dxa"/>
            <w:vMerge w:val="continue"/>
            <w:tcBorders>
              <w:tl2br w:val="nil"/>
              <w:tr2bl w:val="nil"/>
            </w:tcBorders>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2113" w:type="dxa"/>
            <w:vMerge w:val="continue"/>
            <w:tcBorders>
              <w:tl2br w:val="nil"/>
              <w:tr2bl w:val="nil"/>
            </w:tcBorders>
            <w:vAlign w:val="center"/>
          </w:tcPr>
          <w:p>
            <w:pPr>
              <w:jc w:val="center"/>
            </w:pPr>
          </w:p>
        </w:tc>
        <w:tc>
          <w:tcPr>
            <w:tcW w:w="3780" w:type="dxa"/>
            <w:tcBorders>
              <w:tl2br w:val="nil"/>
              <w:tr2bl w:val="nil"/>
            </w:tcBorders>
            <w:vAlign w:val="center"/>
          </w:tcPr>
          <w:p>
            <w:pPr>
              <w:jc w:val="center"/>
            </w:pPr>
            <w:r>
              <w:t>禁止焚烧熔化沥青；</w:t>
            </w:r>
          </w:p>
        </w:tc>
        <w:tc>
          <w:tcPr>
            <w:tcW w:w="1620" w:type="dxa"/>
            <w:vMerge w:val="continue"/>
            <w:tcBorders>
              <w:tl2br w:val="nil"/>
              <w:tr2bl w:val="nil"/>
            </w:tcBorders>
            <w:vAlign w:val="center"/>
          </w:tcPr>
          <w:p>
            <w:pPr>
              <w:jc w:val="center"/>
            </w:pPr>
          </w:p>
        </w:tc>
        <w:tc>
          <w:tcPr>
            <w:tcW w:w="2395" w:type="dxa"/>
            <w:vMerge w:val="continue"/>
            <w:tcBorders>
              <w:tl2br w:val="nil"/>
              <w:tr2bl w:val="nil"/>
            </w:tcBorders>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2113" w:type="dxa"/>
            <w:vMerge w:val="continue"/>
            <w:tcBorders>
              <w:tl2br w:val="nil"/>
              <w:tr2bl w:val="nil"/>
            </w:tcBorders>
            <w:vAlign w:val="center"/>
          </w:tcPr>
          <w:p>
            <w:pPr>
              <w:jc w:val="center"/>
            </w:pPr>
          </w:p>
        </w:tc>
        <w:tc>
          <w:tcPr>
            <w:tcW w:w="3780" w:type="dxa"/>
            <w:tcBorders>
              <w:tl2br w:val="nil"/>
              <w:tr2bl w:val="nil"/>
            </w:tcBorders>
            <w:vAlign w:val="center"/>
          </w:tcPr>
          <w:p>
            <w:pPr>
              <w:jc w:val="center"/>
            </w:pPr>
            <w:r>
              <w:t>对回填土方进行压实或喷覆盖剂处理；</w:t>
            </w:r>
          </w:p>
        </w:tc>
        <w:tc>
          <w:tcPr>
            <w:tcW w:w="1620" w:type="dxa"/>
            <w:vMerge w:val="continue"/>
            <w:tcBorders>
              <w:tl2br w:val="nil"/>
              <w:tr2bl w:val="nil"/>
            </w:tcBorders>
            <w:vAlign w:val="center"/>
          </w:tcPr>
          <w:p>
            <w:pPr>
              <w:jc w:val="center"/>
            </w:pPr>
          </w:p>
        </w:tc>
        <w:tc>
          <w:tcPr>
            <w:tcW w:w="2395" w:type="dxa"/>
            <w:vMerge w:val="continue"/>
            <w:tcBorders>
              <w:tl2br w:val="nil"/>
              <w:tr2bl w:val="nil"/>
            </w:tcBorders>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2113" w:type="dxa"/>
            <w:vMerge w:val="continue"/>
            <w:tcBorders>
              <w:tl2br w:val="nil"/>
              <w:tr2bl w:val="nil"/>
            </w:tcBorders>
            <w:vAlign w:val="center"/>
          </w:tcPr>
          <w:p>
            <w:pPr>
              <w:jc w:val="center"/>
            </w:pPr>
          </w:p>
        </w:tc>
        <w:tc>
          <w:tcPr>
            <w:tcW w:w="3780" w:type="dxa"/>
            <w:tcBorders>
              <w:tl2br w:val="nil"/>
              <w:tr2bl w:val="nil"/>
            </w:tcBorders>
            <w:vAlign w:val="center"/>
          </w:tcPr>
          <w:p>
            <w:pPr>
              <w:jc w:val="center"/>
            </w:pPr>
            <w:r>
              <w:t>建筑工地按有关规定进行围挡。</w:t>
            </w:r>
          </w:p>
        </w:tc>
        <w:tc>
          <w:tcPr>
            <w:tcW w:w="1620" w:type="dxa"/>
            <w:vMerge w:val="continue"/>
            <w:tcBorders>
              <w:tl2br w:val="nil"/>
              <w:tr2bl w:val="nil"/>
            </w:tcBorders>
            <w:vAlign w:val="center"/>
          </w:tcPr>
          <w:p>
            <w:pPr>
              <w:jc w:val="center"/>
            </w:pPr>
          </w:p>
        </w:tc>
        <w:tc>
          <w:tcPr>
            <w:tcW w:w="2395" w:type="dxa"/>
            <w:vMerge w:val="continue"/>
            <w:tcBorders>
              <w:tl2br w:val="nil"/>
              <w:tr2bl w:val="nil"/>
            </w:tcBorders>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2113" w:type="dxa"/>
            <w:vMerge w:val="restart"/>
            <w:tcBorders>
              <w:tl2br w:val="nil"/>
              <w:tr2bl w:val="nil"/>
            </w:tcBorders>
            <w:vAlign w:val="center"/>
          </w:tcPr>
          <w:p>
            <w:pPr>
              <w:jc w:val="center"/>
            </w:pPr>
            <w:r>
              <w:t>施工噪声</w:t>
            </w:r>
          </w:p>
        </w:tc>
        <w:tc>
          <w:tcPr>
            <w:tcW w:w="3780" w:type="dxa"/>
            <w:tcBorders>
              <w:tl2br w:val="nil"/>
              <w:tr2bl w:val="nil"/>
            </w:tcBorders>
            <w:vAlign w:val="center"/>
          </w:tcPr>
          <w:p>
            <w:pPr>
              <w:jc w:val="center"/>
            </w:pPr>
            <w:r>
              <w:t>将投标方的低噪声施工设备和技术作为中标内容；</w:t>
            </w:r>
          </w:p>
        </w:tc>
        <w:tc>
          <w:tcPr>
            <w:tcW w:w="1620" w:type="dxa"/>
            <w:vMerge w:val="continue"/>
            <w:tcBorders>
              <w:tl2br w:val="nil"/>
              <w:tr2bl w:val="nil"/>
            </w:tcBorders>
            <w:vAlign w:val="center"/>
          </w:tcPr>
          <w:p>
            <w:pPr>
              <w:jc w:val="center"/>
            </w:pPr>
          </w:p>
        </w:tc>
        <w:tc>
          <w:tcPr>
            <w:tcW w:w="2395" w:type="dxa"/>
            <w:vMerge w:val="restart"/>
            <w:tcBorders>
              <w:tl2br w:val="nil"/>
              <w:tr2bl w:val="nil"/>
            </w:tcBorders>
            <w:vAlign w:val="center"/>
          </w:tcPr>
          <w:p>
            <w:pPr>
              <w:jc w:val="center"/>
            </w:pPr>
            <w:r>
              <w:t>环保监理部门对夜间施工噪声进行监督检查，违反《环境噪声污染防治条例》，应进行处罚并整改。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2113" w:type="dxa"/>
            <w:vMerge w:val="continue"/>
            <w:tcBorders>
              <w:tl2br w:val="nil"/>
              <w:tr2bl w:val="nil"/>
            </w:tcBorders>
            <w:vAlign w:val="center"/>
          </w:tcPr>
          <w:p>
            <w:pPr>
              <w:jc w:val="center"/>
            </w:pPr>
          </w:p>
        </w:tc>
        <w:tc>
          <w:tcPr>
            <w:tcW w:w="3780" w:type="dxa"/>
            <w:tcBorders>
              <w:tl2br w:val="nil"/>
              <w:tr2bl w:val="nil"/>
            </w:tcBorders>
            <w:vAlign w:val="center"/>
          </w:tcPr>
          <w:p>
            <w:r>
              <w:t>施工单位开工15日前，携带施工资料等到当地环保部门申报《建设施工环保审批表》，经批准后方可施工；</w:t>
            </w:r>
          </w:p>
        </w:tc>
        <w:tc>
          <w:tcPr>
            <w:tcW w:w="1620" w:type="dxa"/>
            <w:vMerge w:val="continue"/>
            <w:tcBorders>
              <w:tl2br w:val="nil"/>
              <w:tr2bl w:val="nil"/>
            </w:tcBorders>
            <w:vAlign w:val="center"/>
          </w:tcPr>
          <w:p>
            <w:pPr>
              <w:jc w:val="center"/>
            </w:pPr>
          </w:p>
        </w:tc>
        <w:tc>
          <w:tcPr>
            <w:tcW w:w="2395" w:type="dxa"/>
            <w:vMerge w:val="continue"/>
            <w:tcBorders>
              <w:tl2br w:val="nil"/>
              <w:tr2bl w:val="nil"/>
            </w:tcBorders>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2113" w:type="dxa"/>
            <w:vMerge w:val="continue"/>
            <w:tcBorders>
              <w:tl2br w:val="nil"/>
              <w:tr2bl w:val="nil"/>
            </w:tcBorders>
            <w:vAlign w:val="center"/>
          </w:tcPr>
          <w:p>
            <w:pPr>
              <w:jc w:val="center"/>
            </w:pPr>
          </w:p>
        </w:tc>
        <w:tc>
          <w:tcPr>
            <w:tcW w:w="3780" w:type="dxa"/>
            <w:tcBorders>
              <w:tl2br w:val="nil"/>
              <w:tr2bl w:val="nil"/>
            </w:tcBorders>
            <w:vAlign w:val="center"/>
          </w:tcPr>
          <w:p>
            <w:r>
              <w:t>禁止在22：00~6：00进行产生噪声污染的施工作业；</w:t>
            </w:r>
          </w:p>
        </w:tc>
        <w:tc>
          <w:tcPr>
            <w:tcW w:w="1620" w:type="dxa"/>
            <w:vMerge w:val="continue"/>
            <w:tcBorders>
              <w:tl2br w:val="nil"/>
              <w:tr2bl w:val="nil"/>
            </w:tcBorders>
            <w:vAlign w:val="center"/>
          </w:tcPr>
          <w:p>
            <w:pPr>
              <w:jc w:val="center"/>
            </w:pPr>
          </w:p>
        </w:tc>
        <w:tc>
          <w:tcPr>
            <w:tcW w:w="2395" w:type="dxa"/>
            <w:vMerge w:val="continue"/>
            <w:tcBorders>
              <w:tl2br w:val="nil"/>
              <w:tr2bl w:val="nil"/>
            </w:tcBorders>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2113" w:type="dxa"/>
            <w:vMerge w:val="continue"/>
            <w:tcBorders>
              <w:tl2br w:val="nil"/>
              <w:tr2bl w:val="nil"/>
            </w:tcBorders>
            <w:vAlign w:val="center"/>
          </w:tcPr>
          <w:p>
            <w:pPr>
              <w:jc w:val="center"/>
            </w:pPr>
          </w:p>
        </w:tc>
        <w:tc>
          <w:tcPr>
            <w:tcW w:w="3780" w:type="dxa"/>
            <w:tcBorders>
              <w:tl2br w:val="nil"/>
              <w:tr2bl w:val="nil"/>
            </w:tcBorders>
            <w:vAlign w:val="center"/>
          </w:tcPr>
          <w:p>
            <w:r>
              <w:t>因施工浇筑需要连续作业的施工前3天内，由施工单位报环保部门审批。</w:t>
            </w:r>
          </w:p>
        </w:tc>
        <w:tc>
          <w:tcPr>
            <w:tcW w:w="1620" w:type="dxa"/>
            <w:vMerge w:val="continue"/>
            <w:tcBorders>
              <w:tl2br w:val="nil"/>
              <w:tr2bl w:val="nil"/>
            </w:tcBorders>
            <w:vAlign w:val="center"/>
          </w:tcPr>
          <w:p>
            <w:pPr>
              <w:jc w:val="center"/>
            </w:pPr>
          </w:p>
        </w:tc>
        <w:tc>
          <w:tcPr>
            <w:tcW w:w="2395" w:type="dxa"/>
            <w:vMerge w:val="continue"/>
            <w:tcBorders>
              <w:tl2br w:val="nil"/>
              <w:tr2bl w:val="nil"/>
            </w:tcBorders>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2113" w:type="dxa"/>
            <w:vMerge w:val="continue"/>
            <w:tcBorders>
              <w:tl2br w:val="nil"/>
              <w:tr2bl w:val="nil"/>
            </w:tcBorders>
            <w:vAlign w:val="center"/>
          </w:tcPr>
          <w:p>
            <w:pPr>
              <w:jc w:val="center"/>
            </w:pPr>
          </w:p>
        </w:tc>
        <w:tc>
          <w:tcPr>
            <w:tcW w:w="3780" w:type="dxa"/>
            <w:tcBorders>
              <w:tl2br w:val="nil"/>
              <w:tr2bl w:val="nil"/>
            </w:tcBorders>
            <w:vAlign w:val="center"/>
          </w:tcPr>
          <w:p>
            <w:r>
              <w:t>靠近柒建社区施工时设置隔声墙</w:t>
            </w:r>
          </w:p>
        </w:tc>
        <w:tc>
          <w:tcPr>
            <w:tcW w:w="1620" w:type="dxa"/>
            <w:vMerge w:val="continue"/>
            <w:tcBorders>
              <w:tl2br w:val="nil"/>
              <w:tr2bl w:val="nil"/>
            </w:tcBorders>
            <w:vAlign w:val="center"/>
          </w:tcPr>
          <w:p>
            <w:pPr>
              <w:jc w:val="center"/>
            </w:pPr>
          </w:p>
        </w:tc>
        <w:tc>
          <w:tcPr>
            <w:tcW w:w="2395" w:type="dxa"/>
            <w:vMerge w:val="continue"/>
            <w:tcBorders>
              <w:tl2br w:val="nil"/>
              <w:tr2bl w:val="nil"/>
            </w:tcBorders>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2113" w:type="dxa"/>
            <w:vMerge w:val="restart"/>
            <w:tcBorders>
              <w:tl2br w:val="nil"/>
              <w:tr2bl w:val="nil"/>
            </w:tcBorders>
            <w:vAlign w:val="center"/>
          </w:tcPr>
          <w:p>
            <w:pPr>
              <w:jc w:val="center"/>
            </w:pPr>
            <w:r>
              <w:t>施工废水</w:t>
            </w:r>
          </w:p>
        </w:tc>
        <w:tc>
          <w:tcPr>
            <w:tcW w:w="3780" w:type="dxa"/>
            <w:tcBorders>
              <w:tl2br w:val="nil"/>
              <w:tr2bl w:val="nil"/>
            </w:tcBorders>
            <w:vAlign w:val="center"/>
          </w:tcPr>
          <w:p>
            <w:r>
              <w:t>施工人员生活污水应排入临时化粪池；</w:t>
            </w:r>
          </w:p>
        </w:tc>
        <w:tc>
          <w:tcPr>
            <w:tcW w:w="1620" w:type="dxa"/>
            <w:vMerge w:val="continue"/>
            <w:tcBorders>
              <w:tl2br w:val="nil"/>
              <w:tr2bl w:val="nil"/>
            </w:tcBorders>
            <w:vAlign w:val="center"/>
          </w:tcPr>
          <w:p>
            <w:pPr>
              <w:jc w:val="center"/>
            </w:pPr>
          </w:p>
        </w:tc>
        <w:tc>
          <w:tcPr>
            <w:tcW w:w="2395" w:type="dxa"/>
            <w:vMerge w:val="restart"/>
            <w:tcBorders>
              <w:tl2br w:val="nil"/>
              <w:tr2bl w:val="nil"/>
            </w:tcBorders>
            <w:vAlign w:val="center"/>
          </w:tcPr>
          <w:p>
            <w:pPr>
              <w:jc w:val="center"/>
            </w:pPr>
            <w:r>
              <w:t>行政管理部门及环境管理部门进行定期检查，如有违规，应进行处罚并整改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2113" w:type="dxa"/>
            <w:vMerge w:val="continue"/>
            <w:tcBorders>
              <w:tl2br w:val="nil"/>
              <w:tr2bl w:val="nil"/>
            </w:tcBorders>
            <w:vAlign w:val="center"/>
          </w:tcPr>
          <w:p>
            <w:pPr>
              <w:jc w:val="center"/>
            </w:pPr>
          </w:p>
        </w:tc>
        <w:tc>
          <w:tcPr>
            <w:tcW w:w="3780" w:type="dxa"/>
            <w:tcBorders>
              <w:tl2br w:val="nil"/>
              <w:tr2bl w:val="nil"/>
            </w:tcBorders>
            <w:vAlign w:val="center"/>
          </w:tcPr>
          <w:p>
            <w:r>
              <w:t>避免在雨季进行基础开挖施工。</w:t>
            </w:r>
          </w:p>
        </w:tc>
        <w:tc>
          <w:tcPr>
            <w:tcW w:w="1620" w:type="dxa"/>
            <w:vMerge w:val="continue"/>
            <w:tcBorders>
              <w:tl2br w:val="nil"/>
              <w:tr2bl w:val="nil"/>
            </w:tcBorders>
            <w:vAlign w:val="center"/>
          </w:tcPr>
          <w:p>
            <w:pPr>
              <w:jc w:val="center"/>
            </w:pPr>
          </w:p>
        </w:tc>
        <w:tc>
          <w:tcPr>
            <w:tcW w:w="2395" w:type="dxa"/>
            <w:vMerge w:val="continue"/>
            <w:tcBorders>
              <w:tl2br w:val="nil"/>
              <w:tr2bl w:val="nil"/>
            </w:tcBorders>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113" w:type="dxa"/>
            <w:tcBorders>
              <w:tl2br w:val="nil"/>
              <w:tr2bl w:val="nil"/>
            </w:tcBorders>
            <w:vAlign w:val="center"/>
          </w:tcPr>
          <w:p>
            <w:pPr>
              <w:jc w:val="center"/>
            </w:pPr>
            <w:r>
              <w:t>建筑及生活垃圾</w:t>
            </w:r>
          </w:p>
        </w:tc>
        <w:tc>
          <w:tcPr>
            <w:tcW w:w="3780" w:type="dxa"/>
            <w:tcBorders>
              <w:tl2br w:val="nil"/>
              <w:tr2bl w:val="nil"/>
            </w:tcBorders>
            <w:vAlign w:val="center"/>
          </w:tcPr>
          <w:p>
            <w:r>
              <w:t>建筑垃圾及多余弃土及时清运，不能长期堆存，作到日产日清，车辆用毡布遮盖，防止沿途散落。</w:t>
            </w:r>
          </w:p>
        </w:tc>
        <w:tc>
          <w:tcPr>
            <w:tcW w:w="1620" w:type="dxa"/>
            <w:tcBorders>
              <w:tl2br w:val="nil"/>
              <w:tr2bl w:val="nil"/>
            </w:tcBorders>
            <w:vAlign w:val="center"/>
          </w:tcPr>
          <w:p>
            <w:r>
              <w:t>渣土清运至指定地点填埋。</w:t>
            </w:r>
          </w:p>
        </w:tc>
        <w:tc>
          <w:tcPr>
            <w:tcW w:w="2395" w:type="dxa"/>
            <w:vMerge w:val="continue"/>
            <w:tcBorders>
              <w:tl2br w:val="nil"/>
              <w:tr2bl w:val="nil"/>
            </w:tcBorders>
            <w:vAlign w:val="center"/>
          </w:tcPr>
          <w:p>
            <w:pPr>
              <w:jc w:val="center"/>
            </w:pPr>
          </w:p>
        </w:tc>
      </w:tr>
    </w:tbl>
    <w:p>
      <w:pPr>
        <w:spacing w:line="480" w:lineRule="exact"/>
        <w:ind w:firstLine="482" w:firstLineChars="200"/>
        <w:rPr>
          <w:b/>
          <w:sz w:val="24"/>
        </w:rPr>
      </w:pPr>
      <w:bookmarkStart w:id="256" w:name="_Toc162843408"/>
      <w:bookmarkStart w:id="257" w:name="_Toc162843644"/>
      <w:r>
        <w:rPr>
          <w:rFonts w:hint="eastAsia"/>
          <w:b/>
          <w:sz w:val="24"/>
        </w:rPr>
        <w:t>8</w:t>
      </w:r>
      <w:r>
        <w:rPr>
          <w:b/>
          <w:sz w:val="24"/>
        </w:rPr>
        <w:t>.1.4运营期环境管理计划</w:t>
      </w:r>
      <w:bookmarkEnd w:id="256"/>
      <w:bookmarkEnd w:id="257"/>
    </w:p>
    <w:p>
      <w:pPr>
        <w:ind w:firstLine="420" w:firstLineChars="150"/>
        <w:rPr>
          <w:sz w:val="24"/>
        </w:rPr>
      </w:pPr>
      <w:r>
        <w:rPr>
          <w:sz w:val="28"/>
          <w:szCs w:val="28"/>
        </w:rPr>
        <w:t>（</w:t>
      </w:r>
      <w:r>
        <w:rPr>
          <w:sz w:val="24"/>
        </w:rPr>
        <w:t>1）根据国家环保政策、标准及环境监测要求，制定该项目运营期环境管理规章制度、各种污染物排放指标。</w:t>
      </w:r>
    </w:p>
    <w:p>
      <w:pPr>
        <w:ind w:firstLine="480" w:firstLineChars="200"/>
        <w:rPr>
          <w:sz w:val="24"/>
        </w:rPr>
      </w:pPr>
      <w:r>
        <w:rPr>
          <w:sz w:val="24"/>
        </w:rPr>
        <w:t>（2）对</w:t>
      </w:r>
      <w:r>
        <w:rPr>
          <w:rFonts w:hint="eastAsia"/>
          <w:sz w:val="24"/>
        </w:rPr>
        <w:t>厂区</w:t>
      </w:r>
      <w:r>
        <w:rPr>
          <w:sz w:val="24"/>
        </w:rPr>
        <w:t>内的公建设施给水管网、通风设施进行定期维护，确保公建设施的正常运行及管网畅通。</w:t>
      </w:r>
    </w:p>
    <w:p>
      <w:pPr>
        <w:ind w:firstLine="480" w:firstLineChars="200"/>
        <w:rPr>
          <w:sz w:val="24"/>
        </w:rPr>
      </w:pPr>
      <w:r>
        <w:rPr>
          <w:sz w:val="24"/>
        </w:rPr>
        <w:t>（3）新建1座</w:t>
      </w:r>
      <w:r>
        <w:rPr>
          <w:rFonts w:hint="eastAsia"/>
          <w:sz w:val="24"/>
        </w:rPr>
        <w:t>2</w:t>
      </w:r>
      <w:r>
        <w:rPr>
          <w:sz w:val="24"/>
        </w:rPr>
        <w:t>0m</w:t>
      </w:r>
      <w:r>
        <w:rPr>
          <w:sz w:val="24"/>
          <w:vertAlign w:val="superscript"/>
        </w:rPr>
        <w:t>3</w:t>
      </w:r>
      <w:r>
        <w:rPr>
          <w:sz w:val="24"/>
        </w:rPr>
        <w:t>/d污水处理站处理，确保处理系统的正常运行。</w:t>
      </w:r>
    </w:p>
    <w:p>
      <w:pPr>
        <w:ind w:firstLine="480" w:firstLineChars="200"/>
        <w:rPr>
          <w:sz w:val="24"/>
        </w:rPr>
      </w:pPr>
      <w:r>
        <w:rPr>
          <w:sz w:val="24"/>
        </w:rPr>
        <w:t>（4）生活垃圾和</w:t>
      </w:r>
      <w:r>
        <w:rPr>
          <w:rFonts w:hint="eastAsia"/>
          <w:sz w:val="24"/>
        </w:rPr>
        <w:t>固体废物</w:t>
      </w:r>
      <w:r>
        <w:rPr>
          <w:sz w:val="24"/>
        </w:rPr>
        <w:t>的收集管理应由专人负责，分类收集，对分散布置的垃圾桶应定期清洗和消毒；外运时，应采用封闭自卸专用车，运到指定地点处置。</w:t>
      </w:r>
    </w:p>
    <w:p>
      <w:pPr>
        <w:ind w:firstLine="480" w:firstLineChars="200"/>
        <w:rPr>
          <w:sz w:val="24"/>
        </w:rPr>
      </w:pPr>
      <w:r>
        <w:rPr>
          <w:sz w:val="24"/>
        </w:rPr>
        <w:t>（5）应制定严格的</w:t>
      </w:r>
      <w:r>
        <w:rPr>
          <w:rFonts w:hint="eastAsia"/>
          <w:sz w:val="24"/>
        </w:rPr>
        <w:t>固体废物</w:t>
      </w:r>
      <w:r>
        <w:rPr>
          <w:sz w:val="24"/>
        </w:rPr>
        <w:t>收集、毁形监管制度，并设置专门人员进行管理监督。</w:t>
      </w:r>
    </w:p>
    <w:p>
      <w:pPr>
        <w:pStyle w:val="5"/>
        <w:spacing w:line="480" w:lineRule="exact"/>
        <w:rPr>
          <w:bCs w:val="0"/>
          <w:sz w:val="28"/>
          <w:szCs w:val="28"/>
        </w:rPr>
      </w:pPr>
      <w:bookmarkStart w:id="258" w:name="_Toc162843180"/>
      <w:bookmarkStart w:id="259" w:name="_Toc162843645"/>
      <w:bookmarkStart w:id="260" w:name="_Toc232386562"/>
      <w:bookmarkStart w:id="261" w:name="_Toc324866661"/>
      <w:bookmarkStart w:id="262" w:name="_Toc158783633"/>
      <w:bookmarkStart w:id="263" w:name="_Toc19348"/>
      <w:bookmarkStart w:id="264" w:name="_Toc300426866"/>
      <w:bookmarkStart w:id="265" w:name="_Toc162843409"/>
      <w:bookmarkStart w:id="266" w:name="_Toc20034_WPSOffice_Level2"/>
      <w:r>
        <w:rPr>
          <w:rFonts w:hint="eastAsia"/>
          <w:bCs w:val="0"/>
          <w:sz w:val="28"/>
          <w:szCs w:val="28"/>
        </w:rPr>
        <w:t>8</w:t>
      </w:r>
      <w:r>
        <w:rPr>
          <w:bCs w:val="0"/>
          <w:sz w:val="28"/>
          <w:szCs w:val="28"/>
        </w:rPr>
        <w:t>.2环境监测计划</w:t>
      </w:r>
      <w:bookmarkEnd w:id="241"/>
      <w:bookmarkEnd w:id="258"/>
      <w:bookmarkEnd w:id="259"/>
      <w:bookmarkEnd w:id="260"/>
      <w:bookmarkEnd w:id="261"/>
      <w:bookmarkEnd w:id="262"/>
      <w:bookmarkEnd w:id="263"/>
      <w:bookmarkEnd w:id="264"/>
      <w:bookmarkEnd w:id="265"/>
      <w:bookmarkEnd w:id="266"/>
    </w:p>
    <w:p>
      <w:pPr>
        <w:spacing w:line="480" w:lineRule="exact"/>
        <w:ind w:firstLine="480" w:firstLineChars="200"/>
        <w:rPr>
          <w:sz w:val="24"/>
        </w:rPr>
      </w:pPr>
      <w:r>
        <w:rPr>
          <w:sz w:val="24"/>
        </w:rPr>
        <w:t>建设项目运营期环境监控主要目的是为了项目建成后的环境监测，防止污染事故发生，为环境管理提供依据。主要包括</w:t>
      </w:r>
      <w:r>
        <w:rPr>
          <w:rFonts w:hint="eastAsia"/>
          <w:sz w:val="24"/>
          <w:lang w:eastAsia="zh-CN"/>
        </w:rPr>
        <w:t>废水</w:t>
      </w:r>
      <w:r>
        <w:rPr>
          <w:sz w:val="24"/>
        </w:rPr>
        <w:t>、大气、噪声、固废监测。</w:t>
      </w:r>
    </w:p>
    <w:p>
      <w:pPr>
        <w:spacing w:line="480" w:lineRule="exact"/>
        <w:ind w:firstLine="482" w:firstLineChars="200"/>
        <w:rPr>
          <w:b/>
          <w:sz w:val="24"/>
        </w:rPr>
      </w:pPr>
      <w:bookmarkStart w:id="267" w:name="_Toc162843410"/>
      <w:bookmarkStart w:id="268" w:name="_Toc162843646"/>
      <w:r>
        <w:rPr>
          <w:rFonts w:hint="eastAsia"/>
          <w:b/>
          <w:sz w:val="24"/>
        </w:rPr>
        <w:t>8</w:t>
      </w:r>
      <w:r>
        <w:rPr>
          <w:b/>
          <w:sz w:val="24"/>
        </w:rPr>
        <w:t>.2.1主要监测内容</w:t>
      </w:r>
      <w:bookmarkEnd w:id="267"/>
      <w:bookmarkEnd w:id="268"/>
    </w:p>
    <w:p>
      <w:pPr>
        <w:spacing w:line="480" w:lineRule="exact"/>
        <w:ind w:firstLine="480" w:firstLineChars="200"/>
        <w:rPr>
          <w:sz w:val="24"/>
        </w:rPr>
      </w:pPr>
      <w:r>
        <w:rPr>
          <w:sz w:val="24"/>
        </w:rPr>
        <w:t>（1）</w:t>
      </w:r>
      <w:r>
        <w:rPr>
          <w:rFonts w:hint="eastAsia"/>
          <w:sz w:val="24"/>
        </w:rPr>
        <w:t>厂区废水</w:t>
      </w:r>
      <w:r>
        <w:rPr>
          <w:rFonts w:hint="eastAsia"/>
          <w:sz w:val="24"/>
          <w:lang w:eastAsia="zh-CN"/>
        </w:rPr>
        <w:t>监测</w:t>
      </w:r>
      <w:r>
        <w:rPr>
          <w:sz w:val="24"/>
        </w:rPr>
        <w:t>，监测项目为pH、COD、BOD</w:t>
      </w:r>
      <w:r>
        <w:rPr>
          <w:sz w:val="24"/>
          <w:vertAlign w:val="subscript"/>
        </w:rPr>
        <w:t>5</w:t>
      </w:r>
      <w:r>
        <w:rPr>
          <w:sz w:val="24"/>
        </w:rPr>
        <w:t>、SS、NH</w:t>
      </w:r>
      <w:r>
        <w:rPr>
          <w:sz w:val="24"/>
          <w:vertAlign w:val="subscript"/>
        </w:rPr>
        <w:t>3</w:t>
      </w:r>
      <w:r>
        <w:rPr>
          <w:sz w:val="24"/>
        </w:rPr>
        <w:t>-N、</w:t>
      </w:r>
      <w:r>
        <w:rPr>
          <w:rFonts w:hint="eastAsia"/>
          <w:sz w:val="24"/>
        </w:rPr>
        <w:t>动植物油</w:t>
      </w:r>
      <w:r>
        <w:rPr>
          <w:rFonts w:hint="eastAsia"/>
          <w:sz w:val="24"/>
          <w:lang w:eastAsia="zh-CN"/>
        </w:rPr>
        <w:t>、色度、</w:t>
      </w:r>
      <w:r>
        <w:rPr>
          <w:rFonts w:hint="eastAsia"/>
          <w:sz w:val="24"/>
          <w:lang w:val="en-US" w:eastAsia="zh-CN"/>
        </w:rPr>
        <w:t>TP、LAS</w:t>
      </w:r>
      <w:r>
        <w:rPr>
          <w:sz w:val="24"/>
        </w:rPr>
        <w:t>。</w:t>
      </w:r>
    </w:p>
    <w:p>
      <w:pPr>
        <w:spacing w:line="480" w:lineRule="exact"/>
        <w:ind w:firstLine="480" w:firstLineChars="200"/>
        <w:rPr>
          <w:sz w:val="24"/>
        </w:rPr>
      </w:pPr>
      <w:r>
        <w:rPr>
          <w:sz w:val="24"/>
        </w:rPr>
        <w:t>（2）</w:t>
      </w:r>
      <w:r>
        <w:rPr>
          <w:rFonts w:hint="eastAsia"/>
          <w:sz w:val="24"/>
        </w:rPr>
        <w:t>厂界</w:t>
      </w:r>
      <w:r>
        <w:rPr>
          <w:sz w:val="24"/>
        </w:rPr>
        <w:t>周围的大气监测，监测项目为氨、硫化氢。</w:t>
      </w:r>
    </w:p>
    <w:p>
      <w:pPr>
        <w:spacing w:line="480" w:lineRule="exact"/>
        <w:ind w:firstLine="480" w:firstLineChars="200"/>
        <w:rPr>
          <w:sz w:val="24"/>
        </w:rPr>
      </w:pPr>
      <w:r>
        <w:rPr>
          <w:sz w:val="24"/>
        </w:rPr>
        <w:t>（3）</w:t>
      </w:r>
      <w:r>
        <w:rPr>
          <w:rFonts w:hint="eastAsia"/>
          <w:sz w:val="24"/>
        </w:rPr>
        <w:t>厂界</w:t>
      </w:r>
      <w:r>
        <w:rPr>
          <w:sz w:val="24"/>
        </w:rPr>
        <w:t>噪声，监测项目为等效连续A声级。</w:t>
      </w:r>
    </w:p>
    <w:p>
      <w:pPr>
        <w:spacing w:line="480" w:lineRule="exact"/>
        <w:ind w:firstLine="480" w:firstLineChars="200"/>
        <w:rPr>
          <w:sz w:val="24"/>
        </w:rPr>
        <w:sectPr>
          <w:pgSz w:w="11907" w:h="16840"/>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r>
        <w:rPr>
          <w:sz w:val="24"/>
        </w:rPr>
        <w:t>（4）固废分类处置情况实施检查。</w:t>
      </w:r>
    </w:p>
    <w:p>
      <w:pPr>
        <w:spacing w:line="480" w:lineRule="exact"/>
        <w:ind w:firstLine="482" w:firstLineChars="200"/>
        <w:rPr>
          <w:b/>
          <w:sz w:val="24"/>
        </w:rPr>
      </w:pPr>
      <w:bookmarkStart w:id="269" w:name="_Toc162843647"/>
      <w:bookmarkStart w:id="270" w:name="_Toc162843411"/>
      <w:r>
        <w:rPr>
          <w:rFonts w:hint="eastAsia"/>
          <w:b/>
          <w:sz w:val="24"/>
        </w:rPr>
        <w:t>8</w:t>
      </w:r>
      <w:r>
        <w:rPr>
          <w:b/>
          <w:sz w:val="24"/>
        </w:rPr>
        <w:t>.2.2各污染物监测布点和频率</w:t>
      </w:r>
      <w:bookmarkEnd w:id="269"/>
      <w:bookmarkEnd w:id="270"/>
    </w:p>
    <w:p>
      <w:pPr>
        <w:spacing w:line="480" w:lineRule="exact"/>
        <w:ind w:firstLine="480" w:firstLineChars="200"/>
        <w:rPr>
          <w:rFonts w:hint="eastAsia"/>
          <w:sz w:val="24"/>
        </w:rPr>
      </w:pPr>
      <w:r>
        <w:rPr>
          <w:sz w:val="24"/>
        </w:rPr>
        <w:t>（1）</w:t>
      </w:r>
      <w:r>
        <w:rPr>
          <w:rFonts w:hint="eastAsia"/>
          <w:sz w:val="24"/>
          <w:lang w:eastAsia="zh-CN"/>
        </w:rPr>
        <w:t>废水</w:t>
      </w:r>
      <w:r>
        <w:rPr>
          <w:sz w:val="24"/>
        </w:rPr>
        <w:t>：</w:t>
      </w:r>
      <w:r>
        <w:rPr>
          <w:rFonts w:hint="eastAsia"/>
          <w:sz w:val="24"/>
          <w:lang w:eastAsia="zh-CN"/>
        </w:rPr>
        <w:t>废水排放口</w:t>
      </w:r>
      <w:r>
        <w:rPr>
          <w:sz w:val="24"/>
        </w:rPr>
        <w:t>，COD</w:t>
      </w:r>
      <w:r>
        <w:rPr>
          <w:rFonts w:hint="eastAsia"/>
          <w:sz w:val="24"/>
        </w:rPr>
        <w:t>、</w:t>
      </w:r>
      <w:r>
        <w:rPr>
          <w:sz w:val="24"/>
        </w:rPr>
        <w:t>BOD、NH</w:t>
      </w:r>
      <w:r>
        <w:rPr>
          <w:sz w:val="24"/>
          <w:vertAlign w:val="subscript"/>
        </w:rPr>
        <w:t>3</w:t>
      </w:r>
      <w:r>
        <w:rPr>
          <w:sz w:val="24"/>
        </w:rPr>
        <w:t>-N</w:t>
      </w:r>
      <w:r>
        <w:rPr>
          <w:rFonts w:hint="eastAsia"/>
          <w:sz w:val="24"/>
        </w:rPr>
        <w:t>、</w:t>
      </w:r>
      <w:r>
        <w:rPr>
          <w:sz w:val="24"/>
        </w:rPr>
        <w:t>SS</w:t>
      </w:r>
      <w:r>
        <w:rPr>
          <w:rFonts w:hint="eastAsia"/>
          <w:sz w:val="24"/>
          <w:lang w:eastAsia="zh-CN"/>
        </w:rPr>
        <w:t>、</w:t>
      </w:r>
      <w:r>
        <w:rPr>
          <w:rFonts w:hint="eastAsia"/>
          <w:sz w:val="24"/>
          <w:lang w:val="en-US" w:eastAsia="zh-CN"/>
        </w:rPr>
        <w:t>TP、LAS、</w:t>
      </w:r>
      <w:r>
        <w:rPr>
          <w:rFonts w:hint="eastAsia"/>
          <w:sz w:val="24"/>
        </w:rPr>
        <w:t>动植物油等每季度监测一次</w:t>
      </w:r>
      <w:r>
        <w:rPr>
          <w:sz w:val="24"/>
        </w:rPr>
        <w:t>。</w:t>
      </w:r>
    </w:p>
    <w:p>
      <w:pPr>
        <w:spacing w:line="240" w:lineRule="auto"/>
        <w:ind w:firstLine="4800" w:firstLineChars="2000"/>
        <w:jc w:val="left"/>
        <w:rPr>
          <w:b/>
          <w:bCs/>
          <w:sz w:val="24"/>
          <w:szCs w:val="24"/>
        </w:rPr>
      </w:pPr>
      <w:r>
        <w:rPr>
          <w:sz w:val="24"/>
          <w:szCs w:val="24"/>
        </w:rPr>
        <w:t xml:space="preserve"> </w:t>
      </w:r>
      <w:r>
        <w:rPr>
          <w:b/>
          <w:bCs/>
          <w:sz w:val="24"/>
          <w:szCs w:val="24"/>
        </w:rPr>
        <w:t>表</w:t>
      </w:r>
      <w:r>
        <w:rPr>
          <w:rFonts w:hint="eastAsia"/>
          <w:b/>
          <w:bCs/>
          <w:sz w:val="24"/>
          <w:szCs w:val="24"/>
          <w:lang w:val="en-US" w:eastAsia="zh-CN"/>
        </w:rPr>
        <w:t>8.2-1</w:t>
      </w:r>
      <w:r>
        <w:rPr>
          <w:b/>
          <w:bCs/>
          <w:sz w:val="24"/>
          <w:szCs w:val="24"/>
        </w:rPr>
        <w:t xml:space="preserve">   环境监测计划及记录信息表 </w:t>
      </w:r>
    </w:p>
    <w:tbl>
      <w:tblPr>
        <w:tblStyle w:val="23"/>
        <w:tblW w:w="141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050"/>
        <w:gridCol w:w="1443"/>
        <w:gridCol w:w="1238"/>
        <w:gridCol w:w="1031"/>
        <w:gridCol w:w="1425"/>
        <w:gridCol w:w="1069"/>
        <w:gridCol w:w="956"/>
        <w:gridCol w:w="1238"/>
        <w:gridCol w:w="1256"/>
        <w:gridCol w:w="1219"/>
        <w:gridCol w:w="14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89" w:hRule="atLeast"/>
        </w:trPr>
        <w:tc>
          <w:tcPr>
            <w:tcW w:w="732" w:type="dxa"/>
            <w:tcBorders>
              <w:tl2br w:val="nil"/>
              <w:tr2bl w:val="nil"/>
            </w:tcBorders>
            <w:vAlign w:val="center"/>
          </w:tcPr>
          <w:p>
            <w:pPr>
              <w:spacing w:line="240" w:lineRule="auto"/>
              <w:jc w:val="center"/>
            </w:pPr>
            <w:r>
              <w:t>序号</w:t>
            </w:r>
          </w:p>
        </w:tc>
        <w:tc>
          <w:tcPr>
            <w:tcW w:w="1050" w:type="dxa"/>
            <w:tcBorders>
              <w:tl2br w:val="nil"/>
              <w:tr2bl w:val="nil"/>
            </w:tcBorders>
            <w:vAlign w:val="center"/>
          </w:tcPr>
          <w:p>
            <w:pPr>
              <w:spacing w:line="240" w:lineRule="auto"/>
              <w:jc w:val="center"/>
            </w:pPr>
            <w:r>
              <w:t>排放口编号</w:t>
            </w:r>
          </w:p>
        </w:tc>
        <w:tc>
          <w:tcPr>
            <w:tcW w:w="1443" w:type="dxa"/>
            <w:tcBorders>
              <w:tl2br w:val="nil"/>
              <w:tr2bl w:val="nil"/>
            </w:tcBorders>
            <w:vAlign w:val="center"/>
          </w:tcPr>
          <w:p>
            <w:pPr>
              <w:spacing w:line="240" w:lineRule="auto"/>
              <w:jc w:val="center"/>
            </w:pPr>
            <w:r>
              <w:t>污染物名称</w:t>
            </w:r>
          </w:p>
        </w:tc>
        <w:tc>
          <w:tcPr>
            <w:tcW w:w="1238" w:type="dxa"/>
            <w:tcBorders>
              <w:tl2br w:val="nil"/>
              <w:tr2bl w:val="nil"/>
            </w:tcBorders>
            <w:vAlign w:val="center"/>
          </w:tcPr>
          <w:p>
            <w:pPr>
              <w:spacing w:line="240" w:lineRule="auto"/>
              <w:jc w:val="center"/>
            </w:pPr>
            <w:r>
              <w:t>监测设施</w:t>
            </w:r>
          </w:p>
        </w:tc>
        <w:tc>
          <w:tcPr>
            <w:tcW w:w="1031" w:type="dxa"/>
            <w:tcBorders>
              <w:tl2br w:val="nil"/>
              <w:tr2bl w:val="nil"/>
            </w:tcBorders>
            <w:vAlign w:val="center"/>
          </w:tcPr>
          <w:p>
            <w:pPr>
              <w:spacing w:line="240" w:lineRule="auto"/>
              <w:jc w:val="center"/>
            </w:pPr>
            <w:r>
              <w:t>自动监测设施安装位置</w:t>
            </w:r>
          </w:p>
        </w:tc>
        <w:tc>
          <w:tcPr>
            <w:tcW w:w="1425" w:type="dxa"/>
            <w:tcBorders>
              <w:tl2br w:val="nil"/>
              <w:tr2bl w:val="nil"/>
            </w:tcBorders>
            <w:vAlign w:val="center"/>
          </w:tcPr>
          <w:p>
            <w:pPr>
              <w:spacing w:line="240" w:lineRule="auto"/>
              <w:jc w:val="center"/>
            </w:pPr>
            <w:r>
              <w:t>自动监测设施的安装、运行、维护等相关管理要去</w:t>
            </w:r>
          </w:p>
        </w:tc>
        <w:tc>
          <w:tcPr>
            <w:tcW w:w="1069" w:type="dxa"/>
            <w:tcBorders>
              <w:tl2br w:val="nil"/>
              <w:tr2bl w:val="nil"/>
            </w:tcBorders>
            <w:vAlign w:val="center"/>
          </w:tcPr>
          <w:p>
            <w:pPr>
              <w:spacing w:line="240" w:lineRule="auto"/>
              <w:jc w:val="center"/>
            </w:pPr>
            <w:r>
              <w:t>自动监测是否联网</w:t>
            </w:r>
          </w:p>
        </w:tc>
        <w:tc>
          <w:tcPr>
            <w:tcW w:w="956" w:type="dxa"/>
            <w:tcBorders>
              <w:tl2br w:val="nil"/>
              <w:tr2bl w:val="nil"/>
            </w:tcBorders>
            <w:vAlign w:val="center"/>
          </w:tcPr>
          <w:p>
            <w:pPr>
              <w:spacing w:line="240" w:lineRule="auto"/>
              <w:jc w:val="center"/>
            </w:pPr>
            <w:r>
              <w:t>自动监测仪器名称</w:t>
            </w:r>
          </w:p>
        </w:tc>
        <w:tc>
          <w:tcPr>
            <w:tcW w:w="1238" w:type="dxa"/>
            <w:tcBorders>
              <w:tl2br w:val="nil"/>
              <w:tr2bl w:val="nil"/>
            </w:tcBorders>
            <w:vAlign w:val="center"/>
          </w:tcPr>
          <w:p>
            <w:pPr>
              <w:spacing w:line="240" w:lineRule="auto"/>
              <w:jc w:val="center"/>
            </w:pPr>
            <w:r>
              <w:t>手工监测仪器名称</w:t>
            </w:r>
          </w:p>
        </w:tc>
        <w:tc>
          <w:tcPr>
            <w:tcW w:w="1256" w:type="dxa"/>
            <w:tcBorders>
              <w:tl2br w:val="nil"/>
              <w:tr2bl w:val="nil"/>
            </w:tcBorders>
            <w:vAlign w:val="center"/>
          </w:tcPr>
          <w:p>
            <w:pPr>
              <w:spacing w:line="240" w:lineRule="auto"/>
              <w:jc w:val="center"/>
            </w:pPr>
            <w:r>
              <w:t>手工监测采样方法及个数</w:t>
            </w:r>
          </w:p>
        </w:tc>
        <w:tc>
          <w:tcPr>
            <w:tcW w:w="1219" w:type="dxa"/>
            <w:tcBorders>
              <w:tl2br w:val="nil"/>
              <w:tr2bl w:val="nil"/>
            </w:tcBorders>
            <w:vAlign w:val="center"/>
          </w:tcPr>
          <w:p>
            <w:pPr>
              <w:spacing w:line="240" w:lineRule="auto"/>
              <w:jc w:val="center"/>
            </w:pPr>
            <w:r>
              <w:t>手工监测频次</w:t>
            </w:r>
          </w:p>
        </w:tc>
        <w:tc>
          <w:tcPr>
            <w:tcW w:w="1463" w:type="dxa"/>
            <w:tcBorders>
              <w:tl2br w:val="nil"/>
              <w:tr2bl w:val="nil"/>
            </w:tcBorders>
            <w:vAlign w:val="center"/>
          </w:tcPr>
          <w:p>
            <w:pPr>
              <w:spacing w:line="240" w:lineRule="auto"/>
              <w:jc w:val="center"/>
            </w:pPr>
            <w:r>
              <w:t>手工测定方法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732" w:type="dxa"/>
            <w:tcBorders>
              <w:tl2br w:val="nil"/>
              <w:tr2bl w:val="nil"/>
            </w:tcBorders>
            <w:vAlign w:val="center"/>
          </w:tcPr>
          <w:p>
            <w:pPr>
              <w:spacing w:line="240" w:lineRule="auto"/>
              <w:jc w:val="center"/>
            </w:pPr>
            <w:r>
              <w:t>1</w:t>
            </w:r>
          </w:p>
        </w:tc>
        <w:tc>
          <w:tcPr>
            <w:tcW w:w="1050" w:type="dxa"/>
            <w:tcBorders>
              <w:tl2br w:val="nil"/>
              <w:tr2bl w:val="nil"/>
            </w:tcBorders>
            <w:vAlign w:val="center"/>
          </w:tcPr>
          <w:p>
            <w:pPr>
              <w:spacing w:line="240" w:lineRule="auto"/>
              <w:jc w:val="center"/>
            </w:pPr>
            <w:r>
              <w:t>/</w:t>
            </w:r>
          </w:p>
        </w:tc>
        <w:tc>
          <w:tcPr>
            <w:tcW w:w="1443" w:type="dxa"/>
            <w:tcBorders>
              <w:tl2br w:val="nil"/>
              <w:tr2bl w:val="nil"/>
            </w:tcBorders>
            <w:vAlign w:val="center"/>
          </w:tcPr>
          <w:p>
            <w:pPr>
              <w:spacing w:line="240" w:lineRule="auto"/>
              <w:jc w:val="center"/>
              <w:rPr>
                <w:rFonts w:hint="default" w:eastAsia="宋体"/>
                <w:lang w:val="en-US" w:eastAsia="zh-CN"/>
              </w:rPr>
            </w:pPr>
            <w:r>
              <w:t>pH、COD、NH</w:t>
            </w:r>
            <w:r>
              <w:rPr>
                <w:vertAlign w:val="subscript"/>
              </w:rPr>
              <w:t>3</w:t>
            </w:r>
            <w:r>
              <w:t>-N、BOD</w:t>
            </w:r>
            <w:r>
              <w:rPr>
                <w:vertAlign w:val="subscript"/>
              </w:rPr>
              <w:t>5</w:t>
            </w:r>
            <w:r>
              <w:t>、SS、动植物油</w:t>
            </w:r>
            <w:r>
              <w:rPr>
                <w:rFonts w:hint="eastAsia"/>
                <w:lang w:eastAsia="zh-CN"/>
              </w:rPr>
              <w:t>、</w:t>
            </w:r>
            <w:r>
              <w:rPr>
                <w:rFonts w:hint="eastAsia"/>
                <w:lang w:val="en-US" w:eastAsia="zh-CN"/>
              </w:rPr>
              <w:t>TP、色度、LAS</w:t>
            </w:r>
          </w:p>
        </w:tc>
        <w:tc>
          <w:tcPr>
            <w:tcW w:w="1238" w:type="dxa"/>
            <w:tcBorders>
              <w:tl2br w:val="nil"/>
              <w:tr2bl w:val="nil"/>
            </w:tcBorders>
            <w:vAlign w:val="center"/>
          </w:tcPr>
          <w:p>
            <w:pPr>
              <w:spacing w:line="240" w:lineRule="auto"/>
              <w:jc w:val="center"/>
              <w:rPr>
                <w:rStyle w:val="61"/>
                <w:rFonts w:ascii="Times New Roman" w:hAnsi="Times New Roman" w:eastAsia="宋体" w:cs="Times New Roman"/>
                <w:color w:val="auto"/>
                <w:sz w:val="21"/>
                <w:szCs w:val="21"/>
              </w:rPr>
            </w:pPr>
            <w:r>
              <w:rPr>
                <w:rStyle w:val="61"/>
                <w:rFonts w:hint="eastAsia" w:cs="Times New Roman"/>
                <w:color w:val="auto"/>
                <w:sz w:val="21"/>
                <w:szCs w:val="21"/>
                <w:lang w:eastAsia="zh-CN"/>
              </w:rPr>
              <w:t>☑</w:t>
            </w:r>
            <w:r>
              <w:rPr>
                <w:rStyle w:val="61"/>
                <w:rFonts w:ascii="Times New Roman" w:hAnsi="Times New Roman" w:eastAsia="宋体" w:cs="Times New Roman"/>
                <w:color w:val="auto"/>
                <w:sz w:val="21"/>
                <w:szCs w:val="21"/>
              </w:rPr>
              <w:t>自动</w:t>
            </w:r>
          </w:p>
          <w:p>
            <w:pPr>
              <w:spacing w:line="240" w:lineRule="auto"/>
              <w:jc w:val="center"/>
            </w:pPr>
            <w:r>
              <w:rPr>
                <w:rStyle w:val="61"/>
                <w:rFonts w:hint="eastAsia" w:cs="Times New Roman"/>
                <w:color w:val="auto"/>
                <w:sz w:val="21"/>
                <w:szCs w:val="21"/>
                <w:lang w:eastAsia="zh-CN"/>
              </w:rPr>
              <w:t>□</w:t>
            </w:r>
            <w:r>
              <w:rPr>
                <w:rStyle w:val="61"/>
                <w:rFonts w:ascii="Times New Roman" w:hAnsi="Times New Roman" w:eastAsia="宋体" w:cs="Times New Roman"/>
                <w:color w:val="auto"/>
                <w:sz w:val="21"/>
                <w:szCs w:val="21"/>
              </w:rPr>
              <w:t>手工</w:t>
            </w:r>
          </w:p>
        </w:tc>
        <w:tc>
          <w:tcPr>
            <w:tcW w:w="1031" w:type="dxa"/>
            <w:tcBorders>
              <w:tl2br w:val="nil"/>
              <w:tr2bl w:val="nil"/>
            </w:tcBorders>
            <w:vAlign w:val="center"/>
          </w:tcPr>
          <w:p>
            <w:pPr>
              <w:spacing w:line="240" w:lineRule="auto"/>
              <w:jc w:val="center"/>
            </w:pPr>
            <w:r>
              <w:t>/</w:t>
            </w:r>
          </w:p>
        </w:tc>
        <w:tc>
          <w:tcPr>
            <w:tcW w:w="1425" w:type="dxa"/>
            <w:tcBorders>
              <w:tl2br w:val="nil"/>
              <w:tr2bl w:val="nil"/>
            </w:tcBorders>
            <w:vAlign w:val="center"/>
          </w:tcPr>
          <w:p>
            <w:pPr>
              <w:spacing w:line="240" w:lineRule="auto"/>
              <w:jc w:val="center"/>
            </w:pPr>
            <w:r>
              <w:t>/</w:t>
            </w:r>
          </w:p>
        </w:tc>
        <w:tc>
          <w:tcPr>
            <w:tcW w:w="1069" w:type="dxa"/>
            <w:tcBorders>
              <w:tl2br w:val="nil"/>
              <w:tr2bl w:val="nil"/>
            </w:tcBorders>
            <w:vAlign w:val="center"/>
          </w:tcPr>
          <w:p>
            <w:pPr>
              <w:spacing w:line="240" w:lineRule="auto"/>
              <w:jc w:val="center"/>
            </w:pPr>
            <w:r>
              <w:t>/</w:t>
            </w:r>
          </w:p>
        </w:tc>
        <w:tc>
          <w:tcPr>
            <w:tcW w:w="956" w:type="dxa"/>
            <w:tcBorders>
              <w:tl2br w:val="nil"/>
              <w:tr2bl w:val="nil"/>
            </w:tcBorders>
            <w:vAlign w:val="center"/>
          </w:tcPr>
          <w:p>
            <w:pPr>
              <w:spacing w:line="240" w:lineRule="auto"/>
              <w:jc w:val="center"/>
            </w:pPr>
            <w:r>
              <w:t>/</w:t>
            </w:r>
          </w:p>
        </w:tc>
        <w:tc>
          <w:tcPr>
            <w:tcW w:w="1238" w:type="dxa"/>
            <w:tcBorders>
              <w:tl2br w:val="nil"/>
              <w:tr2bl w:val="nil"/>
            </w:tcBorders>
            <w:vAlign w:val="center"/>
          </w:tcPr>
          <w:p>
            <w:pPr>
              <w:spacing w:line="240" w:lineRule="auto"/>
              <w:jc w:val="center"/>
            </w:pPr>
            <w:r>
              <w:t>/</w:t>
            </w:r>
          </w:p>
        </w:tc>
        <w:tc>
          <w:tcPr>
            <w:tcW w:w="1256" w:type="dxa"/>
            <w:tcBorders>
              <w:tl2br w:val="nil"/>
              <w:tr2bl w:val="nil"/>
            </w:tcBorders>
            <w:vAlign w:val="center"/>
          </w:tcPr>
          <w:p>
            <w:pPr>
              <w:spacing w:line="240" w:lineRule="auto"/>
              <w:jc w:val="center"/>
            </w:pPr>
            <w:r>
              <w:t>瞬时采样，3个、4个或5个瞬时样</w:t>
            </w:r>
          </w:p>
        </w:tc>
        <w:tc>
          <w:tcPr>
            <w:tcW w:w="1219" w:type="dxa"/>
            <w:tcBorders>
              <w:tl2br w:val="nil"/>
              <w:tr2bl w:val="nil"/>
            </w:tcBorders>
            <w:vAlign w:val="center"/>
          </w:tcPr>
          <w:p>
            <w:pPr>
              <w:spacing w:line="240" w:lineRule="auto"/>
              <w:jc w:val="center"/>
              <w:rPr>
                <w:rFonts w:hint="eastAsia" w:eastAsia="宋体"/>
                <w:lang w:val="en-US" w:eastAsia="zh-CN"/>
              </w:rPr>
            </w:pPr>
            <w:r>
              <w:t>一次</w:t>
            </w:r>
            <w:r>
              <w:rPr>
                <w:rFonts w:hint="eastAsia"/>
                <w:lang w:val="en-US" w:eastAsia="zh-CN"/>
              </w:rPr>
              <w:t>/每季度</w:t>
            </w:r>
          </w:p>
        </w:tc>
        <w:tc>
          <w:tcPr>
            <w:tcW w:w="1463" w:type="dxa"/>
            <w:tcBorders>
              <w:tl2br w:val="nil"/>
              <w:tr2bl w:val="nil"/>
            </w:tcBorders>
            <w:vAlign w:val="center"/>
          </w:tcPr>
          <w:p>
            <w:pPr>
              <w:spacing w:line="240" w:lineRule="auto"/>
            </w:pPr>
            <w:r>
              <w:t>pH：玻璃电极法；COD：重铬酸盐法；</w:t>
            </w:r>
          </w:p>
          <w:p>
            <w:pPr>
              <w:spacing w:line="240" w:lineRule="auto"/>
            </w:pPr>
            <w:r>
              <w:t>BOD5：稀释与接种法；</w:t>
            </w:r>
          </w:p>
          <w:p>
            <w:pPr>
              <w:spacing w:line="240" w:lineRule="auto"/>
            </w:pPr>
            <w:r>
              <w:t>NH</w:t>
            </w:r>
            <w:r>
              <w:rPr>
                <w:vertAlign w:val="subscript"/>
              </w:rPr>
              <w:t>3</w:t>
            </w:r>
            <w:r>
              <w:t>-N：钠氏试剂光度法；</w:t>
            </w:r>
          </w:p>
          <w:p>
            <w:pPr>
              <w:spacing w:line="240" w:lineRule="auto"/>
            </w:pPr>
            <w:r>
              <w:t>SS：重量法</w:t>
            </w:r>
          </w:p>
          <w:p>
            <w:pPr>
              <w:pStyle w:val="2"/>
              <w:spacing w:line="240" w:lineRule="auto"/>
              <w:ind w:firstLine="0" w:firstLineChars="0"/>
            </w:pPr>
          </w:p>
        </w:tc>
      </w:tr>
    </w:tbl>
    <w:p>
      <w:pPr>
        <w:spacing w:line="480" w:lineRule="exact"/>
        <w:ind w:firstLine="480" w:firstLineChars="200"/>
        <w:rPr>
          <w:rFonts w:hint="eastAsia"/>
          <w:sz w:val="24"/>
        </w:rPr>
      </w:pPr>
      <w:r>
        <w:rPr>
          <w:sz w:val="24"/>
        </w:rPr>
        <w:t>（2）大气：</w:t>
      </w:r>
      <w:r>
        <w:rPr>
          <w:rFonts w:hint="eastAsia"/>
          <w:sz w:val="24"/>
          <w:lang w:eastAsia="zh-CN"/>
        </w:rPr>
        <w:t>厂界恶臭</w:t>
      </w:r>
      <w:r>
        <w:rPr>
          <w:sz w:val="24"/>
        </w:rPr>
        <w:t>，每年监测</w:t>
      </w:r>
      <w:r>
        <w:rPr>
          <w:rFonts w:hint="eastAsia"/>
          <w:sz w:val="24"/>
        </w:rPr>
        <w:t>一</w:t>
      </w:r>
      <w:r>
        <w:rPr>
          <w:sz w:val="24"/>
        </w:rPr>
        <w:t>次</w:t>
      </w:r>
      <w:r>
        <w:rPr>
          <w:rFonts w:hint="eastAsia"/>
          <w:sz w:val="24"/>
          <w:lang w:eastAsia="zh-CN"/>
        </w:rPr>
        <w:t>。</w:t>
      </w:r>
    </w:p>
    <w:p>
      <w:pPr>
        <w:spacing w:line="240" w:lineRule="auto"/>
        <w:jc w:val="center"/>
        <w:rPr>
          <w:b/>
          <w:sz w:val="24"/>
        </w:rPr>
      </w:pPr>
      <w:r>
        <w:rPr>
          <w:b/>
          <w:sz w:val="24"/>
        </w:rPr>
        <w:t>表</w:t>
      </w:r>
      <w:r>
        <w:rPr>
          <w:rFonts w:hint="eastAsia"/>
          <w:b/>
          <w:sz w:val="24"/>
        </w:rPr>
        <w:t>8</w:t>
      </w:r>
      <w:r>
        <w:rPr>
          <w:rFonts w:hint="eastAsia"/>
          <w:b/>
          <w:sz w:val="24"/>
          <w:lang w:val="en-US" w:eastAsia="zh-CN"/>
        </w:rPr>
        <w:t>.</w:t>
      </w:r>
      <w:r>
        <w:rPr>
          <w:b/>
          <w:sz w:val="24"/>
        </w:rPr>
        <w:t>2-</w:t>
      </w:r>
      <w:r>
        <w:rPr>
          <w:rFonts w:hint="eastAsia"/>
          <w:b/>
          <w:sz w:val="24"/>
          <w:lang w:val="en-US" w:eastAsia="zh-CN"/>
        </w:rPr>
        <w:t>2</w:t>
      </w:r>
      <w:r>
        <w:rPr>
          <w:b/>
          <w:sz w:val="24"/>
        </w:rPr>
        <w:t xml:space="preserve"> 营运期环境监测计划</w:t>
      </w:r>
    </w:p>
    <w:tbl>
      <w:tblPr>
        <w:tblStyle w:val="22"/>
        <w:tblW w:w="13536" w:type="dxa"/>
        <w:jc w:val="center"/>
        <w:tblInd w:w="-329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410"/>
        <w:gridCol w:w="1410"/>
        <w:gridCol w:w="1320"/>
        <w:gridCol w:w="2070"/>
        <w:gridCol w:w="62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11" w:type="dxa"/>
            <w:tcBorders>
              <w:tl2br w:val="nil"/>
              <w:tr2bl w:val="nil"/>
            </w:tcBorders>
            <w:vAlign w:val="center"/>
          </w:tcPr>
          <w:p>
            <w:pPr>
              <w:spacing w:line="240" w:lineRule="exact"/>
              <w:ind w:left="-105" w:leftChars="-50" w:right="-105" w:rightChars="-50"/>
              <w:jc w:val="center"/>
            </w:pPr>
            <w:r>
              <w:t>监测类别</w:t>
            </w:r>
          </w:p>
        </w:tc>
        <w:tc>
          <w:tcPr>
            <w:tcW w:w="1410" w:type="dxa"/>
            <w:tcBorders>
              <w:tl2br w:val="nil"/>
              <w:tr2bl w:val="nil"/>
            </w:tcBorders>
            <w:vAlign w:val="center"/>
          </w:tcPr>
          <w:p>
            <w:pPr>
              <w:spacing w:line="240" w:lineRule="exact"/>
              <w:ind w:left="-105" w:leftChars="-50" w:right="-105" w:rightChars="-50"/>
              <w:jc w:val="center"/>
            </w:pPr>
            <w:r>
              <w:t>监测项目</w:t>
            </w:r>
          </w:p>
        </w:tc>
        <w:tc>
          <w:tcPr>
            <w:tcW w:w="1410" w:type="dxa"/>
            <w:tcBorders>
              <w:tl2br w:val="nil"/>
              <w:tr2bl w:val="nil"/>
            </w:tcBorders>
            <w:vAlign w:val="center"/>
          </w:tcPr>
          <w:p>
            <w:pPr>
              <w:spacing w:line="240" w:lineRule="exact"/>
              <w:ind w:left="-105" w:leftChars="-50" w:right="-105" w:rightChars="-50"/>
              <w:jc w:val="center"/>
            </w:pPr>
            <w:r>
              <w:t>监测地点位置</w:t>
            </w:r>
          </w:p>
        </w:tc>
        <w:tc>
          <w:tcPr>
            <w:tcW w:w="1320" w:type="dxa"/>
            <w:tcBorders>
              <w:tl2br w:val="nil"/>
              <w:tr2bl w:val="nil"/>
            </w:tcBorders>
            <w:vAlign w:val="center"/>
          </w:tcPr>
          <w:p>
            <w:pPr>
              <w:spacing w:line="240" w:lineRule="exact"/>
              <w:ind w:left="-105" w:leftChars="-50" w:right="-105" w:rightChars="-50"/>
              <w:jc w:val="center"/>
            </w:pPr>
            <w:r>
              <w:t>监测时间频率</w:t>
            </w:r>
          </w:p>
        </w:tc>
        <w:tc>
          <w:tcPr>
            <w:tcW w:w="2070" w:type="dxa"/>
            <w:tcBorders>
              <w:tl2br w:val="nil"/>
              <w:tr2bl w:val="nil"/>
            </w:tcBorders>
            <w:vAlign w:val="center"/>
          </w:tcPr>
          <w:p>
            <w:pPr>
              <w:spacing w:line="300" w:lineRule="exact"/>
              <w:ind w:left="-105" w:leftChars="-50" w:right="-105" w:rightChars="-50"/>
              <w:jc w:val="center"/>
            </w:pPr>
            <w:r>
              <w:t>监测方法</w:t>
            </w:r>
          </w:p>
        </w:tc>
        <w:tc>
          <w:tcPr>
            <w:tcW w:w="6215" w:type="dxa"/>
            <w:tcBorders>
              <w:tl2br w:val="nil"/>
              <w:tr2bl w:val="nil"/>
            </w:tcBorders>
            <w:vAlign w:val="center"/>
          </w:tcPr>
          <w:p>
            <w:pPr>
              <w:spacing w:line="300" w:lineRule="exact"/>
              <w:ind w:left="-105" w:leftChars="-50" w:right="-105" w:rightChars="-50"/>
              <w:jc w:val="center"/>
              <w:rPr>
                <w:rFonts w:hint="eastAsia" w:eastAsia="宋体"/>
                <w:lang w:eastAsia="zh-CN"/>
              </w:rPr>
            </w:pPr>
            <w:r>
              <w:rPr>
                <w:rFonts w:hint="eastAsia"/>
                <w:lang w:eastAsia="zh-CN"/>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0" w:hRule="exact"/>
          <w:jc w:val="center"/>
        </w:trPr>
        <w:tc>
          <w:tcPr>
            <w:tcW w:w="1111" w:type="dxa"/>
            <w:tcBorders>
              <w:tl2br w:val="nil"/>
              <w:tr2bl w:val="nil"/>
            </w:tcBorders>
            <w:vAlign w:val="center"/>
          </w:tcPr>
          <w:p>
            <w:pPr>
              <w:spacing w:line="240" w:lineRule="exact"/>
              <w:ind w:left="-105" w:leftChars="-50" w:right="-105" w:rightChars="-50"/>
              <w:jc w:val="center"/>
            </w:pPr>
            <w:r>
              <w:t>大气监测</w:t>
            </w:r>
          </w:p>
        </w:tc>
        <w:tc>
          <w:tcPr>
            <w:tcW w:w="1410" w:type="dxa"/>
            <w:tcBorders>
              <w:tl2br w:val="nil"/>
              <w:tr2bl w:val="nil"/>
            </w:tcBorders>
            <w:vAlign w:val="center"/>
          </w:tcPr>
          <w:p>
            <w:pPr>
              <w:spacing w:line="240" w:lineRule="exact"/>
              <w:ind w:left="-105" w:leftChars="-50" w:right="-105" w:rightChars="-50"/>
              <w:jc w:val="center"/>
              <w:rPr>
                <w:rFonts w:hint="default" w:eastAsia="宋体"/>
                <w:lang w:val="en-US" w:eastAsia="zh-CN"/>
              </w:rPr>
            </w:pPr>
            <w:r>
              <w:rPr>
                <w:rFonts w:hint="eastAsia"/>
                <w:lang w:val="en-US" w:eastAsia="zh-CN"/>
              </w:rPr>
              <w:t>NH</w:t>
            </w:r>
            <w:r>
              <w:rPr>
                <w:rFonts w:hint="eastAsia"/>
                <w:vertAlign w:val="subscript"/>
                <w:lang w:val="en-US" w:eastAsia="zh-CN"/>
              </w:rPr>
              <w:t>3</w:t>
            </w:r>
            <w:r>
              <w:rPr>
                <w:rFonts w:hint="eastAsia"/>
                <w:lang w:val="en-US" w:eastAsia="zh-CN"/>
              </w:rPr>
              <w:t>、H</w:t>
            </w:r>
            <w:r>
              <w:rPr>
                <w:rFonts w:hint="eastAsia"/>
                <w:vertAlign w:val="subscript"/>
                <w:lang w:val="en-US" w:eastAsia="zh-CN"/>
              </w:rPr>
              <w:t>2</w:t>
            </w:r>
            <w:r>
              <w:rPr>
                <w:rFonts w:hint="eastAsia"/>
                <w:lang w:val="en-US" w:eastAsia="zh-CN"/>
              </w:rPr>
              <w:t>S</w:t>
            </w:r>
          </w:p>
        </w:tc>
        <w:tc>
          <w:tcPr>
            <w:tcW w:w="1410" w:type="dxa"/>
            <w:tcBorders>
              <w:tl2br w:val="nil"/>
              <w:tr2bl w:val="nil"/>
            </w:tcBorders>
            <w:vAlign w:val="center"/>
          </w:tcPr>
          <w:p>
            <w:pPr>
              <w:spacing w:line="240" w:lineRule="exact"/>
              <w:ind w:left="-105" w:leftChars="-50" w:right="-105" w:rightChars="-50"/>
              <w:jc w:val="center"/>
              <w:rPr>
                <w:rFonts w:hint="eastAsia"/>
                <w:lang w:eastAsia="zh-CN"/>
              </w:rPr>
            </w:pPr>
            <w:r>
              <w:rPr>
                <w:rFonts w:hint="eastAsia"/>
                <w:lang w:eastAsia="zh-CN"/>
              </w:rPr>
              <w:t>厂界</w:t>
            </w:r>
          </w:p>
        </w:tc>
        <w:tc>
          <w:tcPr>
            <w:tcW w:w="1320" w:type="dxa"/>
            <w:tcBorders>
              <w:tl2br w:val="nil"/>
              <w:tr2bl w:val="nil"/>
            </w:tcBorders>
            <w:vAlign w:val="center"/>
          </w:tcPr>
          <w:p>
            <w:pPr>
              <w:spacing w:line="240" w:lineRule="exact"/>
              <w:ind w:left="-105" w:leftChars="-50" w:right="-105" w:rightChars="-50"/>
              <w:jc w:val="center"/>
            </w:pPr>
            <w:r>
              <w:t>每年</w:t>
            </w:r>
            <w:r>
              <w:rPr>
                <w:rFonts w:hint="eastAsia"/>
              </w:rPr>
              <w:t>一</w:t>
            </w:r>
            <w:r>
              <w:t>次</w:t>
            </w:r>
          </w:p>
        </w:tc>
        <w:tc>
          <w:tcPr>
            <w:tcW w:w="2070" w:type="dxa"/>
            <w:tcBorders>
              <w:tl2br w:val="nil"/>
              <w:tr2bl w:val="nil"/>
            </w:tcBorders>
            <w:vAlign w:val="center"/>
          </w:tcPr>
          <w:p>
            <w:pPr>
              <w:spacing w:line="300" w:lineRule="exact"/>
              <w:ind w:left="-105" w:leftChars="-50" w:right="-105" w:rightChars="-50"/>
              <w:jc w:val="center"/>
            </w:pPr>
            <w:r>
              <w:t>按环境监测技术规范要求</w:t>
            </w:r>
          </w:p>
        </w:tc>
        <w:tc>
          <w:tcPr>
            <w:tcW w:w="6215" w:type="dxa"/>
            <w:tcBorders>
              <w:tl2br w:val="nil"/>
              <w:tr2bl w:val="nil"/>
            </w:tcBorders>
            <w:vAlign w:val="center"/>
          </w:tcPr>
          <w:p>
            <w:pPr>
              <w:spacing w:line="300" w:lineRule="exact"/>
              <w:ind w:left="-105" w:leftChars="-50" w:right="-105" w:rightChars="-50"/>
              <w:jc w:val="center"/>
              <w:rPr>
                <w:rFonts w:hint="eastAsia" w:eastAsia="宋体"/>
                <w:lang w:eastAsia="zh-CN"/>
              </w:rPr>
            </w:pPr>
            <w:r>
              <w:rPr>
                <w:rFonts w:hint="eastAsia"/>
                <w:lang w:eastAsia="zh-CN"/>
              </w:rPr>
              <w:t>参照执行</w:t>
            </w:r>
            <w:r>
              <w:t>《恶臭污染物排放标准》（GB14554-93）中表1恶臭污染物厂界标准中规定的二级标准</w:t>
            </w:r>
          </w:p>
        </w:tc>
      </w:tr>
    </w:tbl>
    <w:p>
      <w:pPr>
        <w:spacing w:line="480" w:lineRule="exact"/>
        <w:ind w:firstLine="480" w:firstLineChars="200"/>
        <w:rPr>
          <w:rFonts w:hint="eastAsia"/>
          <w:sz w:val="24"/>
        </w:rPr>
      </w:pPr>
      <w:r>
        <w:rPr>
          <w:sz w:val="24"/>
        </w:rPr>
        <w:t>（3）噪声：</w:t>
      </w:r>
      <w:r>
        <w:rPr>
          <w:rFonts w:hint="eastAsia"/>
          <w:sz w:val="24"/>
        </w:rPr>
        <w:t>厂界</w:t>
      </w:r>
      <w:r>
        <w:rPr>
          <w:sz w:val="24"/>
        </w:rPr>
        <w:t>设4个测点，每季度监测一次。对项目内各噪声源如</w:t>
      </w:r>
      <w:r>
        <w:rPr>
          <w:rFonts w:hint="eastAsia"/>
          <w:sz w:val="24"/>
        </w:rPr>
        <w:t>机械设备</w:t>
      </w:r>
      <w:r>
        <w:rPr>
          <w:sz w:val="24"/>
        </w:rPr>
        <w:t>、水泵等根据需要进行有选择的监测。</w:t>
      </w:r>
    </w:p>
    <w:p>
      <w:pPr>
        <w:spacing w:line="240" w:lineRule="auto"/>
        <w:jc w:val="center"/>
        <w:rPr>
          <w:b/>
          <w:sz w:val="24"/>
        </w:rPr>
      </w:pPr>
    </w:p>
    <w:p>
      <w:pPr>
        <w:spacing w:line="240" w:lineRule="auto"/>
        <w:jc w:val="center"/>
        <w:rPr>
          <w:b/>
          <w:sz w:val="24"/>
        </w:rPr>
      </w:pPr>
    </w:p>
    <w:p>
      <w:pPr>
        <w:spacing w:line="240" w:lineRule="auto"/>
        <w:jc w:val="center"/>
        <w:rPr>
          <w:b/>
          <w:sz w:val="24"/>
        </w:rPr>
      </w:pPr>
    </w:p>
    <w:p>
      <w:pPr>
        <w:spacing w:line="240" w:lineRule="auto"/>
        <w:jc w:val="center"/>
        <w:rPr>
          <w:b/>
          <w:sz w:val="24"/>
        </w:rPr>
      </w:pPr>
    </w:p>
    <w:p>
      <w:pPr>
        <w:spacing w:line="240" w:lineRule="auto"/>
        <w:jc w:val="center"/>
        <w:rPr>
          <w:b/>
          <w:sz w:val="24"/>
        </w:rPr>
      </w:pPr>
    </w:p>
    <w:p>
      <w:pPr>
        <w:spacing w:line="240" w:lineRule="auto"/>
        <w:jc w:val="center"/>
        <w:rPr>
          <w:b/>
          <w:sz w:val="24"/>
        </w:rPr>
      </w:pPr>
      <w:r>
        <w:rPr>
          <w:b/>
          <w:sz w:val="24"/>
        </w:rPr>
        <w:t>表</w:t>
      </w:r>
      <w:r>
        <w:rPr>
          <w:rFonts w:hint="eastAsia"/>
          <w:b/>
          <w:sz w:val="24"/>
        </w:rPr>
        <w:t>8</w:t>
      </w:r>
      <w:r>
        <w:rPr>
          <w:rFonts w:hint="eastAsia"/>
          <w:b/>
          <w:sz w:val="24"/>
          <w:lang w:val="en-US" w:eastAsia="zh-CN"/>
        </w:rPr>
        <w:t>.</w:t>
      </w:r>
      <w:r>
        <w:rPr>
          <w:b/>
          <w:sz w:val="24"/>
        </w:rPr>
        <w:t>2-</w:t>
      </w:r>
      <w:r>
        <w:rPr>
          <w:rFonts w:hint="eastAsia"/>
          <w:b/>
          <w:sz w:val="24"/>
          <w:lang w:val="en-US" w:eastAsia="zh-CN"/>
        </w:rPr>
        <w:t>3</w:t>
      </w:r>
      <w:r>
        <w:rPr>
          <w:b/>
          <w:sz w:val="24"/>
        </w:rPr>
        <w:t xml:space="preserve"> 营运期环境监测计划</w:t>
      </w:r>
    </w:p>
    <w:tbl>
      <w:tblPr>
        <w:tblStyle w:val="22"/>
        <w:tblW w:w="12922" w:type="dxa"/>
        <w:jc w:val="center"/>
        <w:tblInd w:w="-4289"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1631"/>
        <w:gridCol w:w="1995"/>
        <w:gridCol w:w="3165"/>
        <w:gridCol w:w="1800"/>
        <w:gridCol w:w="20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280" w:type="dxa"/>
            <w:tcBorders>
              <w:tl2br w:val="nil"/>
              <w:tr2bl w:val="nil"/>
            </w:tcBorders>
            <w:vAlign w:val="center"/>
          </w:tcPr>
          <w:p>
            <w:pPr>
              <w:spacing w:line="240" w:lineRule="exact"/>
              <w:ind w:left="-105" w:leftChars="-50" w:right="-105" w:rightChars="-50"/>
              <w:jc w:val="center"/>
            </w:pPr>
            <w:r>
              <w:t>监测类别</w:t>
            </w:r>
          </w:p>
        </w:tc>
        <w:tc>
          <w:tcPr>
            <w:tcW w:w="1631" w:type="dxa"/>
            <w:tcBorders>
              <w:tl2br w:val="nil"/>
              <w:tr2bl w:val="nil"/>
            </w:tcBorders>
            <w:vAlign w:val="center"/>
          </w:tcPr>
          <w:p>
            <w:pPr>
              <w:spacing w:line="240" w:lineRule="exact"/>
              <w:ind w:left="-105" w:leftChars="-50" w:right="-105" w:rightChars="-50"/>
              <w:jc w:val="center"/>
            </w:pPr>
            <w:r>
              <w:t>监测项目</w:t>
            </w:r>
          </w:p>
        </w:tc>
        <w:tc>
          <w:tcPr>
            <w:tcW w:w="1995" w:type="dxa"/>
            <w:tcBorders>
              <w:tl2br w:val="nil"/>
              <w:tr2bl w:val="nil"/>
            </w:tcBorders>
            <w:vAlign w:val="center"/>
          </w:tcPr>
          <w:p>
            <w:pPr>
              <w:spacing w:line="240" w:lineRule="exact"/>
              <w:ind w:left="-105" w:leftChars="-50" w:right="-105" w:rightChars="-50"/>
              <w:jc w:val="center"/>
            </w:pPr>
            <w:r>
              <w:t>监测地点位置</w:t>
            </w:r>
          </w:p>
        </w:tc>
        <w:tc>
          <w:tcPr>
            <w:tcW w:w="3165" w:type="dxa"/>
            <w:tcBorders>
              <w:tl2br w:val="nil"/>
              <w:tr2bl w:val="nil"/>
            </w:tcBorders>
            <w:vAlign w:val="center"/>
          </w:tcPr>
          <w:p>
            <w:pPr>
              <w:spacing w:line="240" w:lineRule="exact"/>
              <w:ind w:left="-105" w:leftChars="-50" w:right="-105" w:rightChars="-50"/>
              <w:jc w:val="center"/>
            </w:pPr>
            <w:r>
              <w:t>监测时间频率</w:t>
            </w:r>
          </w:p>
        </w:tc>
        <w:tc>
          <w:tcPr>
            <w:tcW w:w="1800" w:type="dxa"/>
            <w:tcBorders>
              <w:tl2br w:val="nil"/>
              <w:tr2bl w:val="nil"/>
            </w:tcBorders>
            <w:vAlign w:val="center"/>
          </w:tcPr>
          <w:p>
            <w:pPr>
              <w:spacing w:line="300" w:lineRule="exact"/>
              <w:ind w:left="-105" w:leftChars="-50" w:right="-105" w:rightChars="-50"/>
              <w:jc w:val="center"/>
            </w:pPr>
            <w:r>
              <w:t>监测方法</w:t>
            </w:r>
          </w:p>
        </w:tc>
        <w:tc>
          <w:tcPr>
            <w:tcW w:w="2051" w:type="dxa"/>
            <w:tcBorders>
              <w:tl2br w:val="nil"/>
              <w:tr2bl w:val="nil"/>
            </w:tcBorders>
            <w:vAlign w:val="center"/>
          </w:tcPr>
          <w:p>
            <w:pPr>
              <w:spacing w:line="300" w:lineRule="exact"/>
              <w:ind w:left="-105" w:leftChars="-50" w:right="-105" w:rightChars="-50"/>
              <w:jc w:val="center"/>
            </w:pPr>
            <w:r>
              <w:t>监测要求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5" w:hRule="exact"/>
          <w:jc w:val="center"/>
        </w:trPr>
        <w:tc>
          <w:tcPr>
            <w:tcW w:w="2280" w:type="dxa"/>
            <w:vMerge w:val="restart"/>
            <w:tcBorders>
              <w:tl2br w:val="nil"/>
              <w:tr2bl w:val="nil"/>
            </w:tcBorders>
            <w:vAlign w:val="center"/>
          </w:tcPr>
          <w:p>
            <w:pPr>
              <w:spacing w:line="240" w:lineRule="exact"/>
              <w:ind w:left="-105" w:leftChars="-50" w:right="-105" w:rightChars="-50"/>
              <w:jc w:val="center"/>
            </w:pPr>
            <w:r>
              <w:t>噪声监测</w:t>
            </w:r>
          </w:p>
        </w:tc>
        <w:tc>
          <w:tcPr>
            <w:tcW w:w="1631" w:type="dxa"/>
            <w:vMerge w:val="restart"/>
            <w:tcBorders>
              <w:tl2br w:val="nil"/>
              <w:tr2bl w:val="nil"/>
            </w:tcBorders>
            <w:vAlign w:val="center"/>
          </w:tcPr>
          <w:p>
            <w:pPr>
              <w:spacing w:line="240" w:lineRule="exact"/>
              <w:ind w:left="-105" w:leftChars="-50" w:right="-105" w:rightChars="-50"/>
              <w:jc w:val="center"/>
            </w:pPr>
            <w:r>
              <w:t>等效连续</w:t>
            </w:r>
          </w:p>
          <w:p>
            <w:pPr>
              <w:spacing w:line="240" w:lineRule="exact"/>
              <w:ind w:left="-105" w:leftChars="-50" w:right="-105" w:rightChars="-50"/>
              <w:jc w:val="center"/>
            </w:pPr>
            <w:r>
              <w:t>A声级</w:t>
            </w:r>
          </w:p>
        </w:tc>
        <w:tc>
          <w:tcPr>
            <w:tcW w:w="1995" w:type="dxa"/>
            <w:tcBorders>
              <w:tl2br w:val="nil"/>
              <w:tr2bl w:val="nil"/>
            </w:tcBorders>
            <w:vAlign w:val="center"/>
          </w:tcPr>
          <w:p>
            <w:pPr>
              <w:spacing w:line="240" w:lineRule="exact"/>
              <w:ind w:left="-105" w:leftChars="-50" w:right="-105" w:rightChars="-50"/>
              <w:jc w:val="center"/>
            </w:pPr>
            <w:r>
              <w:rPr>
                <w:rFonts w:hint="eastAsia"/>
              </w:rPr>
              <w:t>厂界</w:t>
            </w:r>
            <w:r>
              <w:t>噪声</w:t>
            </w:r>
          </w:p>
        </w:tc>
        <w:tc>
          <w:tcPr>
            <w:tcW w:w="3165" w:type="dxa"/>
            <w:tcBorders>
              <w:tl2br w:val="nil"/>
              <w:tr2bl w:val="nil"/>
            </w:tcBorders>
            <w:vAlign w:val="center"/>
          </w:tcPr>
          <w:p>
            <w:pPr>
              <w:spacing w:line="240" w:lineRule="exact"/>
              <w:ind w:left="-105" w:leftChars="-50" w:right="-105" w:rightChars="-50"/>
              <w:jc w:val="center"/>
            </w:pPr>
            <w:r>
              <w:t>每季度一次、昼夜</w:t>
            </w:r>
          </w:p>
        </w:tc>
        <w:tc>
          <w:tcPr>
            <w:tcW w:w="1800" w:type="dxa"/>
            <w:vMerge w:val="restart"/>
            <w:tcBorders>
              <w:tl2br w:val="nil"/>
              <w:tr2bl w:val="nil"/>
            </w:tcBorders>
            <w:vAlign w:val="center"/>
          </w:tcPr>
          <w:p>
            <w:pPr>
              <w:spacing w:line="300" w:lineRule="exact"/>
              <w:ind w:left="-105" w:leftChars="-50" w:right="-105" w:rightChars="-50"/>
              <w:jc w:val="center"/>
            </w:pPr>
            <w:r>
              <w:t>按环境监测技术规范要求</w:t>
            </w:r>
          </w:p>
        </w:tc>
        <w:tc>
          <w:tcPr>
            <w:tcW w:w="2051" w:type="dxa"/>
            <w:vMerge w:val="restart"/>
            <w:tcBorders>
              <w:tl2br w:val="nil"/>
              <w:tr2bl w:val="nil"/>
            </w:tcBorders>
            <w:vAlign w:val="center"/>
          </w:tcPr>
          <w:p>
            <w:pPr>
              <w:spacing w:line="300" w:lineRule="exact"/>
              <w:ind w:left="-105" w:leftChars="-50" w:right="-105" w:rightChars="-50"/>
              <w:jc w:val="center"/>
            </w:pPr>
            <w:r>
              <w:t>委托县环境监测站监测，建立监测数据库，记录存档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3" w:hRule="exact"/>
          <w:jc w:val="center"/>
        </w:trPr>
        <w:tc>
          <w:tcPr>
            <w:tcW w:w="2280" w:type="dxa"/>
            <w:vMerge w:val="continue"/>
            <w:tcBorders>
              <w:tl2br w:val="nil"/>
              <w:tr2bl w:val="nil"/>
            </w:tcBorders>
            <w:vAlign w:val="center"/>
          </w:tcPr>
          <w:p>
            <w:pPr>
              <w:spacing w:line="240" w:lineRule="exact"/>
              <w:ind w:left="-105" w:leftChars="-50" w:right="-105" w:rightChars="-50"/>
              <w:jc w:val="center"/>
            </w:pPr>
          </w:p>
        </w:tc>
        <w:tc>
          <w:tcPr>
            <w:tcW w:w="1631" w:type="dxa"/>
            <w:vMerge w:val="continue"/>
            <w:tcBorders>
              <w:tl2br w:val="nil"/>
              <w:tr2bl w:val="nil"/>
            </w:tcBorders>
            <w:vAlign w:val="center"/>
          </w:tcPr>
          <w:p>
            <w:pPr>
              <w:spacing w:line="240" w:lineRule="exact"/>
              <w:ind w:left="-105" w:leftChars="-50" w:right="-105" w:rightChars="-50"/>
              <w:jc w:val="center"/>
            </w:pPr>
          </w:p>
        </w:tc>
        <w:tc>
          <w:tcPr>
            <w:tcW w:w="1995" w:type="dxa"/>
            <w:tcBorders>
              <w:tl2br w:val="nil"/>
              <w:tr2bl w:val="nil"/>
            </w:tcBorders>
            <w:vAlign w:val="center"/>
          </w:tcPr>
          <w:p>
            <w:pPr>
              <w:spacing w:line="240" w:lineRule="exact"/>
              <w:ind w:left="-105" w:leftChars="-50" w:right="-105" w:rightChars="-50"/>
              <w:jc w:val="center"/>
            </w:pPr>
            <w:r>
              <w:t>主要设备</w:t>
            </w:r>
          </w:p>
          <w:p>
            <w:pPr>
              <w:spacing w:line="240" w:lineRule="exact"/>
              <w:ind w:left="-105" w:leftChars="-50" w:right="-105" w:rightChars="-50"/>
              <w:jc w:val="center"/>
            </w:pPr>
            <w:r>
              <w:t>噪声源</w:t>
            </w:r>
          </w:p>
        </w:tc>
        <w:tc>
          <w:tcPr>
            <w:tcW w:w="3165" w:type="dxa"/>
            <w:tcBorders>
              <w:tl2br w:val="nil"/>
              <w:tr2bl w:val="nil"/>
            </w:tcBorders>
            <w:vAlign w:val="center"/>
          </w:tcPr>
          <w:p>
            <w:pPr>
              <w:spacing w:line="240" w:lineRule="exact"/>
              <w:ind w:left="-105" w:leftChars="-50" w:right="-105" w:rightChars="-50"/>
              <w:jc w:val="center"/>
            </w:pPr>
            <w:r>
              <w:t>每季度测一次设备噪声A声级</w:t>
            </w:r>
          </w:p>
        </w:tc>
        <w:tc>
          <w:tcPr>
            <w:tcW w:w="1800" w:type="dxa"/>
            <w:vMerge w:val="continue"/>
            <w:tcBorders>
              <w:tl2br w:val="nil"/>
              <w:tr2bl w:val="nil"/>
            </w:tcBorders>
            <w:vAlign w:val="center"/>
          </w:tcPr>
          <w:p>
            <w:pPr>
              <w:spacing w:line="300" w:lineRule="exact"/>
              <w:ind w:left="-105" w:leftChars="-50" w:right="-105" w:rightChars="-50"/>
              <w:jc w:val="center"/>
            </w:pPr>
          </w:p>
        </w:tc>
        <w:tc>
          <w:tcPr>
            <w:tcW w:w="2051" w:type="dxa"/>
            <w:vMerge w:val="continue"/>
            <w:tcBorders>
              <w:tl2br w:val="nil"/>
              <w:tr2bl w:val="nil"/>
            </w:tcBorders>
            <w:vAlign w:val="center"/>
          </w:tcPr>
          <w:p>
            <w:pPr>
              <w:spacing w:line="300" w:lineRule="exact"/>
              <w:ind w:left="-105" w:leftChars="-50" w:right="-105" w:rightChars="-50"/>
              <w:jc w:val="center"/>
            </w:pPr>
          </w:p>
        </w:tc>
      </w:tr>
    </w:tbl>
    <w:p>
      <w:pPr>
        <w:pStyle w:val="2"/>
      </w:pPr>
    </w:p>
    <w:p>
      <w:pPr>
        <w:spacing w:line="480" w:lineRule="exact"/>
        <w:ind w:firstLine="480" w:firstLineChars="200"/>
        <w:rPr>
          <w:sz w:val="24"/>
        </w:rPr>
      </w:pPr>
    </w:p>
    <w:p>
      <w:pPr>
        <w:spacing w:line="480" w:lineRule="exact"/>
        <w:ind w:firstLine="482" w:firstLineChars="200"/>
        <w:rPr>
          <w:rFonts w:hint="eastAsia"/>
          <w:b/>
          <w:sz w:val="24"/>
        </w:rPr>
        <w:sectPr>
          <w:pgSz w:w="16840" w:h="11907" w:orient="landscape"/>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spacing w:line="480" w:lineRule="exact"/>
        <w:ind w:firstLine="482" w:firstLineChars="200"/>
        <w:rPr>
          <w:b/>
          <w:sz w:val="24"/>
        </w:rPr>
      </w:pPr>
      <w:r>
        <w:rPr>
          <w:rFonts w:hint="eastAsia"/>
          <w:b/>
          <w:sz w:val="24"/>
        </w:rPr>
        <w:t>8</w:t>
      </w:r>
      <w:r>
        <w:rPr>
          <w:b/>
          <w:sz w:val="24"/>
        </w:rPr>
        <w:t>.2.3排污口规范化设置</w:t>
      </w:r>
    </w:p>
    <w:p>
      <w:pPr>
        <w:spacing w:line="480" w:lineRule="exact"/>
        <w:ind w:firstLine="480" w:firstLineChars="200"/>
        <w:rPr>
          <w:sz w:val="24"/>
        </w:rPr>
      </w:pPr>
      <w:r>
        <w:rPr>
          <w:sz w:val="24"/>
        </w:rPr>
        <w:t>废水总排放口设置具备采样和流量测定条件的采样口，设在</w:t>
      </w:r>
      <w:r>
        <w:rPr>
          <w:rFonts w:hint="eastAsia"/>
          <w:sz w:val="24"/>
        </w:rPr>
        <w:t>院</w:t>
      </w:r>
      <w:r>
        <w:rPr>
          <w:sz w:val="24"/>
        </w:rPr>
        <w:t>内或</w:t>
      </w:r>
      <w:r>
        <w:rPr>
          <w:rFonts w:hint="eastAsia"/>
          <w:sz w:val="24"/>
        </w:rPr>
        <w:t>场</w:t>
      </w:r>
      <w:r>
        <w:rPr>
          <w:sz w:val="24"/>
        </w:rPr>
        <w:t>界外10米内，</w:t>
      </w:r>
      <w:r>
        <w:rPr>
          <w:rFonts w:hint="eastAsia"/>
          <w:sz w:val="24"/>
        </w:rPr>
        <w:t>污水站预处理的废水应规范贮存，不得对外排放</w:t>
      </w:r>
      <w:r>
        <w:rPr>
          <w:sz w:val="24"/>
        </w:rPr>
        <w:t>。污染物排放口（源）及固体废物贮存、堆放场必须按照国家标准《环境保护图形标志》（GB15562.1-1995）的规定设置与之相适应的环境保护图形标志牌，环境保护图形标志牌设置位置应距污染物排放口（源）、固体废物贮存（堆放）场或采样点较近且醒目处，并能长久保留。同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pPr>
        <w:spacing w:line="480" w:lineRule="exact"/>
        <w:ind w:firstLine="482" w:firstLineChars="200"/>
        <w:rPr>
          <w:b/>
          <w:sz w:val="24"/>
        </w:rPr>
      </w:pPr>
      <w:r>
        <w:rPr>
          <w:rFonts w:hint="eastAsia"/>
          <w:b/>
          <w:sz w:val="24"/>
        </w:rPr>
        <w:t>8</w:t>
      </w:r>
      <w:r>
        <w:rPr>
          <w:b/>
          <w:sz w:val="24"/>
        </w:rPr>
        <w:t>.2.4环境保护图形标志</w:t>
      </w:r>
    </w:p>
    <w:p>
      <w:pPr>
        <w:spacing w:line="480" w:lineRule="exact"/>
        <w:ind w:firstLine="480" w:firstLineChars="200"/>
        <w:rPr>
          <w:sz w:val="24"/>
        </w:rPr>
      </w:pPr>
      <w:r>
        <w:rPr>
          <w:sz w:val="24"/>
        </w:rPr>
        <w:t>在项目区的废气排放口、噪声排放源、固体废物贮存处置场应设置环境保护图形标志，图形符号分为提示图形和警告图形符号两种，分别按GB15562.1-1995、GB15562.2-1995执行。环境境保护图形符号见表</w:t>
      </w:r>
      <w:r>
        <w:rPr>
          <w:rFonts w:hint="eastAsia"/>
          <w:sz w:val="24"/>
        </w:rPr>
        <w:t>8</w:t>
      </w:r>
      <w:r>
        <w:rPr>
          <w:rFonts w:hint="eastAsia"/>
          <w:sz w:val="24"/>
          <w:lang w:val="en-US" w:eastAsia="zh-CN"/>
        </w:rPr>
        <w:t>.</w:t>
      </w:r>
      <w:r>
        <w:rPr>
          <w:sz w:val="24"/>
        </w:rPr>
        <w:t>2-</w:t>
      </w:r>
      <w:r>
        <w:rPr>
          <w:rFonts w:hint="eastAsia"/>
          <w:sz w:val="24"/>
          <w:lang w:val="en-US" w:eastAsia="zh-CN"/>
        </w:rPr>
        <w:t>4</w:t>
      </w:r>
      <w:r>
        <w:rPr>
          <w:sz w:val="24"/>
        </w:rPr>
        <w:t>。环境境保护图形标志的形状及颜色见表</w:t>
      </w:r>
      <w:r>
        <w:rPr>
          <w:rFonts w:hint="eastAsia"/>
          <w:sz w:val="24"/>
        </w:rPr>
        <w:t>8</w:t>
      </w:r>
      <w:r>
        <w:rPr>
          <w:rFonts w:hint="eastAsia"/>
          <w:sz w:val="24"/>
          <w:lang w:val="en-US" w:eastAsia="zh-CN"/>
        </w:rPr>
        <w:t>.</w:t>
      </w:r>
      <w:r>
        <w:rPr>
          <w:sz w:val="24"/>
        </w:rPr>
        <w:t>2-</w:t>
      </w:r>
      <w:r>
        <w:rPr>
          <w:rFonts w:hint="eastAsia"/>
          <w:sz w:val="24"/>
          <w:lang w:val="en-US" w:eastAsia="zh-CN"/>
        </w:rPr>
        <w:t>5</w:t>
      </w:r>
      <w:r>
        <w:rPr>
          <w:sz w:val="24"/>
        </w:rPr>
        <w:t>。</w:t>
      </w:r>
    </w:p>
    <w:p>
      <w:pPr>
        <w:spacing w:line="480" w:lineRule="exact"/>
        <w:jc w:val="center"/>
        <w:rPr>
          <w:b/>
          <w:sz w:val="24"/>
        </w:rPr>
      </w:pPr>
      <w:r>
        <w:rPr>
          <w:b/>
          <w:sz w:val="24"/>
        </w:rPr>
        <w:t>表</w:t>
      </w:r>
      <w:r>
        <w:rPr>
          <w:rFonts w:hint="eastAsia"/>
          <w:b/>
          <w:sz w:val="24"/>
        </w:rPr>
        <w:t>8</w:t>
      </w:r>
      <w:r>
        <w:rPr>
          <w:rFonts w:hint="eastAsia"/>
          <w:b/>
          <w:sz w:val="24"/>
          <w:lang w:val="en-US" w:eastAsia="zh-CN"/>
        </w:rPr>
        <w:t>.</w:t>
      </w:r>
      <w:r>
        <w:rPr>
          <w:b/>
          <w:sz w:val="24"/>
        </w:rPr>
        <w:t>2</w:t>
      </w:r>
      <w:r>
        <w:rPr>
          <w:b/>
          <w:sz w:val="24"/>
        </w:rPr>
        <w:noBreakHyphen/>
      </w:r>
      <w:r>
        <w:rPr>
          <w:rFonts w:hint="eastAsia"/>
          <w:b/>
          <w:sz w:val="24"/>
          <w:lang w:val="en-US" w:eastAsia="zh-CN"/>
        </w:rPr>
        <w:t>4</w:t>
      </w:r>
      <w:r>
        <w:rPr>
          <w:b/>
          <w:sz w:val="24"/>
        </w:rPr>
        <w:t xml:space="preserve">  本项目环境保护图形符号表</w:t>
      </w:r>
    </w:p>
    <w:tbl>
      <w:tblPr>
        <w:tblStyle w:val="22"/>
        <w:tblW w:w="850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943"/>
        <w:gridCol w:w="1943"/>
        <w:gridCol w:w="1943"/>
        <w:gridCol w:w="19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685" w:type="dxa"/>
            <w:tcBorders>
              <w:tl2br w:val="nil"/>
              <w:tr2bl w:val="nil"/>
            </w:tcBorders>
            <w:noWrap w:val="0"/>
            <w:vAlign w:val="center"/>
          </w:tcPr>
          <w:p>
            <w:pPr>
              <w:jc w:val="center"/>
            </w:pPr>
            <w:r>
              <w:t>序号</w:t>
            </w:r>
          </w:p>
        </w:tc>
        <w:tc>
          <w:tcPr>
            <w:tcW w:w="1943" w:type="dxa"/>
            <w:tcBorders>
              <w:tl2br w:val="nil"/>
              <w:tr2bl w:val="nil"/>
            </w:tcBorders>
            <w:noWrap w:val="0"/>
            <w:vAlign w:val="center"/>
          </w:tcPr>
          <w:p>
            <w:pPr>
              <w:jc w:val="center"/>
            </w:pPr>
            <w:r>
              <w:t>提示图形符号</w:t>
            </w:r>
          </w:p>
        </w:tc>
        <w:tc>
          <w:tcPr>
            <w:tcW w:w="1943" w:type="dxa"/>
            <w:tcBorders>
              <w:tl2br w:val="nil"/>
              <w:tr2bl w:val="nil"/>
            </w:tcBorders>
            <w:noWrap w:val="0"/>
            <w:vAlign w:val="center"/>
          </w:tcPr>
          <w:p>
            <w:pPr>
              <w:jc w:val="center"/>
            </w:pPr>
            <w:r>
              <w:t>警告图形符号</w:t>
            </w:r>
          </w:p>
        </w:tc>
        <w:tc>
          <w:tcPr>
            <w:tcW w:w="1943" w:type="dxa"/>
            <w:tcBorders>
              <w:tl2br w:val="nil"/>
              <w:tr2bl w:val="nil"/>
            </w:tcBorders>
            <w:noWrap w:val="0"/>
            <w:vAlign w:val="center"/>
          </w:tcPr>
          <w:p>
            <w:pPr>
              <w:jc w:val="center"/>
            </w:pPr>
            <w:r>
              <w:t>名 称</w:t>
            </w:r>
          </w:p>
        </w:tc>
        <w:tc>
          <w:tcPr>
            <w:tcW w:w="1991" w:type="dxa"/>
            <w:tcBorders>
              <w:tl2br w:val="nil"/>
              <w:tr2bl w:val="nil"/>
            </w:tcBorders>
            <w:noWrap w:val="0"/>
            <w:vAlign w:val="center"/>
          </w:tcPr>
          <w:p>
            <w:pPr>
              <w:jc w:val="center"/>
            </w:pPr>
            <w:r>
              <w:t>功 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trPr>
        <w:tc>
          <w:tcPr>
            <w:tcW w:w="685" w:type="dxa"/>
            <w:tcBorders>
              <w:tl2br w:val="nil"/>
              <w:tr2bl w:val="nil"/>
            </w:tcBorders>
            <w:noWrap w:val="0"/>
            <w:vAlign w:val="center"/>
          </w:tcPr>
          <w:p>
            <w:pPr>
              <w:jc w:val="center"/>
            </w:pPr>
            <w:r>
              <w:t>1</w:t>
            </w:r>
          </w:p>
        </w:tc>
        <w:tc>
          <w:tcPr>
            <w:tcW w:w="1943" w:type="dxa"/>
            <w:tcBorders>
              <w:tl2br w:val="nil"/>
              <w:tr2bl w:val="nil"/>
            </w:tcBorders>
            <w:noWrap w:val="0"/>
            <w:vAlign w:val="center"/>
          </w:tcPr>
          <w:p>
            <w:pPr>
              <w:jc w:val="center"/>
            </w:pPr>
            <w:r>
              <w:fldChar w:fldCharType="begin"/>
            </w:r>
            <w:r>
              <w:instrText xml:space="preserve"> INCLUDEPICTURE "http://www.jjj999.com/anquanbiaozhi/images/13001.gif" \* MERGEFORMAT </w:instrText>
            </w:r>
            <w:r>
              <w:fldChar w:fldCharType="separate"/>
            </w:r>
            <w:r>
              <w:drawing>
                <wp:inline distT="0" distB="0" distL="114300" distR="114300">
                  <wp:extent cx="854075" cy="854075"/>
                  <wp:effectExtent l="0" t="0" r="3175" b="3175"/>
                  <wp:docPr id="1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4"/>
                          <pic:cNvPicPr>
                            <a:picLocks noChangeAspect="1"/>
                          </pic:cNvPicPr>
                        </pic:nvPicPr>
                        <pic:blipFill>
                          <a:blip r:embed="rId73" r:link="rId74"/>
                          <a:stretch>
                            <a:fillRect/>
                          </a:stretch>
                        </pic:blipFill>
                        <pic:spPr>
                          <a:xfrm>
                            <a:off x="0" y="0"/>
                            <a:ext cx="854075" cy="854075"/>
                          </a:xfrm>
                          <a:prstGeom prst="rect">
                            <a:avLst/>
                          </a:prstGeom>
                          <a:noFill/>
                          <a:ln>
                            <a:noFill/>
                          </a:ln>
                        </pic:spPr>
                      </pic:pic>
                    </a:graphicData>
                  </a:graphic>
                </wp:inline>
              </w:drawing>
            </w:r>
            <w:r>
              <w:fldChar w:fldCharType="end"/>
            </w:r>
          </w:p>
        </w:tc>
        <w:tc>
          <w:tcPr>
            <w:tcW w:w="1943" w:type="dxa"/>
            <w:tcBorders>
              <w:tl2br w:val="nil"/>
              <w:tr2bl w:val="nil"/>
            </w:tcBorders>
            <w:noWrap w:val="0"/>
            <w:vAlign w:val="center"/>
          </w:tcPr>
          <w:p>
            <w:pPr>
              <w:jc w:val="center"/>
            </w:pPr>
            <w:r>
              <w:fldChar w:fldCharType="begin"/>
            </w:r>
            <w:r>
              <w:instrText xml:space="preserve"> INCLUDEPICTURE "http://www.jjj999.com/anquanbiaozhi/images/13002.gif" \* MERGEFORMAT </w:instrText>
            </w:r>
            <w:r>
              <w:fldChar w:fldCharType="separate"/>
            </w:r>
            <w:r>
              <w:drawing>
                <wp:inline distT="0" distB="0" distL="114300" distR="114300">
                  <wp:extent cx="956945" cy="852170"/>
                  <wp:effectExtent l="0" t="0" r="14605" b="5080"/>
                  <wp:docPr id="1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5"/>
                          <pic:cNvPicPr>
                            <a:picLocks noChangeAspect="1"/>
                          </pic:cNvPicPr>
                        </pic:nvPicPr>
                        <pic:blipFill>
                          <a:blip r:embed="rId75" r:link="rId76"/>
                          <a:stretch>
                            <a:fillRect/>
                          </a:stretch>
                        </pic:blipFill>
                        <pic:spPr>
                          <a:xfrm>
                            <a:off x="0" y="0"/>
                            <a:ext cx="956945" cy="852170"/>
                          </a:xfrm>
                          <a:prstGeom prst="rect">
                            <a:avLst/>
                          </a:prstGeom>
                          <a:noFill/>
                          <a:ln>
                            <a:noFill/>
                          </a:ln>
                        </pic:spPr>
                      </pic:pic>
                    </a:graphicData>
                  </a:graphic>
                </wp:inline>
              </w:drawing>
            </w:r>
            <w:r>
              <w:fldChar w:fldCharType="end"/>
            </w:r>
          </w:p>
        </w:tc>
        <w:tc>
          <w:tcPr>
            <w:tcW w:w="1943" w:type="dxa"/>
            <w:tcBorders>
              <w:tl2br w:val="nil"/>
              <w:tr2bl w:val="nil"/>
            </w:tcBorders>
            <w:noWrap w:val="0"/>
            <w:vAlign w:val="center"/>
          </w:tcPr>
          <w:p>
            <w:pPr>
              <w:jc w:val="center"/>
            </w:pPr>
            <w:r>
              <w:t>污水排放口</w:t>
            </w:r>
          </w:p>
        </w:tc>
        <w:tc>
          <w:tcPr>
            <w:tcW w:w="1991" w:type="dxa"/>
            <w:tcBorders>
              <w:tl2br w:val="nil"/>
              <w:tr2bl w:val="nil"/>
            </w:tcBorders>
            <w:noWrap w:val="0"/>
            <w:vAlign w:val="center"/>
          </w:tcPr>
          <w:p>
            <w:pPr>
              <w:jc w:val="center"/>
            </w:pPr>
            <w:r>
              <w:t>表示污水向水体排放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43" w:hRule="atLeast"/>
        </w:trPr>
        <w:tc>
          <w:tcPr>
            <w:tcW w:w="685" w:type="dxa"/>
            <w:tcBorders>
              <w:tl2br w:val="nil"/>
              <w:tr2bl w:val="nil"/>
            </w:tcBorders>
            <w:noWrap w:val="0"/>
            <w:vAlign w:val="center"/>
          </w:tcPr>
          <w:p>
            <w:pPr>
              <w:jc w:val="center"/>
            </w:pPr>
            <w:r>
              <w:t>2</w:t>
            </w:r>
          </w:p>
        </w:tc>
        <w:tc>
          <w:tcPr>
            <w:tcW w:w="1943" w:type="dxa"/>
            <w:tcBorders>
              <w:tl2br w:val="nil"/>
              <w:tr2bl w:val="nil"/>
            </w:tcBorders>
            <w:noWrap w:val="0"/>
            <w:vAlign w:val="center"/>
          </w:tcPr>
          <w:p>
            <w:pPr>
              <w:jc w:val="center"/>
            </w:pPr>
            <w:r>
              <w:fldChar w:fldCharType="begin"/>
            </w:r>
            <w:r>
              <w:instrText xml:space="preserve"> INCLUDEPICTURE "http://www.jjj999.com/anquanbiaozhi/images/14001.gif" \* MERGEFORMAT </w:instrText>
            </w:r>
            <w:r>
              <w:fldChar w:fldCharType="separate"/>
            </w:r>
            <w:r>
              <w:drawing>
                <wp:inline distT="0" distB="0" distL="114300" distR="114300">
                  <wp:extent cx="854075" cy="854075"/>
                  <wp:effectExtent l="0" t="0" r="3175" b="3175"/>
                  <wp:docPr id="13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8"/>
                          <pic:cNvPicPr>
                            <a:picLocks noChangeAspect="1"/>
                          </pic:cNvPicPr>
                        </pic:nvPicPr>
                        <pic:blipFill>
                          <a:blip r:embed="rId77" r:link="rId78"/>
                          <a:stretch>
                            <a:fillRect/>
                          </a:stretch>
                        </pic:blipFill>
                        <pic:spPr>
                          <a:xfrm>
                            <a:off x="0" y="0"/>
                            <a:ext cx="854075" cy="854075"/>
                          </a:xfrm>
                          <a:prstGeom prst="rect">
                            <a:avLst/>
                          </a:prstGeom>
                          <a:noFill/>
                          <a:ln>
                            <a:noFill/>
                          </a:ln>
                        </pic:spPr>
                      </pic:pic>
                    </a:graphicData>
                  </a:graphic>
                </wp:inline>
              </w:drawing>
            </w:r>
            <w:r>
              <w:fldChar w:fldCharType="end"/>
            </w:r>
          </w:p>
        </w:tc>
        <w:tc>
          <w:tcPr>
            <w:tcW w:w="1943" w:type="dxa"/>
            <w:tcBorders>
              <w:tl2br w:val="nil"/>
              <w:tr2bl w:val="nil"/>
            </w:tcBorders>
            <w:noWrap w:val="0"/>
            <w:vAlign w:val="center"/>
          </w:tcPr>
          <w:p>
            <w:pPr>
              <w:jc w:val="center"/>
            </w:pPr>
            <w:r>
              <w:fldChar w:fldCharType="begin"/>
            </w:r>
            <w:r>
              <w:instrText xml:space="preserve"> INCLUDEPICTURE "http://www.jjj999.com/anquanbiaozhi/images/14002.gif" \* MERGEFORMAT </w:instrText>
            </w:r>
            <w:r>
              <w:fldChar w:fldCharType="separate"/>
            </w:r>
            <w:r>
              <w:drawing>
                <wp:inline distT="0" distB="0" distL="114300" distR="114300">
                  <wp:extent cx="957580" cy="854710"/>
                  <wp:effectExtent l="0" t="0" r="13970" b="2540"/>
                  <wp:docPr id="1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9"/>
                          <pic:cNvPicPr>
                            <a:picLocks noChangeAspect="1"/>
                          </pic:cNvPicPr>
                        </pic:nvPicPr>
                        <pic:blipFill>
                          <a:blip r:embed="rId79" r:link="rId80"/>
                          <a:stretch>
                            <a:fillRect/>
                          </a:stretch>
                        </pic:blipFill>
                        <pic:spPr>
                          <a:xfrm>
                            <a:off x="0" y="0"/>
                            <a:ext cx="957580" cy="854710"/>
                          </a:xfrm>
                          <a:prstGeom prst="rect">
                            <a:avLst/>
                          </a:prstGeom>
                          <a:noFill/>
                          <a:ln>
                            <a:noFill/>
                          </a:ln>
                        </pic:spPr>
                      </pic:pic>
                    </a:graphicData>
                  </a:graphic>
                </wp:inline>
              </w:drawing>
            </w:r>
            <w:r>
              <w:fldChar w:fldCharType="end"/>
            </w:r>
          </w:p>
        </w:tc>
        <w:tc>
          <w:tcPr>
            <w:tcW w:w="1943" w:type="dxa"/>
            <w:tcBorders>
              <w:tl2br w:val="nil"/>
              <w:tr2bl w:val="nil"/>
            </w:tcBorders>
            <w:noWrap w:val="0"/>
            <w:vAlign w:val="center"/>
          </w:tcPr>
          <w:p>
            <w:pPr>
              <w:jc w:val="center"/>
            </w:pPr>
            <w:r>
              <w:t>一般固体废物</w:t>
            </w:r>
          </w:p>
        </w:tc>
        <w:tc>
          <w:tcPr>
            <w:tcW w:w="1991" w:type="dxa"/>
            <w:tcBorders>
              <w:tl2br w:val="nil"/>
              <w:tr2bl w:val="nil"/>
            </w:tcBorders>
            <w:noWrap w:val="0"/>
            <w:vAlign w:val="center"/>
          </w:tcPr>
          <w:p>
            <w:pPr>
              <w:jc w:val="center"/>
            </w:pPr>
            <w:r>
              <w:t>表示一般固体废物贮存、处置场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53" w:hRule="atLeast"/>
        </w:trPr>
        <w:tc>
          <w:tcPr>
            <w:tcW w:w="685" w:type="dxa"/>
            <w:tcBorders>
              <w:tl2br w:val="nil"/>
              <w:tr2bl w:val="nil"/>
            </w:tcBorders>
            <w:noWrap w:val="0"/>
            <w:vAlign w:val="center"/>
          </w:tcPr>
          <w:p>
            <w:pPr>
              <w:jc w:val="center"/>
              <w:rPr>
                <w:rFonts w:hint="eastAsia" w:eastAsia="宋体"/>
                <w:lang w:val="en-US" w:eastAsia="zh-CN"/>
              </w:rPr>
            </w:pPr>
            <w:r>
              <w:rPr>
                <w:rFonts w:hint="eastAsia"/>
                <w:lang w:val="en-US" w:eastAsia="zh-CN"/>
              </w:rPr>
              <w:t>3</w:t>
            </w:r>
          </w:p>
        </w:tc>
        <w:tc>
          <w:tcPr>
            <w:tcW w:w="1943" w:type="dxa"/>
            <w:tcBorders>
              <w:tl2br w:val="nil"/>
              <w:tr2bl w:val="nil"/>
            </w:tcBorders>
            <w:noWrap w:val="0"/>
            <w:vAlign w:val="center"/>
          </w:tcPr>
          <w:p>
            <w:pPr>
              <w:jc w:val="center"/>
            </w:pPr>
            <w:r>
              <w:drawing>
                <wp:inline distT="0" distB="0" distL="114300" distR="114300">
                  <wp:extent cx="857250" cy="857250"/>
                  <wp:effectExtent l="0" t="0" r="0" b="0"/>
                  <wp:docPr id="144" name="图片 31" descr="mar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1" descr="mark_3"/>
                          <pic:cNvPicPr>
                            <a:picLocks noChangeAspect="1"/>
                          </pic:cNvPicPr>
                        </pic:nvPicPr>
                        <pic:blipFill>
                          <a:blip r:embed="rId81"/>
                          <a:stretch>
                            <a:fillRect/>
                          </a:stretch>
                        </pic:blipFill>
                        <pic:spPr>
                          <a:xfrm>
                            <a:off x="0" y="0"/>
                            <a:ext cx="857250" cy="857250"/>
                          </a:xfrm>
                          <a:prstGeom prst="rect">
                            <a:avLst/>
                          </a:prstGeom>
                          <a:noFill/>
                          <a:ln>
                            <a:noFill/>
                          </a:ln>
                        </pic:spPr>
                      </pic:pic>
                    </a:graphicData>
                  </a:graphic>
                </wp:inline>
              </w:drawing>
            </w:r>
          </w:p>
        </w:tc>
        <w:tc>
          <w:tcPr>
            <w:tcW w:w="1943" w:type="dxa"/>
            <w:tcBorders>
              <w:tl2br w:val="nil"/>
              <w:tr2bl w:val="nil"/>
            </w:tcBorders>
            <w:noWrap w:val="0"/>
            <w:vAlign w:val="center"/>
          </w:tcPr>
          <w:p>
            <w:pPr>
              <w:jc w:val="center"/>
            </w:pPr>
            <w:r>
              <w:drawing>
                <wp:inline distT="0" distB="0" distL="114300" distR="114300">
                  <wp:extent cx="957580" cy="850900"/>
                  <wp:effectExtent l="0" t="0" r="13970" b="6350"/>
                  <wp:docPr id="173" name="图片 32" descr="mark_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32" descr="mark_j3"/>
                          <pic:cNvPicPr>
                            <a:picLocks noChangeAspect="1"/>
                          </pic:cNvPicPr>
                        </pic:nvPicPr>
                        <pic:blipFill>
                          <a:blip r:embed="rId82"/>
                          <a:stretch>
                            <a:fillRect/>
                          </a:stretch>
                        </pic:blipFill>
                        <pic:spPr>
                          <a:xfrm>
                            <a:off x="0" y="0"/>
                            <a:ext cx="957580" cy="850900"/>
                          </a:xfrm>
                          <a:prstGeom prst="rect">
                            <a:avLst/>
                          </a:prstGeom>
                          <a:noFill/>
                          <a:ln>
                            <a:noFill/>
                          </a:ln>
                        </pic:spPr>
                      </pic:pic>
                    </a:graphicData>
                  </a:graphic>
                </wp:inline>
              </w:drawing>
            </w:r>
          </w:p>
        </w:tc>
        <w:tc>
          <w:tcPr>
            <w:tcW w:w="1943" w:type="dxa"/>
            <w:tcBorders>
              <w:tl2br w:val="nil"/>
              <w:tr2bl w:val="nil"/>
            </w:tcBorders>
            <w:noWrap w:val="0"/>
            <w:vAlign w:val="center"/>
          </w:tcPr>
          <w:p>
            <w:pPr>
              <w:jc w:val="center"/>
            </w:pPr>
            <w:r>
              <w:t>噪声排放源</w:t>
            </w:r>
          </w:p>
        </w:tc>
        <w:tc>
          <w:tcPr>
            <w:tcW w:w="1991" w:type="dxa"/>
            <w:tcBorders>
              <w:tl2br w:val="nil"/>
              <w:tr2bl w:val="nil"/>
            </w:tcBorders>
            <w:noWrap w:val="0"/>
            <w:vAlign w:val="center"/>
          </w:tcPr>
          <w:p>
            <w:pPr>
              <w:jc w:val="center"/>
            </w:pPr>
            <w:r>
              <w:t>表示噪声向</w:t>
            </w:r>
          </w:p>
          <w:p>
            <w:pPr>
              <w:jc w:val="center"/>
            </w:pPr>
            <w:r>
              <w:t>外环境排放</w:t>
            </w:r>
          </w:p>
        </w:tc>
      </w:tr>
    </w:tbl>
    <w:p>
      <w:pPr>
        <w:spacing w:line="480" w:lineRule="exact"/>
        <w:jc w:val="center"/>
        <w:rPr>
          <w:b/>
          <w:sz w:val="24"/>
        </w:rPr>
      </w:pPr>
    </w:p>
    <w:p>
      <w:pPr>
        <w:spacing w:line="480" w:lineRule="exact"/>
        <w:jc w:val="center"/>
        <w:rPr>
          <w:b/>
          <w:sz w:val="24"/>
        </w:rPr>
      </w:pPr>
    </w:p>
    <w:p>
      <w:pPr>
        <w:spacing w:line="480" w:lineRule="exact"/>
        <w:jc w:val="center"/>
        <w:rPr>
          <w:b/>
          <w:sz w:val="24"/>
        </w:rPr>
      </w:pPr>
      <w:r>
        <w:rPr>
          <w:b/>
          <w:sz w:val="24"/>
        </w:rPr>
        <w:t xml:space="preserve">表 </w:t>
      </w:r>
      <w:r>
        <w:rPr>
          <w:rFonts w:hint="eastAsia"/>
          <w:b/>
          <w:sz w:val="24"/>
        </w:rPr>
        <w:t>8</w:t>
      </w:r>
      <w:r>
        <w:rPr>
          <w:rFonts w:hint="eastAsia"/>
          <w:b/>
          <w:sz w:val="24"/>
          <w:lang w:val="en-US" w:eastAsia="zh-CN"/>
        </w:rPr>
        <w:t>.</w:t>
      </w:r>
      <w:r>
        <w:rPr>
          <w:b/>
          <w:sz w:val="24"/>
        </w:rPr>
        <w:t>2</w:t>
      </w:r>
      <w:r>
        <w:rPr>
          <w:b/>
          <w:sz w:val="24"/>
        </w:rPr>
        <w:noBreakHyphen/>
      </w:r>
      <w:r>
        <w:rPr>
          <w:rFonts w:hint="eastAsia"/>
          <w:b/>
          <w:sz w:val="24"/>
          <w:lang w:val="en-US" w:eastAsia="zh-CN"/>
        </w:rPr>
        <w:t>5</w:t>
      </w:r>
      <w:r>
        <w:rPr>
          <w:b/>
          <w:sz w:val="24"/>
        </w:rPr>
        <w:t xml:space="preserve"> 环境保护图形标志的形状及颜色表</w:t>
      </w:r>
    </w:p>
    <w:tbl>
      <w:tblPr>
        <w:tblStyle w:val="22"/>
        <w:tblW w:w="850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2126"/>
        <w:gridCol w:w="2126"/>
        <w:gridCol w:w="21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21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rPr>
            </w:pPr>
            <w:r>
              <w:rPr>
                <w:b/>
              </w:rPr>
              <w:t>标志名称</w:t>
            </w:r>
          </w:p>
        </w:tc>
        <w:tc>
          <w:tcPr>
            <w:tcW w:w="2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rPr>
            </w:pPr>
            <w:r>
              <w:rPr>
                <w:b/>
              </w:rPr>
              <w:t>形 状</w:t>
            </w:r>
          </w:p>
        </w:tc>
        <w:tc>
          <w:tcPr>
            <w:tcW w:w="2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rPr>
            </w:pPr>
            <w:r>
              <w:rPr>
                <w:b/>
              </w:rPr>
              <w:t>背景颜色</w:t>
            </w:r>
          </w:p>
        </w:tc>
        <w:tc>
          <w:tcPr>
            <w:tcW w:w="2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rPr>
            </w:pPr>
            <w:r>
              <w:rPr>
                <w:b/>
              </w:rPr>
              <w:t>图形颜色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21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警告标志</w:t>
            </w:r>
          </w:p>
        </w:tc>
        <w:tc>
          <w:tcPr>
            <w:tcW w:w="2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三角形边框</w:t>
            </w:r>
          </w:p>
        </w:tc>
        <w:tc>
          <w:tcPr>
            <w:tcW w:w="2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黄色</w:t>
            </w:r>
          </w:p>
        </w:tc>
        <w:tc>
          <w:tcPr>
            <w:tcW w:w="2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黑色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21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提示标志</w:t>
            </w:r>
          </w:p>
        </w:tc>
        <w:tc>
          <w:tcPr>
            <w:tcW w:w="2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正方形边框</w:t>
            </w:r>
          </w:p>
        </w:tc>
        <w:tc>
          <w:tcPr>
            <w:tcW w:w="2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绿色</w:t>
            </w:r>
          </w:p>
        </w:tc>
        <w:tc>
          <w:tcPr>
            <w:tcW w:w="2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白色</w:t>
            </w:r>
          </w:p>
        </w:tc>
      </w:tr>
    </w:tbl>
    <w:p>
      <w:pPr>
        <w:ind w:firstLine="480" w:firstLineChars="200"/>
        <w:rPr>
          <w:sz w:val="24"/>
        </w:rPr>
      </w:pPr>
      <w:r>
        <w:rPr>
          <w:sz w:val="24"/>
        </w:rPr>
        <w:t>固体废物堆放场所，必须有防火、防腐蚀、防流失等措施，并应设置标志牌。</w:t>
      </w:r>
    </w:p>
    <w:p>
      <w:pPr>
        <w:ind w:firstLine="480" w:firstLineChars="200"/>
        <w:rPr>
          <w:b/>
          <w:sz w:val="24"/>
        </w:rPr>
      </w:pPr>
      <w:r>
        <w:rPr>
          <w:sz w:val="24"/>
        </w:rPr>
        <w:t>建设项目周围防火距离范围内必须有明显的防火标志。</w:t>
      </w:r>
    </w:p>
    <w:p>
      <w:pPr>
        <w:pStyle w:val="5"/>
        <w:rPr>
          <w:sz w:val="24"/>
          <w:szCs w:val="24"/>
        </w:rPr>
      </w:pPr>
      <w:bookmarkStart w:id="271" w:name="_Toc532395351"/>
      <w:r>
        <w:rPr>
          <w:rFonts w:hint="eastAsia"/>
          <w:sz w:val="24"/>
          <w:szCs w:val="24"/>
        </w:rPr>
        <w:t>8.2.4</w:t>
      </w:r>
      <w:r>
        <w:rPr>
          <w:sz w:val="24"/>
          <w:szCs w:val="24"/>
        </w:rPr>
        <w:t>项目与排污许可证制度的衔接性分析</w:t>
      </w:r>
      <w:bookmarkEnd w:id="271"/>
    </w:p>
    <w:p>
      <w:pPr>
        <w:ind w:firstLine="480" w:firstLineChars="200"/>
        <w:textAlignment w:val="baseline"/>
        <w:rPr>
          <w:b/>
          <w:sz w:val="24"/>
        </w:rPr>
      </w:pPr>
      <w:r>
        <w:rPr>
          <w:bCs/>
          <w:sz w:val="24"/>
        </w:rPr>
        <w:t>排污许可证制度是指凡是需要向</w:t>
      </w:r>
      <w:r>
        <w:fldChar w:fldCharType="begin"/>
      </w:r>
      <w:r>
        <w:instrText xml:space="preserve"> HYPERLINK "https://baike.so.com/doc/664795-703739.html" \t "https://baike.so.com/doc/_blank" </w:instrText>
      </w:r>
      <w:r>
        <w:fldChar w:fldCharType="separate"/>
      </w:r>
      <w:r>
        <w:rPr>
          <w:bCs/>
          <w:sz w:val="24"/>
        </w:rPr>
        <w:t>环境</w:t>
      </w:r>
      <w:r>
        <w:rPr>
          <w:bCs/>
          <w:sz w:val="24"/>
        </w:rPr>
        <w:fldChar w:fldCharType="end"/>
      </w:r>
      <w:r>
        <w:rPr>
          <w:bCs/>
          <w:sz w:val="24"/>
        </w:rPr>
        <w:t>排放各种</w:t>
      </w:r>
      <w:r>
        <w:fldChar w:fldCharType="begin"/>
      </w:r>
      <w:r>
        <w:instrText xml:space="preserve"> HYPERLINK "https://baike.so.com/doc/5802831-6015629.html" \t "https://baike.so.com/doc/_blank" </w:instrText>
      </w:r>
      <w:r>
        <w:fldChar w:fldCharType="separate"/>
      </w:r>
      <w:r>
        <w:rPr>
          <w:bCs/>
          <w:sz w:val="24"/>
        </w:rPr>
        <w:t>污染物</w:t>
      </w:r>
      <w:r>
        <w:rPr>
          <w:bCs/>
          <w:sz w:val="24"/>
        </w:rPr>
        <w:fldChar w:fldCharType="end"/>
      </w:r>
      <w:r>
        <w:rPr>
          <w:bCs/>
          <w:sz w:val="24"/>
        </w:rPr>
        <w:t>的单位或个人，都必须事先向环境保护部门办理申领排污许可证手续，经环境保护部门批准获得排污许可证后方能向环境排放污染物的制度。</w:t>
      </w:r>
    </w:p>
    <w:p>
      <w:pPr>
        <w:ind w:firstLine="480" w:firstLineChars="200"/>
        <w:textAlignment w:val="baseline"/>
        <w:rPr>
          <w:bCs/>
          <w:sz w:val="24"/>
        </w:rPr>
      </w:pPr>
      <w:r>
        <w:rPr>
          <w:bCs/>
          <w:sz w:val="24"/>
        </w:rPr>
        <w:t>根据环境保护部令（第48号）排污许可证管理办法（试行）第三条：纳入固定污染源排污许可分类管理名录的企业事业单位和其他生产经营者（以下简称排污单位）应当按照规定的时限申请并取得排污许可证；未纳入固定污染源排污许可分类管理名录的排污单位，暂不需申请排污许可证。</w:t>
      </w:r>
    </w:p>
    <w:p>
      <w:pPr>
        <w:ind w:firstLine="480" w:firstLineChars="200"/>
        <w:textAlignment w:val="baseline"/>
        <w:rPr>
          <w:bCs/>
          <w:sz w:val="24"/>
        </w:rPr>
      </w:pPr>
      <w:r>
        <w:rPr>
          <w:bCs/>
          <w:sz w:val="24"/>
        </w:rPr>
        <w:t>根据《固定污染源排污许可分类管理名录（2017年版）》规定，本项目属于固定污染源排污许可分类管理名录中的实施重点管理的行业，具体如下：</w:t>
      </w:r>
    </w:p>
    <w:p>
      <w:pPr>
        <w:spacing w:line="240" w:lineRule="auto"/>
        <w:ind w:firstLine="482"/>
        <w:jc w:val="center"/>
        <w:rPr>
          <w:b/>
          <w:position w:val="6"/>
          <w:sz w:val="24"/>
          <w:szCs w:val="24"/>
        </w:rPr>
      </w:pPr>
      <w:bookmarkStart w:id="272" w:name="_Toc5996_WPSOffice_Level2"/>
      <w:bookmarkStart w:id="273" w:name="_Toc24544_WPSOffice_Level2"/>
      <w:bookmarkStart w:id="274" w:name="_Toc13694_WPSOffice_Level2"/>
      <w:r>
        <w:rPr>
          <w:b/>
          <w:position w:val="6"/>
          <w:sz w:val="24"/>
          <w:szCs w:val="24"/>
        </w:rPr>
        <w:t>表</w:t>
      </w:r>
      <w:r>
        <w:rPr>
          <w:rFonts w:hint="eastAsia"/>
          <w:b/>
          <w:position w:val="6"/>
          <w:sz w:val="24"/>
          <w:szCs w:val="24"/>
          <w:lang w:val="en-US" w:eastAsia="zh-CN"/>
        </w:rPr>
        <w:t>8.</w:t>
      </w:r>
      <w:r>
        <w:rPr>
          <w:b/>
          <w:position w:val="6"/>
          <w:sz w:val="24"/>
          <w:szCs w:val="24"/>
        </w:rPr>
        <w:t>2-</w:t>
      </w:r>
      <w:r>
        <w:rPr>
          <w:rFonts w:hint="eastAsia"/>
          <w:b/>
          <w:position w:val="6"/>
          <w:sz w:val="24"/>
          <w:szCs w:val="24"/>
          <w:lang w:val="en-US" w:eastAsia="zh-CN"/>
        </w:rPr>
        <w:t>6</w:t>
      </w:r>
      <w:r>
        <w:rPr>
          <w:b/>
          <w:position w:val="6"/>
          <w:sz w:val="24"/>
          <w:szCs w:val="24"/>
        </w:rPr>
        <w:t xml:space="preserve">  固定污染源排污许可分类管理名录</w:t>
      </w:r>
      <w:bookmarkEnd w:id="272"/>
      <w:bookmarkEnd w:id="273"/>
      <w:bookmarkEnd w:id="274"/>
    </w:p>
    <w:tbl>
      <w:tblPr>
        <w:tblStyle w:val="22"/>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9"/>
        <w:gridCol w:w="2684"/>
        <w:gridCol w:w="1694"/>
        <w:gridCol w:w="1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2539" w:type="dxa"/>
            <w:vMerge w:val="restart"/>
            <w:tcBorders>
              <w:top w:val="single" w:color="auto" w:sz="12" w:space="0"/>
              <w:left w:val="nil"/>
              <w:tl2br w:val="single" w:color="auto" w:sz="4" w:space="0"/>
            </w:tcBorders>
            <w:vAlign w:val="center"/>
          </w:tcPr>
          <w:p>
            <w:pPr>
              <w:spacing w:line="240" w:lineRule="auto"/>
              <w:jc w:val="center"/>
              <w:rPr>
                <w:position w:val="6"/>
              </w:rPr>
            </w:pPr>
            <w:r>
              <w:rPr>
                <w:position w:val="6"/>
              </w:rPr>
              <w:t xml:space="preserve">        环评类别</w:t>
            </w:r>
          </w:p>
          <w:p>
            <w:pPr>
              <w:spacing w:line="240" w:lineRule="auto"/>
              <w:rPr>
                <w:position w:val="6"/>
              </w:rPr>
            </w:pPr>
            <w:r>
              <w:rPr>
                <w:position w:val="6"/>
              </w:rPr>
              <w:t>项目类别</w:t>
            </w:r>
          </w:p>
        </w:tc>
        <w:tc>
          <w:tcPr>
            <w:tcW w:w="4378" w:type="dxa"/>
            <w:gridSpan w:val="2"/>
            <w:tcBorders>
              <w:top w:val="single" w:color="auto" w:sz="12" w:space="0"/>
            </w:tcBorders>
            <w:vAlign w:val="center"/>
          </w:tcPr>
          <w:p>
            <w:pPr>
              <w:spacing w:line="240" w:lineRule="auto"/>
              <w:jc w:val="center"/>
              <w:rPr>
                <w:position w:val="6"/>
              </w:rPr>
            </w:pPr>
            <w:r>
              <w:rPr>
                <w:position w:val="6"/>
              </w:rPr>
              <w:t>环境影响评价类别</w:t>
            </w:r>
          </w:p>
        </w:tc>
        <w:tc>
          <w:tcPr>
            <w:tcW w:w="1917" w:type="dxa"/>
            <w:vMerge w:val="restart"/>
            <w:tcBorders>
              <w:top w:val="single" w:color="auto" w:sz="12" w:space="0"/>
              <w:right w:val="nil"/>
            </w:tcBorders>
            <w:vAlign w:val="center"/>
          </w:tcPr>
          <w:p>
            <w:pPr>
              <w:spacing w:line="240" w:lineRule="auto"/>
              <w:jc w:val="center"/>
              <w:rPr>
                <w:position w:val="6"/>
              </w:rPr>
            </w:pPr>
            <w:r>
              <w:rPr>
                <w:position w:val="6"/>
              </w:rPr>
              <w:t>项目类别判定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2539" w:type="dxa"/>
            <w:vMerge w:val="continue"/>
            <w:tcBorders>
              <w:left w:val="nil"/>
              <w:tl2br w:val="single" w:color="auto" w:sz="4" w:space="0"/>
            </w:tcBorders>
            <w:vAlign w:val="center"/>
          </w:tcPr>
          <w:p>
            <w:pPr>
              <w:spacing w:line="240" w:lineRule="auto"/>
              <w:jc w:val="center"/>
              <w:rPr>
                <w:position w:val="6"/>
              </w:rPr>
            </w:pPr>
          </w:p>
        </w:tc>
        <w:tc>
          <w:tcPr>
            <w:tcW w:w="2684" w:type="dxa"/>
            <w:vAlign w:val="center"/>
          </w:tcPr>
          <w:p>
            <w:pPr>
              <w:spacing w:line="240" w:lineRule="auto"/>
              <w:jc w:val="center"/>
              <w:rPr>
                <w:rFonts w:hint="eastAsia" w:eastAsia="宋体"/>
                <w:position w:val="6"/>
                <w:lang w:eastAsia="zh-CN"/>
              </w:rPr>
            </w:pPr>
            <w:r>
              <w:rPr>
                <w:rFonts w:hint="eastAsia"/>
                <w:position w:val="6"/>
                <w:lang w:eastAsia="zh-CN"/>
              </w:rPr>
              <w:t>重点管理</w:t>
            </w:r>
          </w:p>
        </w:tc>
        <w:tc>
          <w:tcPr>
            <w:tcW w:w="1694" w:type="dxa"/>
            <w:vAlign w:val="center"/>
          </w:tcPr>
          <w:p>
            <w:pPr>
              <w:spacing w:line="240" w:lineRule="auto"/>
              <w:jc w:val="center"/>
              <w:rPr>
                <w:position w:val="6"/>
              </w:rPr>
            </w:pPr>
            <w:r>
              <w:rPr>
                <w:rFonts w:hint="eastAsia"/>
                <w:position w:val="6"/>
                <w:lang w:eastAsia="zh-CN"/>
              </w:rPr>
              <w:t>简化管理</w:t>
            </w:r>
          </w:p>
        </w:tc>
        <w:tc>
          <w:tcPr>
            <w:tcW w:w="1917" w:type="dxa"/>
            <w:vMerge w:val="continue"/>
            <w:tcBorders>
              <w:right w:val="nil"/>
            </w:tcBorders>
            <w:vAlign w:val="center"/>
          </w:tcPr>
          <w:p>
            <w:pPr>
              <w:spacing w:line="240" w:lineRule="auto"/>
              <w:jc w:val="center"/>
              <w:rPr>
                <w:position w:val="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539" w:type="dxa"/>
            <w:tcBorders>
              <w:left w:val="nil"/>
            </w:tcBorders>
            <w:vAlign w:val="center"/>
          </w:tcPr>
          <w:p>
            <w:pPr>
              <w:spacing w:line="240" w:lineRule="auto"/>
              <w:jc w:val="center"/>
              <w:rPr>
                <w:rFonts w:hint="default" w:eastAsia="宋体"/>
                <w:position w:val="6"/>
                <w:lang w:val="en-US" w:eastAsia="zh-CN"/>
              </w:rPr>
            </w:pPr>
            <w:r>
              <w:rPr>
                <w:rFonts w:hint="eastAsia"/>
                <w:position w:val="6"/>
                <w:lang w:val="en-US" w:eastAsia="zh-CN"/>
              </w:rPr>
              <w:t>183 服饰制造</w:t>
            </w:r>
          </w:p>
        </w:tc>
        <w:tc>
          <w:tcPr>
            <w:tcW w:w="2684" w:type="dxa"/>
            <w:shd w:val="clear" w:color="auto" w:fill="auto"/>
            <w:vAlign w:val="center"/>
          </w:tcPr>
          <w:p>
            <w:pPr>
              <w:spacing w:line="240" w:lineRule="auto"/>
              <w:jc w:val="center"/>
              <w:rPr>
                <w:rFonts w:hint="eastAsia" w:eastAsia="宋体"/>
                <w:position w:val="6"/>
                <w:lang w:eastAsia="zh-CN"/>
              </w:rPr>
            </w:pPr>
            <w:r>
              <w:rPr>
                <w:rFonts w:hint="eastAsia"/>
                <w:position w:val="6"/>
                <w:lang w:eastAsia="zh-CN"/>
              </w:rPr>
              <w:t>含水洗工艺工序的，有湿法印花、染色工艺的</w:t>
            </w:r>
          </w:p>
        </w:tc>
        <w:tc>
          <w:tcPr>
            <w:tcW w:w="1694" w:type="dxa"/>
            <w:vAlign w:val="center"/>
          </w:tcPr>
          <w:p>
            <w:pPr>
              <w:spacing w:line="240" w:lineRule="auto"/>
              <w:jc w:val="center"/>
              <w:rPr>
                <w:position w:val="6"/>
              </w:rPr>
            </w:pPr>
            <w:r>
              <w:rPr>
                <w:position w:val="6"/>
              </w:rPr>
              <w:t>其他</w:t>
            </w:r>
          </w:p>
        </w:tc>
        <w:tc>
          <w:tcPr>
            <w:tcW w:w="1917" w:type="dxa"/>
            <w:tcBorders>
              <w:right w:val="nil"/>
            </w:tcBorders>
            <w:vAlign w:val="center"/>
          </w:tcPr>
          <w:p>
            <w:pPr>
              <w:spacing w:line="240" w:lineRule="auto"/>
              <w:jc w:val="center"/>
              <w:rPr>
                <w:rFonts w:hint="eastAsia" w:eastAsia="宋体"/>
                <w:position w:val="6"/>
                <w:lang w:eastAsia="zh-CN"/>
              </w:rPr>
            </w:pPr>
            <w:r>
              <w:rPr>
                <w:position w:val="6"/>
              </w:rPr>
              <w:t>本项目</w:t>
            </w:r>
            <w:r>
              <w:rPr>
                <w:rFonts w:hint="eastAsia"/>
                <w:position w:val="6"/>
                <w:lang w:eastAsia="zh-CN"/>
              </w:rPr>
              <w:t>有水洗工艺</w:t>
            </w:r>
            <w:r>
              <w:rPr>
                <w:position w:val="6"/>
              </w:rPr>
              <w:t>，故</w:t>
            </w:r>
            <w:r>
              <w:rPr>
                <w:rFonts w:hint="eastAsia"/>
                <w:position w:val="6"/>
                <w:lang w:eastAsia="zh-CN"/>
              </w:rPr>
              <w:t>属于重点管理</w:t>
            </w:r>
          </w:p>
        </w:tc>
      </w:tr>
    </w:tbl>
    <w:p>
      <w:pPr>
        <w:ind w:firstLine="480" w:firstLineChars="200"/>
        <w:rPr>
          <w:sz w:val="24"/>
          <w:szCs w:val="24"/>
        </w:rPr>
      </w:pPr>
      <w:r>
        <w:rPr>
          <w:sz w:val="24"/>
          <w:szCs w:val="24"/>
        </w:rPr>
        <w:t>因此，本次评价要求项目单位在</w:t>
      </w:r>
      <w:r>
        <w:rPr>
          <w:rFonts w:hint="eastAsia"/>
          <w:sz w:val="24"/>
          <w:szCs w:val="24"/>
        </w:rPr>
        <w:t>应该是在竣工环保验收前完成排污许可证申领工作，</w:t>
      </w:r>
      <w:r>
        <w:rPr>
          <w:sz w:val="24"/>
          <w:szCs w:val="24"/>
        </w:rPr>
        <w:t>并认真执行环境管理与监测工作，做好检测日常记录，保证本项目与排污许可证制度的有效衔接。</w:t>
      </w:r>
    </w:p>
    <w:p>
      <w:pPr>
        <w:rPr>
          <w:rFonts w:eastAsia="黑体"/>
          <w:sz w:val="36"/>
          <w:szCs w:val="36"/>
        </w:rPr>
      </w:pPr>
      <w:bookmarkStart w:id="275" w:name="_Toc532395352"/>
      <w:r>
        <w:rPr>
          <w:rFonts w:eastAsia="黑体"/>
          <w:sz w:val="36"/>
          <w:szCs w:val="36"/>
        </w:rPr>
        <w:br w:type="page"/>
      </w:r>
    </w:p>
    <w:p>
      <w:pPr>
        <w:pStyle w:val="5"/>
        <w:jc w:val="center"/>
        <w:rPr>
          <w:rFonts w:eastAsia="黑体"/>
          <w:sz w:val="36"/>
          <w:szCs w:val="36"/>
        </w:rPr>
      </w:pPr>
      <w:bookmarkStart w:id="276" w:name="_Toc8839_WPSOffice_Level1"/>
      <w:r>
        <w:rPr>
          <w:rFonts w:eastAsia="黑体"/>
          <w:sz w:val="36"/>
          <w:szCs w:val="36"/>
        </w:rPr>
        <w:t>第九章  清洁生产</w:t>
      </w:r>
      <w:bookmarkEnd w:id="275"/>
      <w:r>
        <w:rPr>
          <w:sz w:val="36"/>
          <w:szCs w:val="36"/>
        </w:rPr>
        <w:t>及总量控制分析</w:t>
      </w:r>
      <w:bookmarkEnd w:id="276"/>
    </w:p>
    <w:p>
      <w:pPr>
        <w:pStyle w:val="5"/>
        <w:rPr>
          <w:sz w:val="24"/>
          <w:szCs w:val="24"/>
        </w:rPr>
      </w:pPr>
      <w:bookmarkStart w:id="277" w:name="_Toc532395353"/>
      <w:bookmarkStart w:id="278" w:name="_Toc28827_WPSOffice_Level2"/>
      <w:r>
        <w:rPr>
          <w:sz w:val="24"/>
          <w:szCs w:val="24"/>
        </w:rPr>
        <w:t>9.1 清洁生产分析</w:t>
      </w:r>
      <w:bookmarkEnd w:id="277"/>
      <w:bookmarkEnd w:id="278"/>
    </w:p>
    <w:p>
      <w:pPr>
        <w:adjustRightInd/>
        <w:snapToGrid/>
        <w:ind w:firstLine="480" w:firstLineChars="200"/>
        <w:rPr>
          <w:sz w:val="24"/>
          <w:szCs w:val="24"/>
        </w:rPr>
      </w:pPr>
      <w:r>
        <w:rPr>
          <w:sz w:val="24"/>
          <w:szCs w:val="24"/>
        </w:rPr>
        <w:t>我国于2003年1月1日起开始实施《清洁生产促进法》，修改后的本法于2012年7月1日起实行。本法对工业项目全面实施清洁生产提出了明确要求，按照环保政策，新建和技改项目应符合“清洁生产工艺”，即要求做到物耗能耗少、工艺装置较先进、最大限度减少“三废”排放或排放的污染物有妥善的处理措施，最大限度地提高能源和资源的利用率，减少生产过程的污染物的排放。</w:t>
      </w:r>
    </w:p>
    <w:p>
      <w:pPr>
        <w:adjustRightInd/>
        <w:snapToGrid/>
        <w:ind w:firstLine="480" w:firstLineChars="200"/>
        <w:rPr>
          <w:color w:val="FF0000"/>
          <w:sz w:val="24"/>
          <w:szCs w:val="24"/>
        </w:rPr>
      </w:pPr>
      <w:r>
        <w:rPr>
          <w:sz w:val="24"/>
          <w:szCs w:val="24"/>
        </w:rPr>
        <w:t>按照清洁生产组织生产是实现可持续发展的重要步骤，对于每个企业来讲，皆应该从原料到过程到成品到消费等，都应该向清洁生产方向发展。</w:t>
      </w:r>
    </w:p>
    <w:p>
      <w:pPr>
        <w:adjustRightInd/>
        <w:snapToGrid/>
        <w:rPr>
          <w:b/>
          <w:sz w:val="24"/>
          <w:szCs w:val="24"/>
        </w:rPr>
      </w:pPr>
      <w:r>
        <w:rPr>
          <w:b/>
          <w:sz w:val="24"/>
          <w:szCs w:val="24"/>
        </w:rPr>
        <w:t>9.1.1 项目生产工艺及装备先进性分析</w:t>
      </w:r>
    </w:p>
    <w:p>
      <w:pPr>
        <w:ind w:firstLine="480" w:firstLineChars="200"/>
        <w:rPr>
          <w:sz w:val="24"/>
          <w:szCs w:val="24"/>
        </w:rPr>
      </w:pPr>
      <w:r>
        <w:rPr>
          <w:sz w:val="24"/>
          <w:szCs w:val="24"/>
        </w:rPr>
        <w:t>根据中华人民共和国工业和信息化部《部分工业行业淘汰落后生产工艺装备和产品指导目录（2010年本）》（工产业[2010]第122号）、中华人民共和国发展和改革委员会《产业结构调整指导目录（2011年本）》，结合</w:t>
      </w:r>
      <w:r>
        <w:rPr>
          <w:rFonts w:hint="eastAsia"/>
          <w:sz w:val="24"/>
          <w:szCs w:val="24"/>
        </w:rPr>
        <w:t>项目</w:t>
      </w:r>
      <w:r>
        <w:rPr>
          <w:sz w:val="24"/>
          <w:szCs w:val="24"/>
        </w:rPr>
        <w:t>设备清单、生产工艺及产品方案，本项目所购设备、生产工艺及产品均不属于限制类和淘汰类，符合国家清洁生产要求。同时项目引进国内先进的</w:t>
      </w:r>
      <w:r>
        <w:rPr>
          <w:rFonts w:hint="eastAsia"/>
          <w:sz w:val="24"/>
          <w:szCs w:val="24"/>
          <w:lang w:eastAsia="zh-CN"/>
        </w:rPr>
        <w:t>服装</w:t>
      </w:r>
      <w:r>
        <w:rPr>
          <w:sz w:val="24"/>
          <w:szCs w:val="24"/>
        </w:rPr>
        <w:t>生产线，其具有如下先进性：</w:t>
      </w:r>
    </w:p>
    <w:p>
      <w:pPr>
        <w:ind w:firstLine="360" w:firstLineChars="150"/>
        <w:rPr>
          <w:sz w:val="24"/>
          <w:szCs w:val="24"/>
        </w:rPr>
      </w:pPr>
      <w:r>
        <w:rPr>
          <w:sz w:val="24"/>
          <w:szCs w:val="24"/>
        </w:rPr>
        <w:t>（1）先进的</w:t>
      </w:r>
      <w:r>
        <w:rPr>
          <w:rFonts w:hint="eastAsia"/>
          <w:sz w:val="24"/>
          <w:szCs w:val="24"/>
          <w:lang w:eastAsia="zh-CN"/>
        </w:rPr>
        <w:t>服装加工</w:t>
      </w:r>
      <w:r>
        <w:rPr>
          <w:sz w:val="24"/>
          <w:szCs w:val="24"/>
        </w:rPr>
        <w:t>工艺</w:t>
      </w:r>
    </w:p>
    <w:p>
      <w:pPr>
        <w:ind w:firstLine="480" w:firstLineChars="200"/>
        <w:rPr>
          <w:sz w:val="24"/>
          <w:szCs w:val="24"/>
        </w:rPr>
      </w:pPr>
      <w:r>
        <w:rPr>
          <w:sz w:val="24"/>
          <w:szCs w:val="24"/>
        </w:rPr>
        <w:t>项目采用先进的</w:t>
      </w:r>
      <w:r>
        <w:rPr>
          <w:rFonts w:hint="eastAsia"/>
          <w:sz w:val="24"/>
          <w:szCs w:val="24"/>
          <w:lang w:eastAsia="zh-CN"/>
        </w:rPr>
        <w:t>电脑织片工艺</w:t>
      </w:r>
      <w:r>
        <w:rPr>
          <w:sz w:val="24"/>
          <w:szCs w:val="24"/>
        </w:rPr>
        <w:t>，</w:t>
      </w:r>
      <w:r>
        <w:rPr>
          <w:rFonts w:hint="eastAsia"/>
          <w:sz w:val="24"/>
          <w:szCs w:val="24"/>
          <w:lang w:eastAsia="zh-CN"/>
        </w:rPr>
        <w:t>不合格品拆片重新织片，</w:t>
      </w:r>
      <w:r>
        <w:rPr>
          <w:sz w:val="24"/>
          <w:szCs w:val="24"/>
        </w:rPr>
        <w:t>确保</w:t>
      </w:r>
      <w:r>
        <w:rPr>
          <w:rFonts w:hint="eastAsia"/>
          <w:sz w:val="24"/>
          <w:szCs w:val="24"/>
          <w:lang w:eastAsia="zh-CN"/>
        </w:rPr>
        <w:t>服装</w:t>
      </w:r>
      <w:r>
        <w:rPr>
          <w:sz w:val="24"/>
          <w:szCs w:val="24"/>
        </w:rPr>
        <w:t>质量，同时</w:t>
      </w:r>
      <w:r>
        <w:rPr>
          <w:rFonts w:hint="eastAsia"/>
          <w:sz w:val="24"/>
          <w:szCs w:val="24"/>
          <w:lang w:eastAsia="zh-CN"/>
        </w:rPr>
        <w:t>服装加工</w:t>
      </w:r>
      <w:r>
        <w:rPr>
          <w:sz w:val="24"/>
          <w:szCs w:val="24"/>
        </w:rPr>
        <w:t>机械化程度较高。</w:t>
      </w:r>
    </w:p>
    <w:p>
      <w:pPr>
        <w:ind w:firstLine="360" w:firstLineChars="150"/>
        <w:rPr>
          <w:sz w:val="24"/>
          <w:szCs w:val="24"/>
        </w:rPr>
      </w:pPr>
      <w:r>
        <w:rPr>
          <w:sz w:val="24"/>
          <w:szCs w:val="24"/>
        </w:rPr>
        <w:t>（2）先进的节水工艺</w:t>
      </w:r>
    </w:p>
    <w:p>
      <w:pPr>
        <w:ind w:firstLine="480" w:firstLineChars="200"/>
        <w:rPr>
          <w:sz w:val="24"/>
          <w:szCs w:val="24"/>
        </w:rPr>
      </w:pPr>
      <w:r>
        <w:rPr>
          <w:sz w:val="24"/>
          <w:szCs w:val="24"/>
        </w:rPr>
        <w:t>①</w:t>
      </w:r>
      <w:r>
        <w:rPr>
          <w:rFonts w:hint="eastAsia"/>
          <w:sz w:val="24"/>
          <w:szCs w:val="24"/>
          <w:lang w:eastAsia="zh-CN"/>
        </w:rPr>
        <w:t>水洗</w:t>
      </w:r>
      <w:r>
        <w:rPr>
          <w:sz w:val="24"/>
          <w:szCs w:val="24"/>
        </w:rPr>
        <w:t>采用</w:t>
      </w:r>
      <w:r>
        <w:rPr>
          <w:rFonts w:hint="eastAsia"/>
          <w:sz w:val="24"/>
          <w:szCs w:val="24"/>
          <w:lang w:eastAsia="zh-CN"/>
        </w:rPr>
        <w:t>工业水洗机</w:t>
      </w:r>
      <w:r>
        <w:rPr>
          <w:sz w:val="24"/>
          <w:szCs w:val="24"/>
        </w:rPr>
        <w:t>，用水量</w:t>
      </w:r>
      <w:r>
        <w:rPr>
          <w:rFonts w:hint="eastAsia"/>
          <w:sz w:val="24"/>
          <w:szCs w:val="24"/>
          <w:lang w:eastAsia="zh-CN"/>
        </w:rPr>
        <w:t>较少</w:t>
      </w:r>
      <w:r>
        <w:rPr>
          <w:sz w:val="24"/>
          <w:szCs w:val="24"/>
        </w:rPr>
        <w:t>；</w:t>
      </w:r>
    </w:p>
    <w:p>
      <w:pPr>
        <w:ind w:firstLine="480" w:firstLineChars="200"/>
        <w:rPr>
          <w:sz w:val="24"/>
          <w:szCs w:val="24"/>
        </w:rPr>
      </w:pPr>
      <w:r>
        <w:rPr>
          <w:sz w:val="24"/>
          <w:szCs w:val="24"/>
        </w:rPr>
        <w:t>②采用脱</w:t>
      </w:r>
      <w:r>
        <w:rPr>
          <w:rFonts w:hint="eastAsia"/>
          <w:sz w:val="24"/>
          <w:szCs w:val="24"/>
          <w:lang w:eastAsia="zh-CN"/>
        </w:rPr>
        <w:t>水</w:t>
      </w:r>
      <w:r>
        <w:rPr>
          <w:sz w:val="24"/>
          <w:szCs w:val="24"/>
        </w:rPr>
        <w:t>机脱</w:t>
      </w:r>
      <w:r>
        <w:rPr>
          <w:rFonts w:hint="eastAsia"/>
          <w:sz w:val="24"/>
          <w:szCs w:val="24"/>
          <w:lang w:eastAsia="zh-CN"/>
        </w:rPr>
        <w:t>水后进行烘干</w:t>
      </w:r>
      <w:r>
        <w:rPr>
          <w:sz w:val="24"/>
          <w:szCs w:val="24"/>
        </w:rPr>
        <w:t>。</w:t>
      </w:r>
    </w:p>
    <w:p>
      <w:pPr>
        <w:adjustRightInd/>
        <w:snapToGrid/>
        <w:ind w:firstLine="480" w:firstLineChars="200"/>
        <w:rPr>
          <w:sz w:val="24"/>
          <w:szCs w:val="24"/>
        </w:rPr>
      </w:pPr>
      <w:r>
        <w:rPr>
          <w:sz w:val="24"/>
          <w:szCs w:val="24"/>
        </w:rPr>
        <w:t>本项目选用高质量设备，能源和原材料消耗低，确保产品的高质量、高标准。因此，生产设备符合清洁生产要求。</w:t>
      </w:r>
    </w:p>
    <w:p>
      <w:pPr>
        <w:spacing w:line="360" w:lineRule="auto"/>
        <w:rPr>
          <w:b/>
          <w:sz w:val="24"/>
        </w:rPr>
      </w:pPr>
      <w:r>
        <w:rPr>
          <w:rFonts w:hint="eastAsia"/>
          <w:b/>
          <w:sz w:val="24"/>
          <w:lang w:val="en-US" w:eastAsia="zh-CN"/>
        </w:rPr>
        <w:t>9</w:t>
      </w:r>
      <w:r>
        <w:rPr>
          <w:b/>
          <w:sz w:val="24"/>
        </w:rPr>
        <w:t>.1.</w:t>
      </w:r>
      <w:r>
        <w:rPr>
          <w:rFonts w:hint="eastAsia"/>
          <w:b/>
          <w:sz w:val="24"/>
          <w:lang w:val="en-US" w:eastAsia="zh-CN"/>
        </w:rPr>
        <w:t>2</w:t>
      </w:r>
      <w:r>
        <w:rPr>
          <w:b/>
          <w:sz w:val="24"/>
        </w:rPr>
        <w:t>设计理念的先进性</w:t>
      </w:r>
    </w:p>
    <w:p>
      <w:pPr>
        <w:spacing w:line="360" w:lineRule="auto"/>
        <w:ind w:firstLine="480" w:firstLineChars="200"/>
        <w:rPr>
          <w:sz w:val="24"/>
        </w:rPr>
      </w:pPr>
      <w:r>
        <w:rPr>
          <w:sz w:val="24"/>
        </w:rPr>
        <w:t>从建筑总体布局上，缩短</w:t>
      </w:r>
      <w:r>
        <w:rPr>
          <w:rFonts w:hint="eastAsia"/>
          <w:sz w:val="24"/>
          <w:lang w:eastAsia="zh-CN"/>
        </w:rPr>
        <w:t>物料周转</w:t>
      </w:r>
      <w:r>
        <w:rPr>
          <w:sz w:val="24"/>
        </w:rPr>
        <w:t>流线，节约管道等日常能源的运转损耗，良好的自然采光通风条件；总体交通流线组织均匀，交通流畅。每个</w:t>
      </w:r>
      <w:r>
        <w:rPr>
          <w:rFonts w:hint="eastAsia"/>
          <w:sz w:val="24"/>
          <w:lang w:eastAsia="zh-CN"/>
        </w:rPr>
        <w:t>车间</w:t>
      </w:r>
      <w:r>
        <w:rPr>
          <w:sz w:val="24"/>
        </w:rPr>
        <w:t>均采取</w:t>
      </w:r>
      <w:r>
        <w:rPr>
          <w:rFonts w:hint="eastAsia"/>
          <w:sz w:val="24"/>
          <w:lang w:eastAsia="zh-CN"/>
        </w:rPr>
        <w:t>周转区</w:t>
      </w:r>
      <w:r>
        <w:rPr>
          <w:sz w:val="24"/>
        </w:rPr>
        <w:t>，</w:t>
      </w:r>
      <w:r>
        <w:rPr>
          <w:rFonts w:hint="eastAsia"/>
          <w:sz w:val="24"/>
          <w:lang w:eastAsia="zh-CN"/>
        </w:rPr>
        <w:t>运输</w:t>
      </w:r>
      <w:r>
        <w:rPr>
          <w:sz w:val="24"/>
        </w:rPr>
        <w:t>路程最大限度的缩短。照明灯具采用节能灯具，以节约用电；以及其它方面先进的设计理念。</w:t>
      </w:r>
    </w:p>
    <w:p>
      <w:pPr>
        <w:spacing w:line="360" w:lineRule="auto"/>
        <w:rPr>
          <w:b/>
          <w:sz w:val="24"/>
        </w:rPr>
      </w:pPr>
      <w:bookmarkStart w:id="279" w:name="_Toc232233441"/>
      <w:r>
        <w:rPr>
          <w:rFonts w:hint="eastAsia"/>
          <w:b/>
          <w:sz w:val="24"/>
          <w:lang w:val="en-US" w:eastAsia="zh-CN"/>
        </w:rPr>
        <w:t>9</w:t>
      </w:r>
      <w:r>
        <w:rPr>
          <w:b/>
          <w:sz w:val="24"/>
        </w:rPr>
        <w:t>.1.</w:t>
      </w:r>
      <w:r>
        <w:rPr>
          <w:rFonts w:hint="eastAsia"/>
          <w:b/>
          <w:sz w:val="24"/>
          <w:lang w:val="en-US" w:eastAsia="zh-CN"/>
        </w:rPr>
        <w:t>3</w:t>
      </w:r>
      <w:r>
        <w:rPr>
          <w:b/>
          <w:sz w:val="24"/>
        </w:rPr>
        <w:t>建筑材料的选择</w:t>
      </w:r>
      <w:bookmarkEnd w:id="279"/>
    </w:p>
    <w:p>
      <w:pPr>
        <w:spacing w:line="360" w:lineRule="auto"/>
        <w:ind w:firstLine="480" w:firstLineChars="200"/>
        <w:rPr>
          <w:sz w:val="24"/>
        </w:rPr>
      </w:pPr>
      <w:r>
        <w:rPr>
          <w:sz w:val="24"/>
        </w:rPr>
        <w:t>该项目在实施过程中执行国家有关节能的各项法规和政策。在墙体、外墙采用铝板，外窗采用Low-e玻璃。屋内保温采用膨胀珍珠岩并且配合成品屋面绝热板，起到双重保温隔热效果。内墙采用轻质砂加气混凝土砌块，减轻建筑总量，节约能耗，保护环境。</w:t>
      </w:r>
    </w:p>
    <w:p>
      <w:pPr>
        <w:spacing w:line="360" w:lineRule="auto"/>
        <w:rPr>
          <w:b/>
          <w:sz w:val="24"/>
        </w:rPr>
      </w:pPr>
      <w:bookmarkStart w:id="280" w:name="_Toc232233442"/>
      <w:r>
        <w:rPr>
          <w:rFonts w:hint="eastAsia"/>
          <w:b/>
          <w:sz w:val="24"/>
          <w:lang w:val="en-US" w:eastAsia="zh-CN"/>
        </w:rPr>
        <w:t>9</w:t>
      </w:r>
      <w:r>
        <w:rPr>
          <w:b/>
          <w:sz w:val="24"/>
        </w:rPr>
        <w:t>.1.</w:t>
      </w:r>
      <w:r>
        <w:rPr>
          <w:rFonts w:hint="eastAsia"/>
          <w:b/>
          <w:sz w:val="24"/>
          <w:lang w:val="en-US" w:eastAsia="zh-CN"/>
        </w:rPr>
        <w:t>4</w:t>
      </w:r>
      <w:r>
        <w:rPr>
          <w:b/>
          <w:sz w:val="24"/>
        </w:rPr>
        <w:t>机电设备选型</w:t>
      </w:r>
      <w:bookmarkEnd w:id="280"/>
    </w:p>
    <w:p>
      <w:pPr>
        <w:spacing w:line="360" w:lineRule="auto"/>
        <w:ind w:firstLine="480" w:firstLineChars="200"/>
        <w:rPr>
          <w:sz w:val="24"/>
        </w:rPr>
      </w:pPr>
      <w:r>
        <w:rPr>
          <w:sz w:val="24"/>
        </w:rPr>
        <w:t>设计中设备选型对落实节能工作十分重要，本项目中所有机电设备，全部选择节能指标先进的设备。</w:t>
      </w:r>
    </w:p>
    <w:p>
      <w:pPr>
        <w:spacing w:line="360" w:lineRule="auto"/>
        <w:rPr>
          <w:b/>
          <w:sz w:val="24"/>
        </w:rPr>
      </w:pPr>
      <w:bookmarkStart w:id="281" w:name="_Toc232233443"/>
      <w:r>
        <w:rPr>
          <w:rFonts w:hint="eastAsia"/>
          <w:b/>
          <w:sz w:val="24"/>
          <w:lang w:val="en-US" w:eastAsia="zh-CN"/>
        </w:rPr>
        <w:t>9</w:t>
      </w:r>
      <w:r>
        <w:rPr>
          <w:b/>
          <w:sz w:val="24"/>
        </w:rPr>
        <w:t>.1.</w:t>
      </w:r>
      <w:r>
        <w:rPr>
          <w:rFonts w:hint="eastAsia"/>
          <w:b/>
          <w:sz w:val="24"/>
          <w:lang w:val="en-US" w:eastAsia="zh-CN"/>
        </w:rPr>
        <w:t>5</w:t>
      </w:r>
      <w:r>
        <w:rPr>
          <w:b/>
          <w:sz w:val="24"/>
        </w:rPr>
        <w:t>电气节能系统</w:t>
      </w:r>
      <w:bookmarkEnd w:id="281"/>
    </w:p>
    <w:p>
      <w:pPr>
        <w:ind w:firstLine="360" w:firstLineChars="150"/>
        <w:rPr>
          <w:bCs/>
          <w:sz w:val="24"/>
          <w:szCs w:val="24"/>
        </w:rPr>
      </w:pPr>
      <w:bookmarkStart w:id="282" w:name="_Toc232233444"/>
      <w:r>
        <w:rPr>
          <w:bCs/>
          <w:sz w:val="24"/>
          <w:szCs w:val="24"/>
        </w:rPr>
        <w:t>①供电系统根据电力负荷计算来选择低能耗的元器件、部件。</w:t>
      </w:r>
    </w:p>
    <w:p>
      <w:pPr>
        <w:ind w:firstLine="360" w:firstLineChars="150"/>
        <w:rPr>
          <w:bCs/>
          <w:sz w:val="24"/>
          <w:szCs w:val="24"/>
        </w:rPr>
      </w:pPr>
      <w:r>
        <w:rPr>
          <w:bCs/>
          <w:sz w:val="24"/>
          <w:szCs w:val="24"/>
        </w:rPr>
        <w:t>②在用电的各个环节上配备电表计量装置，以便分级核算，达到节电目的。</w:t>
      </w:r>
    </w:p>
    <w:p>
      <w:pPr>
        <w:ind w:firstLine="360" w:firstLineChars="150"/>
        <w:rPr>
          <w:bCs/>
          <w:sz w:val="24"/>
          <w:szCs w:val="24"/>
        </w:rPr>
      </w:pPr>
      <w:r>
        <w:rPr>
          <w:bCs/>
          <w:sz w:val="24"/>
          <w:szCs w:val="24"/>
        </w:rPr>
        <w:t>③车间照明设计选用高效节能型荧光灯具；在重点安全区域选用防爆灯具、部件。</w:t>
      </w:r>
    </w:p>
    <w:p>
      <w:pPr>
        <w:spacing w:line="360" w:lineRule="auto"/>
        <w:ind w:firstLine="480" w:firstLineChars="200"/>
        <w:rPr>
          <w:sz w:val="24"/>
          <w:szCs w:val="24"/>
        </w:rPr>
      </w:pPr>
      <w:r>
        <w:rPr>
          <w:bCs/>
          <w:sz w:val="24"/>
          <w:szCs w:val="24"/>
        </w:rPr>
        <w:t>④</w:t>
      </w:r>
      <w:r>
        <w:rPr>
          <w:sz w:val="24"/>
          <w:szCs w:val="24"/>
        </w:rPr>
        <w:t>合理选用电缆电线的截面和线路敷设方式，减少电能损耗。</w:t>
      </w:r>
    </w:p>
    <w:p>
      <w:pPr>
        <w:spacing w:line="360" w:lineRule="auto"/>
        <w:rPr>
          <w:b/>
          <w:sz w:val="24"/>
        </w:rPr>
      </w:pPr>
      <w:r>
        <w:rPr>
          <w:rFonts w:hint="eastAsia"/>
          <w:b/>
          <w:sz w:val="24"/>
          <w:lang w:val="en-US" w:eastAsia="zh-CN"/>
        </w:rPr>
        <w:t>9</w:t>
      </w:r>
      <w:r>
        <w:rPr>
          <w:b/>
          <w:sz w:val="24"/>
        </w:rPr>
        <w:t>.1.</w:t>
      </w:r>
      <w:r>
        <w:rPr>
          <w:rFonts w:hint="eastAsia"/>
          <w:b/>
          <w:sz w:val="24"/>
          <w:lang w:val="en-US" w:eastAsia="zh-CN"/>
        </w:rPr>
        <w:t>6</w:t>
      </w:r>
      <w:r>
        <w:rPr>
          <w:b/>
          <w:sz w:val="24"/>
        </w:rPr>
        <w:t>降低资源消耗</w:t>
      </w:r>
      <w:bookmarkEnd w:id="282"/>
    </w:p>
    <w:p>
      <w:pPr>
        <w:spacing w:line="360" w:lineRule="auto"/>
        <w:ind w:firstLine="480" w:firstLineChars="200"/>
        <w:rPr>
          <w:rFonts w:hint="eastAsia" w:eastAsia="宋体"/>
          <w:sz w:val="24"/>
          <w:lang w:eastAsia="zh-CN"/>
        </w:rPr>
      </w:pPr>
      <w:r>
        <w:rPr>
          <w:sz w:val="24"/>
        </w:rPr>
        <w:t>项目供水系统采用防渗、防漏措施。提高水资源利用率，降低水资源无效消耗，如：公共卫生间采用定时水冲式水箱，卫生间采用节水型卫生洁具等</w:t>
      </w:r>
      <w:r>
        <w:rPr>
          <w:rFonts w:hint="eastAsia"/>
          <w:sz w:val="24"/>
          <w:lang w:eastAsia="zh-CN"/>
        </w:rPr>
        <w:t>；项目供热由开发区集中供热。</w:t>
      </w:r>
    </w:p>
    <w:p>
      <w:pPr>
        <w:spacing w:line="360" w:lineRule="auto"/>
        <w:rPr>
          <w:b/>
          <w:sz w:val="24"/>
        </w:rPr>
      </w:pPr>
      <w:bookmarkStart w:id="283" w:name="_Toc232233445"/>
      <w:r>
        <w:rPr>
          <w:rFonts w:hint="eastAsia"/>
          <w:b/>
          <w:sz w:val="24"/>
          <w:lang w:val="en-US" w:eastAsia="zh-CN"/>
        </w:rPr>
        <w:t>9</w:t>
      </w:r>
      <w:r>
        <w:rPr>
          <w:b/>
          <w:sz w:val="24"/>
        </w:rPr>
        <w:t>.1.</w:t>
      </w:r>
      <w:r>
        <w:rPr>
          <w:rFonts w:hint="eastAsia"/>
          <w:b/>
          <w:sz w:val="24"/>
          <w:lang w:val="en-US" w:eastAsia="zh-CN"/>
        </w:rPr>
        <w:t>7</w:t>
      </w:r>
      <w:r>
        <w:rPr>
          <w:b/>
          <w:sz w:val="24"/>
        </w:rPr>
        <w:t>减少污染物排放</w:t>
      </w:r>
      <w:bookmarkEnd w:id="283"/>
    </w:p>
    <w:p>
      <w:pPr>
        <w:spacing w:line="360" w:lineRule="auto"/>
        <w:ind w:firstLine="480" w:firstLineChars="200"/>
        <w:rPr>
          <w:sz w:val="24"/>
        </w:rPr>
      </w:pPr>
      <w:r>
        <w:rPr>
          <w:rFonts w:hint="eastAsia"/>
          <w:sz w:val="24"/>
          <w:lang w:eastAsia="zh-CN"/>
        </w:rPr>
        <w:t>生产</w:t>
      </w:r>
      <w:r>
        <w:rPr>
          <w:sz w:val="24"/>
        </w:rPr>
        <w:t>废水经</w:t>
      </w:r>
      <w:r>
        <w:rPr>
          <w:rFonts w:hint="eastAsia"/>
          <w:sz w:val="24"/>
        </w:rPr>
        <w:t>自建</w:t>
      </w:r>
      <w:r>
        <w:rPr>
          <w:sz w:val="24"/>
        </w:rPr>
        <w:t>污水处理站处理达标后经市政污水管网排入城北污水处理厂。所有新风机组均初效过滤器，减少废气污染物的排放</w:t>
      </w:r>
      <w:r>
        <w:rPr>
          <w:rFonts w:hint="eastAsia"/>
          <w:sz w:val="24"/>
          <w:lang w:eastAsia="zh-CN"/>
        </w:rPr>
        <w:t>；供热由开发区集中供热，减少废气排放；</w:t>
      </w:r>
      <w:r>
        <w:rPr>
          <w:sz w:val="24"/>
        </w:rPr>
        <w:t>各种风机均进行隔振消声处理，设置减振吊架、减震橡胶垫、消声器、消声弯头等装置，墙壁及楼板均作吸声处理，噪声排放达标。固废全部安全妥善处置。</w:t>
      </w:r>
    </w:p>
    <w:p>
      <w:pPr>
        <w:spacing w:line="360" w:lineRule="auto"/>
        <w:rPr>
          <w:b/>
          <w:sz w:val="24"/>
        </w:rPr>
      </w:pPr>
      <w:bookmarkStart w:id="284" w:name="_Toc232233446"/>
      <w:bookmarkStart w:id="285" w:name="_Toc532395354"/>
      <w:r>
        <w:rPr>
          <w:rFonts w:hint="eastAsia"/>
          <w:b/>
          <w:sz w:val="24"/>
          <w:lang w:val="en-US" w:eastAsia="zh-CN"/>
        </w:rPr>
        <w:t>9</w:t>
      </w:r>
      <w:r>
        <w:rPr>
          <w:b/>
          <w:sz w:val="24"/>
        </w:rPr>
        <w:t>.1.</w:t>
      </w:r>
      <w:r>
        <w:rPr>
          <w:rFonts w:hint="eastAsia"/>
          <w:b/>
          <w:sz w:val="24"/>
          <w:lang w:val="en-US" w:eastAsia="zh-CN"/>
        </w:rPr>
        <w:t>8</w:t>
      </w:r>
      <w:r>
        <w:rPr>
          <w:b/>
          <w:sz w:val="24"/>
        </w:rPr>
        <w:t>清洁生产内容</w:t>
      </w:r>
      <w:bookmarkEnd w:id="284"/>
    </w:p>
    <w:p>
      <w:pPr>
        <w:spacing w:line="360" w:lineRule="auto"/>
        <w:ind w:firstLine="480" w:firstLineChars="200"/>
        <w:rPr>
          <w:sz w:val="24"/>
        </w:rPr>
      </w:pPr>
      <w:r>
        <w:rPr>
          <w:sz w:val="24"/>
        </w:rPr>
        <w:t>项目相关清洁生产的具体内容如表</w:t>
      </w:r>
      <w:r>
        <w:rPr>
          <w:rFonts w:hint="eastAsia"/>
          <w:sz w:val="24"/>
          <w:lang w:val="en-US" w:eastAsia="zh-CN"/>
        </w:rPr>
        <w:t>9.</w:t>
      </w:r>
      <w:r>
        <w:rPr>
          <w:sz w:val="24"/>
        </w:rPr>
        <w:t>1-1所示。</w:t>
      </w:r>
    </w:p>
    <w:p>
      <w:pPr>
        <w:spacing w:line="540" w:lineRule="exact"/>
        <w:jc w:val="center"/>
        <w:rPr>
          <w:b/>
          <w:sz w:val="24"/>
        </w:rPr>
      </w:pPr>
      <w:r>
        <w:rPr>
          <w:b/>
          <w:sz w:val="24"/>
        </w:rPr>
        <w:t>表</w:t>
      </w:r>
      <w:r>
        <w:rPr>
          <w:rFonts w:hint="eastAsia"/>
          <w:b/>
          <w:sz w:val="24"/>
          <w:lang w:val="en-US" w:eastAsia="zh-CN"/>
        </w:rPr>
        <w:t>9.</w:t>
      </w:r>
      <w:r>
        <w:rPr>
          <w:b/>
          <w:sz w:val="24"/>
        </w:rPr>
        <w:t>1-1 相关清洁生产内容</w:t>
      </w:r>
    </w:p>
    <w:tbl>
      <w:tblPr>
        <w:tblStyle w:val="22"/>
        <w:tblW w:w="872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9"/>
        <w:gridCol w:w="4060"/>
        <w:gridCol w:w="39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39" w:type="dxa"/>
            <w:tcBorders>
              <w:tl2br w:val="nil"/>
              <w:tr2bl w:val="nil"/>
            </w:tcBorders>
            <w:noWrap w:val="0"/>
            <w:vAlign w:val="center"/>
          </w:tcPr>
          <w:p>
            <w:pPr>
              <w:spacing w:line="240" w:lineRule="exact"/>
              <w:jc w:val="center"/>
              <w:rPr>
                <w:bCs/>
                <w:szCs w:val="21"/>
              </w:rPr>
            </w:pPr>
            <w:r>
              <w:rPr>
                <w:bCs/>
                <w:szCs w:val="21"/>
              </w:rPr>
              <w:t>序号</w:t>
            </w:r>
          </w:p>
        </w:tc>
        <w:tc>
          <w:tcPr>
            <w:tcW w:w="4060" w:type="dxa"/>
            <w:tcBorders>
              <w:tl2br w:val="nil"/>
              <w:tr2bl w:val="nil"/>
            </w:tcBorders>
            <w:noWrap w:val="0"/>
            <w:vAlign w:val="center"/>
          </w:tcPr>
          <w:p>
            <w:pPr>
              <w:spacing w:line="240" w:lineRule="exact"/>
              <w:jc w:val="center"/>
              <w:rPr>
                <w:bCs/>
                <w:szCs w:val="21"/>
              </w:rPr>
            </w:pPr>
            <w:r>
              <w:rPr>
                <w:bCs/>
                <w:szCs w:val="21"/>
              </w:rPr>
              <w:t>项目</w:t>
            </w:r>
            <w:r>
              <w:rPr>
                <w:rFonts w:hint="eastAsia"/>
                <w:bCs/>
                <w:szCs w:val="21"/>
              </w:rPr>
              <w:t>建设</w:t>
            </w:r>
            <w:r>
              <w:rPr>
                <w:bCs/>
                <w:szCs w:val="21"/>
              </w:rPr>
              <w:t>内容</w:t>
            </w:r>
          </w:p>
        </w:tc>
        <w:tc>
          <w:tcPr>
            <w:tcW w:w="3921" w:type="dxa"/>
            <w:tcBorders>
              <w:tl2br w:val="nil"/>
              <w:tr2bl w:val="nil"/>
            </w:tcBorders>
            <w:noWrap w:val="0"/>
            <w:vAlign w:val="center"/>
          </w:tcPr>
          <w:p>
            <w:pPr>
              <w:spacing w:line="240" w:lineRule="exact"/>
              <w:jc w:val="center"/>
              <w:rPr>
                <w:bCs/>
                <w:szCs w:val="21"/>
              </w:rPr>
            </w:pPr>
            <w:r>
              <w:rPr>
                <w:bCs/>
                <w:szCs w:val="21"/>
              </w:rPr>
              <w:t>相关清洁生产内容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19" w:hRule="exact"/>
          <w:jc w:val="center"/>
        </w:trPr>
        <w:tc>
          <w:tcPr>
            <w:tcW w:w="739" w:type="dxa"/>
            <w:tcBorders>
              <w:tl2br w:val="nil"/>
              <w:tr2bl w:val="nil"/>
            </w:tcBorders>
            <w:noWrap w:val="0"/>
            <w:vAlign w:val="center"/>
          </w:tcPr>
          <w:p>
            <w:pPr>
              <w:spacing w:line="240" w:lineRule="exact"/>
              <w:jc w:val="center"/>
              <w:rPr>
                <w:szCs w:val="21"/>
              </w:rPr>
            </w:pPr>
            <w:r>
              <w:rPr>
                <w:szCs w:val="21"/>
              </w:rPr>
              <w:t>1</w:t>
            </w:r>
          </w:p>
        </w:tc>
        <w:tc>
          <w:tcPr>
            <w:tcW w:w="4060" w:type="dxa"/>
            <w:tcBorders>
              <w:tl2br w:val="nil"/>
              <w:tr2bl w:val="nil"/>
            </w:tcBorders>
            <w:noWrap w:val="0"/>
            <w:vAlign w:val="center"/>
          </w:tcPr>
          <w:p>
            <w:pPr>
              <w:spacing w:line="240" w:lineRule="exact"/>
              <w:rPr>
                <w:rFonts w:hint="default" w:eastAsia="宋体"/>
                <w:szCs w:val="21"/>
                <w:lang w:val="en-US" w:eastAsia="zh-CN"/>
              </w:rPr>
            </w:pPr>
            <w:r>
              <w:rPr>
                <w:rFonts w:hint="eastAsia"/>
                <w:szCs w:val="21"/>
                <w:lang w:eastAsia="zh-CN"/>
              </w:rPr>
              <w:t>生产车间、仓库、办公、宿舍</w:t>
            </w:r>
          </w:p>
        </w:tc>
        <w:tc>
          <w:tcPr>
            <w:tcW w:w="3921" w:type="dxa"/>
            <w:tcBorders>
              <w:tl2br w:val="nil"/>
              <w:tr2bl w:val="nil"/>
            </w:tcBorders>
            <w:noWrap w:val="0"/>
            <w:vAlign w:val="center"/>
          </w:tcPr>
          <w:p>
            <w:pPr>
              <w:spacing w:line="240" w:lineRule="exact"/>
              <w:rPr>
                <w:szCs w:val="21"/>
              </w:rPr>
            </w:pPr>
            <w:r>
              <w:rPr>
                <w:szCs w:val="21"/>
              </w:rPr>
              <w:t>布局设计先进、减污、节能、降耗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39" w:type="dxa"/>
            <w:tcBorders>
              <w:tl2br w:val="nil"/>
              <w:tr2bl w:val="nil"/>
            </w:tcBorders>
            <w:noWrap w:val="0"/>
            <w:vAlign w:val="center"/>
          </w:tcPr>
          <w:p>
            <w:pPr>
              <w:spacing w:line="240" w:lineRule="exact"/>
              <w:jc w:val="center"/>
              <w:rPr>
                <w:szCs w:val="21"/>
              </w:rPr>
            </w:pPr>
            <w:r>
              <w:rPr>
                <w:szCs w:val="21"/>
              </w:rPr>
              <w:t>2</w:t>
            </w:r>
          </w:p>
        </w:tc>
        <w:tc>
          <w:tcPr>
            <w:tcW w:w="4060" w:type="dxa"/>
            <w:tcBorders>
              <w:tl2br w:val="nil"/>
              <w:tr2bl w:val="nil"/>
            </w:tcBorders>
            <w:noWrap w:val="0"/>
            <w:vAlign w:val="center"/>
          </w:tcPr>
          <w:p>
            <w:pPr>
              <w:spacing w:line="240" w:lineRule="exact"/>
              <w:rPr>
                <w:szCs w:val="21"/>
              </w:rPr>
            </w:pPr>
            <w:r>
              <w:rPr>
                <w:szCs w:val="21"/>
              </w:rPr>
              <w:t>选用低噪声设备，采取减振等降噪措施</w:t>
            </w:r>
          </w:p>
        </w:tc>
        <w:tc>
          <w:tcPr>
            <w:tcW w:w="3921" w:type="dxa"/>
            <w:tcBorders>
              <w:tl2br w:val="nil"/>
              <w:tr2bl w:val="nil"/>
            </w:tcBorders>
            <w:noWrap w:val="0"/>
            <w:vAlign w:val="center"/>
          </w:tcPr>
          <w:p>
            <w:pPr>
              <w:spacing w:line="240" w:lineRule="exact"/>
              <w:rPr>
                <w:szCs w:val="21"/>
              </w:rPr>
            </w:pPr>
            <w:r>
              <w:rPr>
                <w:szCs w:val="21"/>
              </w:rPr>
              <w:t>降低设备噪声对周围环境的影响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30" w:hRule="exact"/>
          <w:jc w:val="center"/>
        </w:trPr>
        <w:tc>
          <w:tcPr>
            <w:tcW w:w="739" w:type="dxa"/>
            <w:tcBorders>
              <w:tl2br w:val="nil"/>
              <w:tr2bl w:val="nil"/>
            </w:tcBorders>
            <w:noWrap w:val="0"/>
            <w:vAlign w:val="center"/>
          </w:tcPr>
          <w:p>
            <w:pPr>
              <w:spacing w:line="240" w:lineRule="exact"/>
              <w:jc w:val="center"/>
              <w:rPr>
                <w:szCs w:val="21"/>
              </w:rPr>
            </w:pPr>
            <w:r>
              <w:rPr>
                <w:szCs w:val="21"/>
              </w:rPr>
              <w:t>3</w:t>
            </w:r>
          </w:p>
        </w:tc>
        <w:tc>
          <w:tcPr>
            <w:tcW w:w="4060" w:type="dxa"/>
            <w:tcBorders>
              <w:tl2br w:val="nil"/>
              <w:tr2bl w:val="nil"/>
            </w:tcBorders>
            <w:noWrap w:val="0"/>
            <w:vAlign w:val="center"/>
          </w:tcPr>
          <w:p>
            <w:pPr>
              <w:spacing w:line="240" w:lineRule="exact"/>
              <w:rPr>
                <w:szCs w:val="21"/>
              </w:rPr>
            </w:pPr>
            <w:r>
              <w:rPr>
                <w:szCs w:val="21"/>
              </w:rPr>
              <w:t>固废分类收集、分类处理、安全处置，废水、噪声达标排放</w:t>
            </w:r>
          </w:p>
        </w:tc>
        <w:tc>
          <w:tcPr>
            <w:tcW w:w="3921" w:type="dxa"/>
            <w:tcBorders>
              <w:tl2br w:val="nil"/>
              <w:tr2bl w:val="nil"/>
            </w:tcBorders>
            <w:noWrap w:val="0"/>
            <w:vAlign w:val="center"/>
          </w:tcPr>
          <w:p>
            <w:pPr>
              <w:spacing w:line="240" w:lineRule="exact"/>
              <w:rPr>
                <w:szCs w:val="21"/>
              </w:rPr>
            </w:pPr>
            <w:r>
              <w:rPr>
                <w:szCs w:val="21"/>
              </w:rPr>
              <w:t>避免二次污染、交叉感染，保护了环境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39" w:type="dxa"/>
            <w:tcBorders>
              <w:tl2br w:val="nil"/>
              <w:tr2bl w:val="nil"/>
            </w:tcBorders>
            <w:noWrap w:val="0"/>
            <w:vAlign w:val="center"/>
          </w:tcPr>
          <w:p>
            <w:pPr>
              <w:spacing w:line="240" w:lineRule="exact"/>
              <w:jc w:val="center"/>
              <w:rPr>
                <w:szCs w:val="21"/>
              </w:rPr>
            </w:pPr>
            <w:r>
              <w:rPr>
                <w:szCs w:val="21"/>
              </w:rPr>
              <w:t>4</w:t>
            </w:r>
          </w:p>
        </w:tc>
        <w:tc>
          <w:tcPr>
            <w:tcW w:w="4060" w:type="dxa"/>
            <w:tcBorders>
              <w:tl2br w:val="nil"/>
              <w:tr2bl w:val="nil"/>
            </w:tcBorders>
            <w:noWrap w:val="0"/>
            <w:vAlign w:val="center"/>
          </w:tcPr>
          <w:p>
            <w:pPr>
              <w:spacing w:line="240" w:lineRule="exact"/>
              <w:rPr>
                <w:szCs w:val="21"/>
              </w:rPr>
            </w:pPr>
            <w:r>
              <w:rPr>
                <w:szCs w:val="21"/>
              </w:rPr>
              <w:t>采用节水型工艺和设备</w:t>
            </w:r>
          </w:p>
        </w:tc>
        <w:tc>
          <w:tcPr>
            <w:tcW w:w="3921" w:type="dxa"/>
            <w:tcBorders>
              <w:tl2br w:val="nil"/>
              <w:tr2bl w:val="nil"/>
            </w:tcBorders>
            <w:noWrap w:val="0"/>
            <w:vAlign w:val="center"/>
          </w:tcPr>
          <w:p>
            <w:pPr>
              <w:spacing w:line="240" w:lineRule="exact"/>
              <w:rPr>
                <w:szCs w:val="21"/>
              </w:rPr>
            </w:pPr>
            <w:r>
              <w:rPr>
                <w:szCs w:val="21"/>
              </w:rPr>
              <w:t>减少废水排放、降低水资源消耗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07" w:hRule="exact"/>
          <w:jc w:val="center"/>
        </w:trPr>
        <w:tc>
          <w:tcPr>
            <w:tcW w:w="739" w:type="dxa"/>
            <w:tcBorders>
              <w:tl2br w:val="nil"/>
              <w:tr2bl w:val="nil"/>
            </w:tcBorders>
            <w:noWrap w:val="0"/>
            <w:vAlign w:val="center"/>
          </w:tcPr>
          <w:p>
            <w:pPr>
              <w:spacing w:line="240" w:lineRule="exact"/>
              <w:jc w:val="center"/>
              <w:rPr>
                <w:szCs w:val="21"/>
              </w:rPr>
            </w:pPr>
            <w:r>
              <w:rPr>
                <w:szCs w:val="21"/>
              </w:rPr>
              <w:t>5</w:t>
            </w:r>
          </w:p>
        </w:tc>
        <w:tc>
          <w:tcPr>
            <w:tcW w:w="4060" w:type="dxa"/>
            <w:tcBorders>
              <w:tl2br w:val="nil"/>
              <w:tr2bl w:val="nil"/>
            </w:tcBorders>
            <w:noWrap w:val="0"/>
            <w:vAlign w:val="center"/>
          </w:tcPr>
          <w:p>
            <w:pPr>
              <w:spacing w:line="240" w:lineRule="exact"/>
              <w:rPr>
                <w:szCs w:val="21"/>
              </w:rPr>
            </w:pPr>
            <w:r>
              <w:rPr>
                <w:szCs w:val="21"/>
              </w:rPr>
              <w:t>墙体、门、窗采用保暖建材、中空玻璃，节能机电设备</w:t>
            </w:r>
          </w:p>
        </w:tc>
        <w:tc>
          <w:tcPr>
            <w:tcW w:w="3921" w:type="dxa"/>
            <w:tcBorders>
              <w:tl2br w:val="nil"/>
              <w:tr2bl w:val="nil"/>
            </w:tcBorders>
            <w:noWrap w:val="0"/>
            <w:vAlign w:val="center"/>
          </w:tcPr>
          <w:p>
            <w:pPr>
              <w:spacing w:line="240" w:lineRule="exact"/>
              <w:rPr>
                <w:szCs w:val="21"/>
              </w:rPr>
            </w:pPr>
            <w:r>
              <w:rPr>
                <w:szCs w:val="21"/>
              </w:rPr>
              <w:t>降低能耗、隔音</w:t>
            </w:r>
          </w:p>
        </w:tc>
      </w:tr>
    </w:tbl>
    <w:p>
      <w:pPr>
        <w:spacing w:line="480" w:lineRule="exact"/>
        <w:ind w:firstLine="480" w:firstLineChars="200"/>
        <w:rPr>
          <w:sz w:val="24"/>
        </w:rPr>
      </w:pPr>
      <w:r>
        <w:rPr>
          <w:sz w:val="24"/>
        </w:rPr>
        <w:t>综上所述，通过采取上述措施，有效的减少了资源、能源的浪费，从而产生间接的经济、社会和环境效益；降低了污染物的产生和排放量，更好的保护了环境。因此，该项目的建设符合清洁生产的要求。</w:t>
      </w:r>
    </w:p>
    <w:p>
      <w:pPr>
        <w:pStyle w:val="5"/>
        <w:rPr>
          <w:b w:val="0"/>
          <w:szCs w:val="24"/>
        </w:rPr>
      </w:pPr>
      <w:bookmarkStart w:id="286" w:name="_Toc7028_WPSOffice_Level2"/>
      <w:r>
        <w:rPr>
          <w:sz w:val="24"/>
          <w:szCs w:val="24"/>
        </w:rPr>
        <w:t>9.2 总量控制分析</w:t>
      </w:r>
      <w:bookmarkEnd w:id="285"/>
      <w:bookmarkEnd w:id="286"/>
    </w:p>
    <w:p>
      <w:pPr>
        <w:pStyle w:val="53"/>
        <w:rPr>
          <w:b/>
          <w:sz w:val="24"/>
          <w:szCs w:val="24"/>
        </w:rPr>
      </w:pPr>
      <w:r>
        <w:rPr>
          <w:b/>
          <w:sz w:val="24"/>
          <w:szCs w:val="24"/>
        </w:rPr>
        <w:t>9.2.1 污染物排放总量的意义</w:t>
      </w:r>
    </w:p>
    <w:p>
      <w:pPr>
        <w:pStyle w:val="53"/>
        <w:ind w:firstLine="470" w:firstLineChars="196"/>
        <w:rPr>
          <w:sz w:val="24"/>
          <w:szCs w:val="24"/>
        </w:rPr>
      </w:pPr>
      <w:r>
        <w:rPr>
          <w:sz w:val="24"/>
          <w:szCs w:val="24"/>
        </w:rPr>
        <w:t>我国环境污染已十分严重，在不少地区污染物排放总量已明显超过环境承载能力。随着经济和人口的增长，污染物排放总量还会增加。实施污染物排放总量控制是推行可持续发展战略的需要。实施可持续发展战略已被列为我国国民经济的社会发展的重要指导方针。运用环境保护法律和行政手段实施污染物排放总量控制，便于操作和考核，有利于推动可持续发展在我国的实施。</w:t>
      </w:r>
    </w:p>
    <w:p>
      <w:pPr>
        <w:pStyle w:val="53"/>
        <w:rPr>
          <w:b/>
          <w:sz w:val="24"/>
          <w:szCs w:val="24"/>
        </w:rPr>
      </w:pPr>
      <w:r>
        <w:rPr>
          <w:b/>
          <w:sz w:val="24"/>
          <w:szCs w:val="24"/>
        </w:rPr>
        <w:t>9.2.2 污染物排放总量计算的原则</w:t>
      </w:r>
    </w:p>
    <w:p>
      <w:pPr>
        <w:pStyle w:val="53"/>
        <w:ind w:firstLine="470" w:firstLineChars="196"/>
        <w:rPr>
          <w:sz w:val="24"/>
          <w:szCs w:val="24"/>
        </w:rPr>
      </w:pPr>
      <w:r>
        <w:rPr>
          <w:sz w:val="24"/>
          <w:szCs w:val="24"/>
        </w:rPr>
        <w:t>按照总量控制的基本精神，污染物排放总量控制是针对工程分析、环保治理措施及环境影响预测和分析的结果，分析确定建设项目污染物排放总量控制方案。本次环评根据工程项目提供的有关资料，确定了项目建成后各类污染物的排放量。通过对建设项目的工程分析和环保治理措施的评估，提出本项目污染物排放总量控制的建议，为环保部门监督管理提供依据。</w:t>
      </w:r>
    </w:p>
    <w:p>
      <w:pPr>
        <w:pStyle w:val="53"/>
        <w:rPr>
          <w:sz w:val="24"/>
          <w:szCs w:val="24"/>
        </w:rPr>
      </w:pPr>
      <w:r>
        <w:rPr>
          <w:b/>
          <w:sz w:val="24"/>
          <w:szCs w:val="24"/>
        </w:rPr>
        <w:t>9.2.3 总量控制因子的选择</w:t>
      </w:r>
    </w:p>
    <w:p>
      <w:pPr>
        <w:pStyle w:val="3"/>
        <w:spacing w:line="360" w:lineRule="auto"/>
        <w:rPr>
          <w:color w:val="FF0000"/>
          <w:sz w:val="24"/>
          <w:szCs w:val="24"/>
        </w:rPr>
      </w:pPr>
      <w:r>
        <w:rPr>
          <w:sz w:val="24"/>
          <w:szCs w:val="24"/>
        </w:rPr>
        <w:t>根据《国务院关于印发“十二五”节能减排综合性工作方案的通知》（国发〔2011〕26号）、《国务院办公厅关于转发环境保护部“十二五”主要污染物总量减排考核办法的通知》（国办发〔2013〕4号）及安徽省环境保护厅《关于进一步加强建设项目新增大气主要污染物总量指标管理工作的通知》（皖环发[2017]19号）的要求，结合项目污染物排放情况，本次评价将COD、NH</w:t>
      </w:r>
      <w:r>
        <w:rPr>
          <w:sz w:val="24"/>
          <w:szCs w:val="24"/>
          <w:vertAlign w:val="subscript"/>
        </w:rPr>
        <w:t>3</w:t>
      </w:r>
      <w:r>
        <w:rPr>
          <w:sz w:val="24"/>
          <w:szCs w:val="24"/>
        </w:rPr>
        <w:t>-N作为总量控制因子，实施总量控制。</w:t>
      </w:r>
    </w:p>
    <w:p>
      <w:pPr>
        <w:pStyle w:val="53"/>
        <w:rPr>
          <w:b/>
          <w:sz w:val="24"/>
          <w:szCs w:val="24"/>
        </w:rPr>
      </w:pPr>
      <w:r>
        <w:rPr>
          <w:b/>
          <w:sz w:val="24"/>
          <w:szCs w:val="24"/>
        </w:rPr>
        <w:t>9.2.4 污染物排放总量控制的计算</w:t>
      </w:r>
    </w:p>
    <w:p>
      <w:pPr>
        <w:adjustRightInd/>
        <w:snapToGrid/>
        <w:ind w:firstLine="480" w:firstLineChars="200"/>
        <w:rPr>
          <w:sz w:val="24"/>
          <w:szCs w:val="24"/>
        </w:rPr>
      </w:pPr>
      <w:r>
        <w:rPr>
          <w:sz w:val="24"/>
          <w:szCs w:val="24"/>
        </w:rPr>
        <w:t>该项目为新建项目，原无核定总量控制指标，根据工程分析，本报告建议建设单位总量控制指标如下表9</w:t>
      </w:r>
      <w:r>
        <w:rPr>
          <w:rFonts w:hint="eastAsia"/>
          <w:sz w:val="24"/>
          <w:szCs w:val="24"/>
          <w:lang w:val="en-US" w:eastAsia="zh-CN"/>
        </w:rPr>
        <w:t>.</w:t>
      </w:r>
      <w:r>
        <w:rPr>
          <w:sz w:val="24"/>
          <w:szCs w:val="24"/>
        </w:rPr>
        <w:t>2-</w:t>
      </w:r>
      <w:r>
        <w:rPr>
          <w:rFonts w:hint="eastAsia"/>
          <w:sz w:val="24"/>
          <w:szCs w:val="24"/>
          <w:lang w:val="en-US" w:eastAsia="zh-CN"/>
        </w:rPr>
        <w:t>1</w:t>
      </w:r>
      <w:r>
        <w:rPr>
          <w:sz w:val="24"/>
          <w:szCs w:val="24"/>
        </w:rPr>
        <w:t>。</w:t>
      </w:r>
    </w:p>
    <w:p>
      <w:pPr>
        <w:adjustRightInd/>
        <w:snapToGrid/>
        <w:spacing w:line="240" w:lineRule="auto"/>
        <w:jc w:val="center"/>
        <w:rPr>
          <w:b/>
          <w:bCs/>
          <w:sz w:val="24"/>
          <w:szCs w:val="24"/>
        </w:rPr>
      </w:pPr>
      <w:r>
        <w:rPr>
          <w:b/>
          <w:bCs/>
          <w:sz w:val="24"/>
          <w:szCs w:val="24"/>
        </w:rPr>
        <w:t>表9</w:t>
      </w:r>
      <w:r>
        <w:rPr>
          <w:rFonts w:hint="eastAsia"/>
          <w:b/>
          <w:bCs/>
          <w:sz w:val="24"/>
          <w:szCs w:val="24"/>
          <w:lang w:val="en-US" w:eastAsia="zh-CN"/>
        </w:rPr>
        <w:t>.2</w:t>
      </w:r>
      <w:r>
        <w:rPr>
          <w:b/>
          <w:bCs/>
          <w:sz w:val="24"/>
          <w:szCs w:val="24"/>
        </w:rPr>
        <w:t>-</w:t>
      </w:r>
      <w:r>
        <w:rPr>
          <w:rFonts w:hint="eastAsia"/>
          <w:b/>
          <w:bCs/>
          <w:sz w:val="24"/>
          <w:szCs w:val="24"/>
          <w:lang w:val="en-US" w:eastAsia="zh-CN"/>
        </w:rPr>
        <w:t>1</w:t>
      </w:r>
      <w:r>
        <w:rPr>
          <w:b/>
          <w:bCs/>
          <w:sz w:val="24"/>
          <w:szCs w:val="24"/>
        </w:rPr>
        <w:t xml:space="preserve"> 建设项目建议总量控制指标</w:t>
      </w:r>
    </w:p>
    <w:tbl>
      <w:tblPr>
        <w:tblStyle w:val="23"/>
        <w:tblW w:w="894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2"/>
        <w:gridCol w:w="3216"/>
        <w:gridCol w:w="33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412" w:type="dxa"/>
            <w:tcBorders>
              <w:tl2br w:val="nil"/>
              <w:tr2bl w:val="nil"/>
            </w:tcBorders>
            <w:vAlign w:val="center"/>
          </w:tcPr>
          <w:p>
            <w:pPr>
              <w:spacing w:line="240" w:lineRule="auto"/>
              <w:jc w:val="center"/>
            </w:pPr>
            <w:r>
              <w:t>类别</w:t>
            </w:r>
          </w:p>
        </w:tc>
        <w:tc>
          <w:tcPr>
            <w:tcW w:w="3216" w:type="dxa"/>
            <w:tcBorders>
              <w:tl2br w:val="nil"/>
              <w:tr2bl w:val="nil"/>
            </w:tcBorders>
            <w:vAlign w:val="center"/>
          </w:tcPr>
          <w:p>
            <w:pPr>
              <w:spacing w:line="240" w:lineRule="auto"/>
              <w:jc w:val="center"/>
            </w:pPr>
            <w:r>
              <w:t>污染物</w:t>
            </w:r>
          </w:p>
        </w:tc>
        <w:tc>
          <w:tcPr>
            <w:tcW w:w="3318" w:type="dxa"/>
            <w:tcBorders>
              <w:tl2br w:val="nil"/>
              <w:tr2bl w:val="nil"/>
            </w:tcBorders>
            <w:vAlign w:val="center"/>
          </w:tcPr>
          <w:p>
            <w:pPr>
              <w:spacing w:line="240" w:lineRule="auto"/>
              <w:jc w:val="center"/>
            </w:pPr>
            <w:r>
              <w:t>总量控制指标（t/a）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2412" w:type="dxa"/>
            <w:vMerge w:val="restart"/>
            <w:tcBorders>
              <w:tl2br w:val="nil"/>
              <w:tr2bl w:val="nil"/>
            </w:tcBorders>
            <w:vAlign w:val="center"/>
          </w:tcPr>
          <w:p>
            <w:pPr>
              <w:spacing w:line="240" w:lineRule="auto"/>
              <w:jc w:val="center"/>
            </w:pPr>
            <w:r>
              <w:rPr>
                <w:rFonts w:hint="eastAsia"/>
              </w:rPr>
              <w:t>废水</w:t>
            </w:r>
          </w:p>
        </w:tc>
        <w:tc>
          <w:tcPr>
            <w:tcW w:w="3216" w:type="dxa"/>
            <w:tcBorders>
              <w:tl2br w:val="nil"/>
              <w:tr2bl w:val="nil"/>
            </w:tcBorders>
            <w:vAlign w:val="center"/>
          </w:tcPr>
          <w:p>
            <w:pPr>
              <w:spacing w:line="240" w:lineRule="auto"/>
              <w:jc w:val="center"/>
            </w:pPr>
            <w:r>
              <w:t>COD</w:t>
            </w:r>
          </w:p>
        </w:tc>
        <w:tc>
          <w:tcPr>
            <w:tcW w:w="3318" w:type="dxa"/>
            <w:tcBorders>
              <w:tl2br w:val="nil"/>
              <w:tr2bl w:val="nil"/>
            </w:tcBorders>
            <w:vAlign w:val="center"/>
          </w:tcPr>
          <w:p>
            <w:pPr>
              <w:spacing w:line="240" w:lineRule="auto"/>
              <w:jc w:val="center"/>
              <w:rPr>
                <w:rFonts w:hint="default" w:eastAsia="宋体"/>
                <w:highlight w:val="none"/>
                <w:lang w:val="en-US" w:eastAsia="zh-CN"/>
              </w:rPr>
            </w:pPr>
            <w:r>
              <w:rPr>
                <w:rFonts w:hint="eastAsia"/>
                <w:highlight w:val="none"/>
                <w:lang w:val="en-US" w:eastAsia="zh-CN"/>
              </w:rPr>
              <w:t>2.63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412" w:type="dxa"/>
            <w:vMerge w:val="continue"/>
            <w:tcBorders>
              <w:tl2br w:val="nil"/>
              <w:tr2bl w:val="nil"/>
            </w:tcBorders>
            <w:vAlign w:val="center"/>
          </w:tcPr>
          <w:p>
            <w:pPr>
              <w:spacing w:line="240" w:lineRule="auto"/>
              <w:jc w:val="center"/>
            </w:pPr>
          </w:p>
        </w:tc>
        <w:tc>
          <w:tcPr>
            <w:tcW w:w="3216" w:type="dxa"/>
            <w:tcBorders>
              <w:tl2br w:val="nil"/>
              <w:tr2bl w:val="nil"/>
            </w:tcBorders>
            <w:vAlign w:val="center"/>
          </w:tcPr>
          <w:p>
            <w:pPr>
              <w:spacing w:line="240" w:lineRule="auto"/>
              <w:jc w:val="center"/>
            </w:pPr>
            <w:r>
              <w:t>NH</w:t>
            </w:r>
            <w:r>
              <w:rPr>
                <w:vertAlign w:val="subscript"/>
              </w:rPr>
              <w:t>3</w:t>
            </w:r>
            <w:r>
              <w:t>-N</w:t>
            </w:r>
          </w:p>
        </w:tc>
        <w:tc>
          <w:tcPr>
            <w:tcW w:w="3318" w:type="dxa"/>
            <w:tcBorders>
              <w:tl2br w:val="nil"/>
              <w:tr2bl w:val="nil"/>
            </w:tcBorders>
            <w:vAlign w:val="center"/>
          </w:tcPr>
          <w:p>
            <w:pPr>
              <w:spacing w:line="240" w:lineRule="auto"/>
              <w:jc w:val="center"/>
              <w:rPr>
                <w:rFonts w:hint="default" w:eastAsia="宋体"/>
                <w:highlight w:val="none"/>
                <w:lang w:val="en-US" w:eastAsia="zh-CN"/>
              </w:rPr>
            </w:pPr>
            <w:r>
              <w:rPr>
                <w:rFonts w:hint="eastAsia"/>
                <w:highlight w:val="none"/>
                <w:lang w:val="en-US" w:eastAsia="zh-CN"/>
              </w:rPr>
              <w:t>0.25</w:t>
            </w:r>
          </w:p>
        </w:tc>
      </w:tr>
    </w:tbl>
    <w:p>
      <w:pPr>
        <w:pStyle w:val="53"/>
        <w:spacing w:line="480" w:lineRule="exact"/>
        <w:rPr>
          <w:b/>
          <w:sz w:val="24"/>
          <w:szCs w:val="24"/>
        </w:rPr>
      </w:pPr>
      <w:r>
        <w:rPr>
          <w:b/>
          <w:sz w:val="24"/>
          <w:szCs w:val="24"/>
        </w:rPr>
        <w:t>9.2.5 总量申请方案</w:t>
      </w:r>
      <w:r>
        <w:rPr>
          <w:b/>
          <w:sz w:val="24"/>
          <w:szCs w:val="24"/>
        </w:rPr>
        <w:tab/>
      </w:r>
    </w:p>
    <w:p>
      <w:pPr>
        <w:adjustRightInd/>
        <w:snapToGrid/>
        <w:ind w:firstLine="480" w:firstLineChars="200"/>
        <w:rPr>
          <w:sz w:val="24"/>
          <w:szCs w:val="24"/>
        </w:rPr>
      </w:pPr>
      <w:r>
        <w:rPr>
          <w:sz w:val="24"/>
          <w:szCs w:val="24"/>
        </w:rPr>
        <w:t>废水：项目废水进入</w:t>
      </w:r>
      <w:r>
        <w:rPr>
          <w:rFonts w:hint="eastAsia"/>
          <w:sz w:val="24"/>
          <w:szCs w:val="24"/>
          <w:lang w:eastAsia="zh-CN"/>
        </w:rPr>
        <w:t>城北污水处理厂</w:t>
      </w:r>
      <w:r>
        <w:rPr>
          <w:sz w:val="24"/>
          <w:szCs w:val="24"/>
        </w:rPr>
        <w:t>，本项目废水指标由</w:t>
      </w:r>
      <w:r>
        <w:rPr>
          <w:rFonts w:hint="eastAsia"/>
          <w:sz w:val="24"/>
          <w:szCs w:val="24"/>
          <w:lang w:eastAsia="zh-CN"/>
        </w:rPr>
        <w:t>城北污水处理厂</w:t>
      </w:r>
      <w:r>
        <w:rPr>
          <w:sz w:val="24"/>
          <w:szCs w:val="24"/>
        </w:rPr>
        <w:t>的总量控制指标中统一调配，不单独再核发总量。</w:t>
      </w:r>
    </w:p>
    <w:p>
      <w:pPr>
        <w:adjustRightInd/>
        <w:snapToGrid/>
        <w:ind w:firstLine="480" w:firstLineChars="200"/>
        <w:rPr>
          <w:color w:val="FF0000"/>
          <w:sz w:val="24"/>
          <w:szCs w:val="24"/>
        </w:rPr>
      </w:pPr>
      <w:r>
        <w:rPr>
          <w:sz w:val="24"/>
          <w:szCs w:val="24"/>
        </w:rPr>
        <w:t>废气：恶臭气体污染物NH</w:t>
      </w:r>
      <w:r>
        <w:rPr>
          <w:sz w:val="24"/>
          <w:szCs w:val="24"/>
          <w:vertAlign w:val="subscript"/>
        </w:rPr>
        <w:t>3</w:t>
      </w:r>
      <w:r>
        <w:rPr>
          <w:sz w:val="24"/>
          <w:szCs w:val="24"/>
        </w:rPr>
        <w:t>、H</w:t>
      </w:r>
      <w:r>
        <w:rPr>
          <w:sz w:val="24"/>
          <w:szCs w:val="24"/>
          <w:vertAlign w:val="subscript"/>
        </w:rPr>
        <w:t>2</w:t>
      </w:r>
      <w:r>
        <w:rPr>
          <w:sz w:val="24"/>
          <w:szCs w:val="24"/>
        </w:rPr>
        <w:t>S不属于国控污染物，不单独核发总量控制指标，本报告提出的新增总量仅作为环保主管部门核算的依据。</w:t>
      </w:r>
    </w:p>
    <w:p>
      <w:pPr>
        <w:pStyle w:val="5"/>
        <w:jc w:val="center"/>
        <w:rPr>
          <w:rFonts w:eastAsia="黑体"/>
          <w:sz w:val="36"/>
          <w:szCs w:val="36"/>
        </w:rPr>
      </w:pPr>
      <w:r>
        <w:rPr>
          <w:sz w:val="44"/>
          <w:szCs w:val="44"/>
        </w:rPr>
        <w:br w:type="page"/>
      </w:r>
      <w:bookmarkStart w:id="287" w:name="_Toc18647_WPSOffice_Level1"/>
      <w:bookmarkStart w:id="288" w:name="_Toc532395360"/>
      <w:r>
        <w:rPr>
          <w:rFonts w:eastAsia="黑体"/>
          <w:sz w:val="36"/>
          <w:szCs w:val="36"/>
        </w:rPr>
        <w:t xml:space="preserve">第十章  </w:t>
      </w:r>
      <w:r>
        <w:rPr>
          <w:rFonts w:hint="eastAsia" w:eastAsia="黑体"/>
          <w:sz w:val="36"/>
          <w:szCs w:val="36"/>
        </w:rPr>
        <w:t>环境影响评价</w:t>
      </w:r>
      <w:r>
        <w:rPr>
          <w:rFonts w:eastAsia="黑体"/>
          <w:sz w:val="36"/>
          <w:szCs w:val="36"/>
        </w:rPr>
        <w:t>结论</w:t>
      </w:r>
      <w:bookmarkEnd w:id="287"/>
      <w:bookmarkEnd w:id="288"/>
    </w:p>
    <w:p>
      <w:pPr>
        <w:pStyle w:val="5"/>
        <w:rPr>
          <w:sz w:val="24"/>
          <w:szCs w:val="24"/>
        </w:rPr>
      </w:pPr>
      <w:bookmarkStart w:id="289" w:name="_Toc532395361"/>
      <w:bookmarkStart w:id="290" w:name="_Toc19953_WPSOffice_Level2"/>
      <w:r>
        <w:rPr>
          <w:sz w:val="24"/>
          <w:szCs w:val="24"/>
        </w:rPr>
        <w:t>1</w:t>
      </w:r>
      <w:r>
        <w:rPr>
          <w:rFonts w:hint="eastAsia"/>
          <w:sz w:val="24"/>
          <w:szCs w:val="24"/>
        </w:rPr>
        <w:t>0</w:t>
      </w:r>
      <w:r>
        <w:rPr>
          <w:sz w:val="24"/>
          <w:szCs w:val="24"/>
        </w:rPr>
        <w:t>.1 项目建设概况</w:t>
      </w:r>
      <w:bookmarkEnd w:id="289"/>
      <w:bookmarkEnd w:id="290"/>
    </w:p>
    <w:p>
      <w:pPr>
        <w:ind w:firstLine="480" w:firstLineChars="200"/>
        <w:rPr>
          <w:color w:val="FF0000"/>
          <w:sz w:val="24"/>
          <w:szCs w:val="24"/>
        </w:rPr>
      </w:pPr>
      <w:bookmarkStart w:id="291" w:name="_Toc9040_WPSOffice_Level2"/>
      <w:bookmarkStart w:id="292" w:name="_Toc532395362"/>
      <w:r>
        <w:rPr>
          <w:rFonts w:hint="eastAsia"/>
          <w:color w:val="auto"/>
          <w:sz w:val="24"/>
          <w:szCs w:val="24"/>
          <w:lang w:eastAsia="zh-CN"/>
        </w:rPr>
        <w:t>六安凯旭服饰有限公司年产150万件职工编制生产线项目</w:t>
      </w:r>
      <w:r>
        <w:rPr>
          <w:color w:val="auto"/>
          <w:sz w:val="24"/>
          <w:szCs w:val="24"/>
        </w:rPr>
        <w:t>主要从事</w:t>
      </w:r>
      <w:r>
        <w:rPr>
          <w:rFonts w:hint="eastAsia"/>
          <w:color w:val="auto"/>
          <w:sz w:val="24"/>
          <w:szCs w:val="24"/>
          <w:lang w:eastAsia="zh-CN"/>
        </w:rPr>
        <w:t>服装加工水洗等</w:t>
      </w:r>
      <w:r>
        <w:rPr>
          <w:color w:val="auto"/>
          <w:sz w:val="24"/>
          <w:szCs w:val="24"/>
        </w:rPr>
        <w:t>生产活动，总占地面积</w:t>
      </w:r>
      <w:r>
        <w:rPr>
          <w:rFonts w:hint="eastAsia"/>
          <w:color w:val="auto"/>
          <w:sz w:val="24"/>
          <w:szCs w:val="24"/>
          <w:lang w:val="en-US" w:eastAsia="zh-CN"/>
        </w:rPr>
        <w:t>9983</w:t>
      </w:r>
      <w:r>
        <w:rPr>
          <w:color w:val="auto"/>
          <w:sz w:val="24"/>
          <w:szCs w:val="24"/>
        </w:rPr>
        <w:t>m</w:t>
      </w:r>
      <w:r>
        <w:rPr>
          <w:color w:val="auto"/>
          <w:sz w:val="24"/>
          <w:szCs w:val="24"/>
          <w:vertAlign w:val="superscript"/>
        </w:rPr>
        <w:t>2</w:t>
      </w:r>
      <w:r>
        <w:rPr>
          <w:color w:val="auto"/>
          <w:sz w:val="24"/>
          <w:szCs w:val="24"/>
        </w:rPr>
        <w:t>，规划总建筑面积为</w:t>
      </w:r>
      <w:r>
        <w:rPr>
          <w:rFonts w:hint="eastAsia"/>
          <w:color w:val="auto"/>
          <w:sz w:val="24"/>
          <w:szCs w:val="24"/>
          <w:lang w:val="en-US" w:eastAsia="zh-CN"/>
        </w:rPr>
        <w:t>12147</w:t>
      </w:r>
      <w:r>
        <w:rPr>
          <w:color w:val="auto"/>
          <w:sz w:val="24"/>
          <w:szCs w:val="24"/>
        </w:rPr>
        <w:t>m</w:t>
      </w:r>
      <w:r>
        <w:rPr>
          <w:color w:val="auto"/>
          <w:sz w:val="24"/>
          <w:szCs w:val="24"/>
          <w:vertAlign w:val="superscript"/>
        </w:rPr>
        <w:t>2</w:t>
      </w:r>
      <w:r>
        <w:rPr>
          <w:color w:val="auto"/>
          <w:sz w:val="24"/>
          <w:szCs w:val="24"/>
        </w:rPr>
        <w:t>，总投资</w:t>
      </w:r>
      <w:r>
        <w:rPr>
          <w:rFonts w:hint="eastAsia"/>
          <w:color w:val="auto"/>
          <w:sz w:val="24"/>
          <w:szCs w:val="24"/>
          <w:lang w:val="en-US" w:eastAsia="zh-CN"/>
        </w:rPr>
        <w:t>1000</w:t>
      </w:r>
      <w:r>
        <w:rPr>
          <w:color w:val="auto"/>
          <w:sz w:val="24"/>
          <w:szCs w:val="24"/>
        </w:rPr>
        <w:t>万元，其中环保投资</w:t>
      </w:r>
      <w:r>
        <w:rPr>
          <w:rFonts w:hint="eastAsia"/>
          <w:color w:val="auto"/>
          <w:sz w:val="24"/>
          <w:szCs w:val="24"/>
          <w:lang w:val="en-US" w:eastAsia="zh-CN"/>
        </w:rPr>
        <w:t>35</w:t>
      </w:r>
      <w:r>
        <w:rPr>
          <w:color w:val="auto"/>
          <w:sz w:val="24"/>
          <w:szCs w:val="24"/>
        </w:rPr>
        <w:t>万元，占总投资的</w:t>
      </w:r>
      <w:r>
        <w:rPr>
          <w:rFonts w:hint="eastAsia"/>
          <w:color w:val="auto"/>
          <w:sz w:val="24"/>
          <w:szCs w:val="24"/>
          <w:lang w:val="en-US" w:eastAsia="zh-CN"/>
        </w:rPr>
        <w:t>3.5</w:t>
      </w:r>
      <w:r>
        <w:rPr>
          <w:color w:val="auto"/>
          <w:sz w:val="24"/>
          <w:szCs w:val="24"/>
        </w:rPr>
        <w:t>%。</w:t>
      </w:r>
      <w:r>
        <w:rPr>
          <w:rFonts w:hint="eastAsia"/>
          <w:color w:val="auto"/>
          <w:sz w:val="24"/>
          <w:szCs w:val="24"/>
        </w:rPr>
        <w:t>项目主要由</w:t>
      </w:r>
      <w:r>
        <w:rPr>
          <w:rFonts w:hint="eastAsia"/>
          <w:color w:val="auto"/>
          <w:sz w:val="24"/>
          <w:szCs w:val="24"/>
          <w:lang w:eastAsia="zh-CN"/>
        </w:rPr>
        <w:t>服装加工生产线</w:t>
      </w:r>
      <w:r>
        <w:rPr>
          <w:rFonts w:hint="eastAsia"/>
          <w:color w:val="auto"/>
          <w:sz w:val="24"/>
          <w:szCs w:val="24"/>
        </w:rPr>
        <w:t>、检验区、</w:t>
      </w:r>
      <w:r>
        <w:rPr>
          <w:rFonts w:hint="eastAsia"/>
          <w:color w:val="auto"/>
          <w:sz w:val="24"/>
          <w:szCs w:val="24"/>
          <w:lang w:eastAsia="zh-CN"/>
        </w:rPr>
        <w:t>成品</w:t>
      </w:r>
      <w:r>
        <w:rPr>
          <w:rFonts w:hint="eastAsia"/>
          <w:color w:val="auto"/>
          <w:sz w:val="24"/>
          <w:szCs w:val="24"/>
        </w:rPr>
        <w:t>仓库、</w:t>
      </w:r>
      <w:r>
        <w:rPr>
          <w:rFonts w:hint="eastAsia"/>
          <w:color w:val="auto"/>
          <w:sz w:val="24"/>
          <w:szCs w:val="24"/>
          <w:lang w:eastAsia="zh-CN"/>
        </w:rPr>
        <w:t>原料仓库</w:t>
      </w:r>
      <w:r>
        <w:rPr>
          <w:rFonts w:hint="eastAsia"/>
          <w:color w:val="auto"/>
          <w:sz w:val="24"/>
          <w:szCs w:val="24"/>
        </w:rPr>
        <w:t>及相关环保工程组成，其中</w:t>
      </w:r>
      <w:r>
        <w:rPr>
          <w:rFonts w:hint="eastAsia"/>
          <w:color w:val="auto"/>
          <w:sz w:val="24"/>
          <w:szCs w:val="24"/>
          <w:lang w:eastAsia="zh-CN"/>
        </w:rPr>
        <w:t>服装加工生产线</w:t>
      </w:r>
      <w:r>
        <w:rPr>
          <w:rFonts w:hint="eastAsia"/>
          <w:color w:val="auto"/>
          <w:sz w:val="24"/>
          <w:szCs w:val="24"/>
        </w:rPr>
        <w:t>布设</w:t>
      </w:r>
      <w:r>
        <w:rPr>
          <w:rFonts w:hint="eastAsia"/>
          <w:color w:val="auto"/>
          <w:sz w:val="24"/>
          <w:szCs w:val="24"/>
          <w:lang w:eastAsia="zh-CN"/>
        </w:rPr>
        <w:t>电脑横机、平车机、套口机、工业水洗机、脱水机等</w:t>
      </w:r>
      <w:r>
        <w:rPr>
          <w:rFonts w:hint="eastAsia"/>
          <w:color w:val="auto"/>
          <w:sz w:val="24"/>
          <w:szCs w:val="24"/>
        </w:rPr>
        <w:t>设备进行</w:t>
      </w:r>
      <w:r>
        <w:rPr>
          <w:rFonts w:hint="eastAsia"/>
          <w:color w:val="auto"/>
          <w:sz w:val="24"/>
          <w:szCs w:val="24"/>
          <w:lang w:eastAsia="zh-CN"/>
        </w:rPr>
        <w:t>服装加工水洗</w:t>
      </w:r>
      <w:r>
        <w:rPr>
          <w:rFonts w:hint="eastAsia"/>
          <w:color w:val="auto"/>
          <w:sz w:val="24"/>
          <w:szCs w:val="24"/>
        </w:rPr>
        <w:t>，</w:t>
      </w:r>
      <w:r>
        <w:rPr>
          <w:color w:val="auto"/>
          <w:sz w:val="24"/>
          <w:szCs w:val="24"/>
        </w:rPr>
        <w:t>运行后能够达到</w:t>
      </w:r>
      <w:r>
        <w:rPr>
          <w:rFonts w:hint="eastAsia"/>
          <w:color w:val="auto"/>
          <w:sz w:val="24"/>
          <w:szCs w:val="24"/>
          <w:lang w:eastAsia="zh-CN"/>
        </w:rPr>
        <w:t>年产</w:t>
      </w:r>
      <w:r>
        <w:rPr>
          <w:rFonts w:hint="eastAsia"/>
          <w:color w:val="auto"/>
          <w:sz w:val="24"/>
          <w:szCs w:val="24"/>
          <w:lang w:val="en-US" w:eastAsia="zh-CN"/>
        </w:rPr>
        <w:t>150万件服装</w:t>
      </w:r>
      <w:r>
        <w:rPr>
          <w:rFonts w:hint="eastAsia"/>
          <w:color w:val="auto"/>
          <w:sz w:val="24"/>
          <w:szCs w:val="24"/>
        </w:rPr>
        <w:t>生产能力</w:t>
      </w:r>
      <w:r>
        <w:rPr>
          <w:color w:val="auto"/>
          <w:sz w:val="24"/>
          <w:szCs w:val="24"/>
        </w:rPr>
        <w:t>。</w:t>
      </w:r>
    </w:p>
    <w:p>
      <w:pPr>
        <w:pStyle w:val="5"/>
        <w:rPr>
          <w:sz w:val="24"/>
          <w:szCs w:val="24"/>
        </w:rPr>
      </w:pPr>
      <w:r>
        <w:rPr>
          <w:sz w:val="24"/>
          <w:szCs w:val="24"/>
        </w:rPr>
        <w:t>1</w:t>
      </w:r>
      <w:r>
        <w:rPr>
          <w:rFonts w:hint="eastAsia"/>
          <w:sz w:val="24"/>
          <w:szCs w:val="24"/>
        </w:rPr>
        <w:t>0</w:t>
      </w:r>
      <w:r>
        <w:rPr>
          <w:sz w:val="24"/>
          <w:szCs w:val="24"/>
        </w:rPr>
        <w:t>.2 项目产业政策与规划符合性</w:t>
      </w:r>
      <w:bookmarkEnd w:id="291"/>
      <w:bookmarkEnd w:id="292"/>
    </w:p>
    <w:p>
      <w:pPr>
        <w:ind w:firstLine="480" w:firstLineChars="200"/>
        <w:rPr>
          <w:bCs/>
          <w:sz w:val="24"/>
          <w:szCs w:val="24"/>
        </w:rPr>
      </w:pPr>
      <w:r>
        <w:rPr>
          <w:bCs/>
          <w:sz w:val="24"/>
          <w:szCs w:val="24"/>
        </w:rPr>
        <w:t>1、产业政策符合性</w:t>
      </w:r>
    </w:p>
    <w:p>
      <w:pPr>
        <w:ind w:firstLine="480" w:firstLineChars="200"/>
        <w:rPr>
          <w:sz w:val="24"/>
        </w:rPr>
      </w:pPr>
      <w:r>
        <w:rPr>
          <w:sz w:val="24"/>
        </w:rPr>
        <w:t>本项目主要为</w:t>
      </w:r>
      <w:r>
        <w:rPr>
          <w:rFonts w:hint="eastAsia"/>
          <w:sz w:val="24"/>
          <w:lang w:eastAsia="zh-CN"/>
        </w:rPr>
        <w:t>服装制造业</w:t>
      </w:r>
      <w:r>
        <w:rPr>
          <w:sz w:val="24"/>
        </w:rPr>
        <w:t>，根据国发改第21号令2013-2-16《产业结构调整指导目录（2011年本）</w:t>
      </w:r>
      <w:r>
        <w:rPr>
          <w:rFonts w:hint="eastAsia"/>
          <w:sz w:val="24"/>
        </w:rPr>
        <w:t>（</w:t>
      </w:r>
      <w:r>
        <w:rPr>
          <w:sz w:val="24"/>
        </w:rPr>
        <w:t>2013修正</w:t>
      </w:r>
      <w:r>
        <w:rPr>
          <w:rFonts w:hint="eastAsia"/>
          <w:sz w:val="24"/>
        </w:rPr>
        <w:t>）</w:t>
      </w:r>
      <w:r>
        <w:rPr>
          <w:sz w:val="24"/>
        </w:rPr>
        <w:t>》、《安徽省工业产业结构调整指导目录》可知，本项目不属于其中鼓励类、限制类与淘汰类项目，可视为允许项目，因此本项目的建设符合国家的产业政策及安徽省工业产业结构调整指导目录要求。</w:t>
      </w:r>
    </w:p>
    <w:p>
      <w:pPr>
        <w:autoSpaceDE w:val="0"/>
        <w:autoSpaceDN w:val="0"/>
        <w:ind w:firstLine="480" w:firstLineChars="200"/>
        <w:rPr>
          <w:sz w:val="24"/>
        </w:rPr>
      </w:pPr>
      <w:r>
        <w:rPr>
          <w:sz w:val="24"/>
        </w:rPr>
        <w:t>目前该项目已取得</w:t>
      </w:r>
      <w:r>
        <w:rPr>
          <w:rFonts w:hint="eastAsia"/>
          <w:kern w:val="0"/>
          <w:sz w:val="24"/>
          <w:szCs w:val="24"/>
          <w:lang w:eastAsia="zh-CN"/>
        </w:rPr>
        <w:t>六安市经开区发展规划局</w:t>
      </w:r>
      <w:r>
        <w:rPr>
          <w:rFonts w:hint="eastAsia"/>
          <w:sz w:val="24"/>
        </w:rPr>
        <w:t>项目备案表</w:t>
      </w:r>
      <w:r>
        <w:rPr>
          <w:sz w:val="24"/>
          <w:szCs w:val="24"/>
        </w:rPr>
        <w:t>，项目代码：</w:t>
      </w:r>
      <w:r>
        <w:rPr>
          <w:rFonts w:hint="eastAsia"/>
          <w:sz w:val="24"/>
          <w:szCs w:val="24"/>
          <w:lang w:val="en-US" w:eastAsia="zh-CN"/>
        </w:rPr>
        <w:t>2019-341562-18-03-012099</w:t>
      </w:r>
      <w:r>
        <w:rPr>
          <w:sz w:val="24"/>
          <w:szCs w:val="24"/>
        </w:rPr>
        <w:t>；</w:t>
      </w:r>
      <w:r>
        <w:rPr>
          <w:rFonts w:hint="eastAsia"/>
          <w:sz w:val="24"/>
        </w:rPr>
        <w:t>因此</w:t>
      </w:r>
      <w:r>
        <w:rPr>
          <w:sz w:val="24"/>
        </w:rPr>
        <w:t>项目建设符合地方产业政策。</w:t>
      </w:r>
    </w:p>
    <w:p>
      <w:pPr>
        <w:snapToGrid/>
        <w:ind w:firstLine="480" w:firstLineChars="200"/>
        <w:rPr>
          <w:bCs/>
          <w:sz w:val="24"/>
          <w:szCs w:val="24"/>
        </w:rPr>
      </w:pPr>
      <w:r>
        <w:rPr>
          <w:bCs/>
          <w:sz w:val="24"/>
          <w:szCs w:val="24"/>
        </w:rPr>
        <w:t>2、项目选址环境可行性</w:t>
      </w:r>
    </w:p>
    <w:p>
      <w:pPr>
        <w:ind w:firstLine="480" w:firstLineChars="200"/>
      </w:pPr>
      <w:r>
        <w:rPr>
          <w:kern w:val="0"/>
          <w:sz w:val="24"/>
        </w:rPr>
        <w:t>项目选址位于</w:t>
      </w:r>
      <w:r>
        <w:rPr>
          <w:rFonts w:hint="eastAsia"/>
          <w:kern w:val="0"/>
          <w:sz w:val="24"/>
          <w:lang w:eastAsia="zh-CN"/>
        </w:rPr>
        <w:t>六安市经济开发区</w:t>
      </w:r>
      <w:r>
        <w:rPr>
          <w:sz w:val="24"/>
        </w:rPr>
        <w:t>，项目所在地是建设用地，</w:t>
      </w:r>
      <w:r>
        <w:rPr>
          <w:rFonts w:hint="eastAsia"/>
          <w:kern w:val="0"/>
          <w:sz w:val="24"/>
          <w:lang w:val="zh-CN"/>
        </w:rPr>
        <w:t>根据与六安市经济技术开发区管理委员签订的投资协议书，本项目不属于禁止入驻项目、不属于限制入驻项目，</w:t>
      </w:r>
      <w:r>
        <w:rPr>
          <w:sz w:val="24"/>
        </w:rPr>
        <w:t>因此选址符合</w:t>
      </w:r>
      <w:r>
        <w:rPr>
          <w:kern w:val="0"/>
          <w:sz w:val="24"/>
        </w:rPr>
        <w:t>规划要求。</w:t>
      </w:r>
    </w:p>
    <w:p>
      <w:pPr>
        <w:snapToGrid/>
        <w:ind w:firstLine="480" w:firstLineChars="200"/>
        <w:rPr>
          <w:sz w:val="24"/>
          <w:szCs w:val="24"/>
        </w:rPr>
      </w:pPr>
      <w:r>
        <w:rPr>
          <w:sz w:val="24"/>
          <w:szCs w:val="24"/>
        </w:rPr>
        <w:t>3、项目选址周边环境相容性分析</w:t>
      </w:r>
    </w:p>
    <w:p>
      <w:pPr>
        <w:ind w:firstLine="480" w:firstLineChars="200"/>
        <w:rPr>
          <w:bCs/>
          <w:sz w:val="24"/>
          <w:szCs w:val="24"/>
        </w:rPr>
      </w:pPr>
      <w:r>
        <w:rPr>
          <w:sz w:val="24"/>
          <w:szCs w:val="24"/>
        </w:rPr>
        <w:t>项目位于</w:t>
      </w:r>
      <w:r>
        <w:rPr>
          <w:rFonts w:hint="eastAsia"/>
          <w:sz w:val="24"/>
          <w:szCs w:val="24"/>
          <w:lang w:eastAsia="zh-CN"/>
        </w:rPr>
        <w:t>六安市经开区东城都路</w:t>
      </w:r>
      <w:r>
        <w:rPr>
          <w:sz w:val="24"/>
          <w:szCs w:val="24"/>
        </w:rPr>
        <w:t>，</w:t>
      </w:r>
      <w:r>
        <w:rPr>
          <w:rFonts w:hint="eastAsia"/>
          <w:sz w:val="24"/>
          <w:szCs w:val="24"/>
          <w:lang w:eastAsia="zh-CN"/>
        </w:rPr>
        <w:t>周边以工业企业为主</w:t>
      </w:r>
      <w:r>
        <w:rPr>
          <w:sz w:val="24"/>
          <w:szCs w:val="24"/>
        </w:rPr>
        <w:t>。</w:t>
      </w:r>
      <w:r>
        <w:rPr>
          <w:bCs/>
          <w:sz w:val="24"/>
          <w:szCs w:val="24"/>
        </w:rPr>
        <w:t>项目</w:t>
      </w:r>
      <w:r>
        <w:rPr>
          <w:rFonts w:hint="eastAsia"/>
          <w:bCs/>
          <w:sz w:val="24"/>
          <w:szCs w:val="24"/>
        </w:rPr>
        <w:t>周围</w:t>
      </w:r>
      <w:r>
        <w:rPr>
          <w:bCs/>
          <w:sz w:val="24"/>
          <w:szCs w:val="24"/>
        </w:rPr>
        <w:t>环境敏感目标较少，由预测章节可知，项目排放的废气</w:t>
      </w:r>
      <w:r>
        <w:rPr>
          <w:rFonts w:hint="eastAsia"/>
          <w:bCs/>
          <w:sz w:val="24"/>
          <w:szCs w:val="24"/>
          <w:lang w:eastAsia="zh-CN"/>
        </w:rPr>
        <w:t>、废水以及</w:t>
      </w:r>
      <w:r>
        <w:rPr>
          <w:bCs/>
          <w:sz w:val="24"/>
          <w:szCs w:val="24"/>
        </w:rPr>
        <w:t>噪声均不会对周边环境产生明显影响。</w:t>
      </w:r>
    </w:p>
    <w:p>
      <w:pPr>
        <w:ind w:firstLine="480" w:firstLineChars="200"/>
        <w:rPr>
          <w:sz w:val="24"/>
          <w:szCs w:val="24"/>
        </w:rPr>
      </w:pPr>
      <w:r>
        <w:rPr>
          <w:sz w:val="24"/>
          <w:szCs w:val="24"/>
        </w:rPr>
        <w:t>4、建设条件</w:t>
      </w:r>
    </w:p>
    <w:p>
      <w:pPr>
        <w:ind w:firstLine="480" w:firstLineChars="200"/>
        <w:rPr>
          <w:sz w:val="24"/>
          <w:szCs w:val="24"/>
        </w:rPr>
      </w:pPr>
      <w:r>
        <w:rPr>
          <w:sz w:val="24"/>
          <w:szCs w:val="24"/>
        </w:rPr>
        <w:t>项目所需水、电等能源均由市政供水、供电管网供给，能源充足。</w:t>
      </w:r>
      <w:r>
        <w:rPr>
          <w:sz w:val="24"/>
          <w:szCs w:val="24"/>
          <w:highlight w:val="none"/>
          <w:lang w:val="zh-CN"/>
        </w:rPr>
        <w:t>项目运</w:t>
      </w:r>
      <w:r>
        <w:rPr>
          <w:color w:val="auto"/>
          <w:sz w:val="24"/>
          <w:szCs w:val="24"/>
          <w:highlight w:val="none"/>
          <w:lang w:val="zh-CN"/>
        </w:rPr>
        <w:t>营期产生的</w:t>
      </w:r>
      <w:r>
        <w:rPr>
          <w:rFonts w:hint="eastAsia"/>
          <w:color w:val="auto"/>
          <w:sz w:val="24"/>
          <w:szCs w:val="24"/>
          <w:highlight w:val="none"/>
          <w:lang w:val="zh-CN"/>
        </w:rPr>
        <w:t>生产废水</w:t>
      </w:r>
      <w:r>
        <w:rPr>
          <w:color w:val="auto"/>
          <w:sz w:val="24"/>
          <w:szCs w:val="24"/>
          <w:highlight w:val="none"/>
          <w:lang w:val="zh-CN"/>
        </w:rPr>
        <w:t>经自建污水站处理达标后</w:t>
      </w:r>
      <w:r>
        <w:rPr>
          <w:rFonts w:hint="eastAsia"/>
          <w:color w:val="auto"/>
          <w:sz w:val="24"/>
          <w:szCs w:val="24"/>
          <w:highlight w:val="none"/>
          <w:lang w:val="zh-CN"/>
        </w:rPr>
        <w:t>汇同经隔油池和化粪池预处理后的生活污水经市政污水管网排入城北污水处理厂；污水处理站</w:t>
      </w:r>
      <w:r>
        <w:rPr>
          <w:color w:val="auto"/>
          <w:sz w:val="24"/>
          <w:szCs w:val="24"/>
          <w:highlight w:val="none"/>
          <w:lang w:val="zh-CN"/>
        </w:rPr>
        <w:t>恶臭污染物经相应的污染防治措施治理后均可达标排放，</w:t>
      </w:r>
      <w:r>
        <w:rPr>
          <w:rFonts w:hint="eastAsia"/>
          <w:color w:val="auto"/>
          <w:sz w:val="24"/>
          <w:szCs w:val="24"/>
          <w:highlight w:val="none"/>
          <w:lang w:val="zh-CN"/>
        </w:rPr>
        <w:t>食堂油烟经油烟净化器处理后于楼顶排放，</w:t>
      </w:r>
      <w:r>
        <w:rPr>
          <w:color w:val="auto"/>
          <w:sz w:val="24"/>
          <w:szCs w:val="24"/>
          <w:highlight w:val="none"/>
          <w:lang w:val="zh-CN"/>
        </w:rPr>
        <w:t>对周边环境影响是可接受的；各类固体废物分类收集，资源利用，均实现无害化处置。</w:t>
      </w:r>
    </w:p>
    <w:p>
      <w:pPr>
        <w:pStyle w:val="36"/>
        <w:spacing w:line="360" w:lineRule="auto"/>
        <w:ind w:left="420" w:leftChars="200"/>
        <w:rPr>
          <w:rFonts w:ascii="Times New Roman" w:cs="Times New Roman"/>
        </w:rPr>
      </w:pPr>
      <w:r>
        <w:rPr>
          <w:rFonts w:hint="eastAsia" w:ascii="Times New Roman" w:cs="Times New Roman"/>
        </w:rPr>
        <w:t>5、“三线一单”相符性</w:t>
      </w:r>
    </w:p>
    <w:p>
      <w:pPr>
        <w:pStyle w:val="36"/>
        <w:spacing w:line="360" w:lineRule="auto"/>
        <w:ind w:firstLine="480" w:firstLineChars="200"/>
        <w:rPr>
          <w:rFonts w:ascii="Times New Roman" w:cs="Times New Roman"/>
        </w:rPr>
      </w:pPr>
      <w:r>
        <w:rPr>
          <w:rFonts w:ascii="Times New Roman" w:cs="Times New Roman"/>
        </w:rPr>
        <w:t>根据《关于以改善环境质量为核心、加强环境影响评价管理的通知》（环环评[2016]150号）（简称三线一单）要求，落实“生态保护红线、环境质量底线、资源利用上线和环境准入负面清单”（简称“三线一单”）约束，本项目符合《关于以改善环境质量为核心加强环境影响评价管理的通知》（环环评[2016]150号）（简称三线一单）文件要求。</w:t>
      </w:r>
    </w:p>
    <w:p>
      <w:pPr>
        <w:ind w:firstLine="480" w:firstLineChars="200"/>
        <w:rPr>
          <w:sz w:val="24"/>
          <w:szCs w:val="24"/>
        </w:rPr>
      </w:pPr>
      <w:r>
        <w:rPr>
          <w:sz w:val="24"/>
          <w:szCs w:val="24"/>
        </w:rPr>
        <w:t>因此，从建设条件而言，项目选址是可行的。</w:t>
      </w:r>
    </w:p>
    <w:p>
      <w:pPr>
        <w:pStyle w:val="5"/>
        <w:rPr>
          <w:sz w:val="24"/>
          <w:szCs w:val="24"/>
        </w:rPr>
      </w:pPr>
      <w:bookmarkStart w:id="293" w:name="_Toc2784_WPSOffice_Level2"/>
      <w:bookmarkStart w:id="294" w:name="_Toc532395363"/>
      <w:r>
        <w:rPr>
          <w:sz w:val="24"/>
          <w:szCs w:val="24"/>
        </w:rPr>
        <w:t>1</w:t>
      </w:r>
      <w:r>
        <w:rPr>
          <w:rFonts w:hint="eastAsia"/>
          <w:sz w:val="24"/>
          <w:szCs w:val="24"/>
        </w:rPr>
        <w:t>0</w:t>
      </w:r>
      <w:r>
        <w:rPr>
          <w:sz w:val="24"/>
          <w:szCs w:val="24"/>
        </w:rPr>
        <w:t>.3 环境现状评价结论</w:t>
      </w:r>
      <w:bookmarkEnd w:id="293"/>
      <w:bookmarkEnd w:id="294"/>
    </w:p>
    <w:p>
      <w:pPr>
        <w:ind w:firstLine="480" w:firstLineChars="200"/>
        <w:rPr>
          <w:sz w:val="24"/>
          <w:szCs w:val="24"/>
        </w:rPr>
      </w:pPr>
      <w:r>
        <w:rPr>
          <w:sz w:val="24"/>
          <w:szCs w:val="24"/>
        </w:rPr>
        <w:t>1、环境空气</w:t>
      </w:r>
    </w:p>
    <w:p>
      <w:pPr>
        <w:ind w:firstLine="480" w:firstLineChars="200"/>
        <w:rPr>
          <w:sz w:val="24"/>
          <w:szCs w:val="24"/>
        </w:rPr>
      </w:pPr>
      <w:r>
        <w:rPr>
          <w:sz w:val="24"/>
          <w:szCs w:val="24"/>
        </w:rPr>
        <w:t>项目所在区除PM</w:t>
      </w:r>
      <w:r>
        <w:rPr>
          <w:sz w:val="24"/>
          <w:szCs w:val="24"/>
          <w:vertAlign w:val="subscript"/>
        </w:rPr>
        <w:t>10</w:t>
      </w:r>
      <w:r>
        <w:rPr>
          <w:sz w:val="24"/>
          <w:szCs w:val="24"/>
        </w:rPr>
        <w:t>、PM</w:t>
      </w:r>
      <w:r>
        <w:rPr>
          <w:sz w:val="24"/>
          <w:szCs w:val="24"/>
          <w:vertAlign w:val="subscript"/>
        </w:rPr>
        <w:t>2.5</w:t>
      </w:r>
      <w:r>
        <w:rPr>
          <w:sz w:val="24"/>
          <w:szCs w:val="24"/>
        </w:rPr>
        <w:t>年均浓度不能满足相应标准外，其余空气环境质量均能满足相应的环境功能区划。同时，估算结果表明，项目建成运行后，在落实评价提出的各项污染物防治措施的前提下，各项污染物可以做到达标排放，不会降低区域环境质量的原有功能级别。</w:t>
      </w:r>
    </w:p>
    <w:p>
      <w:pPr>
        <w:ind w:firstLine="480" w:firstLineChars="200"/>
        <w:rPr>
          <w:sz w:val="24"/>
          <w:szCs w:val="24"/>
        </w:rPr>
      </w:pPr>
      <w:r>
        <w:rPr>
          <w:sz w:val="24"/>
          <w:szCs w:val="24"/>
        </w:rPr>
        <w:t>2、地表水</w:t>
      </w:r>
    </w:p>
    <w:p>
      <w:pPr>
        <w:tabs>
          <w:tab w:val="left" w:pos="540"/>
        </w:tabs>
        <w:autoSpaceDE w:val="0"/>
        <w:autoSpaceDN w:val="0"/>
        <w:ind w:firstLine="482"/>
        <w:rPr>
          <w:sz w:val="24"/>
          <w:szCs w:val="24"/>
        </w:rPr>
      </w:pPr>
      <w:r>
        <w:rPr>
          <w:rFonts w:hint="eastAsia"/>
          <w:sz w:val="24"/>
          <w:szCs w:val="24"/>
        </w:rPr>
        <w:t>由</w:t>
      </w:r>
      <w:r>
        <w:rPr>
          <w:rFonts w:hint="eastAsia"/>
          <w:sz w:val="24"/>
          <w:szCs w:val="24"/>
          <w:lang w:eastAsia="zh-CN"/>
        </w:rPr>
        <w:t>淠河地表水现状质量监测数据可知，</w:t>
      </w:r>
      <w:r>
        <w:rPr>
          <w:rFonts w:hint="eastAsia"/>
          <w:sz w:val="24"/>
          <w:szCs w:val="24"/>
        </w:rPr>
        <w:t>地表水</w:t>
      </w:r>
      <w:r>
        <w:rPr>
          <w:sz w:val="24"/>
          <w:szCs w:val="24"/>
        </w:rPr>
        <w:t>能达到《地表水环境质量标准》（GB3838-2002）</w:t>
      </w:r>
      <w:r>
        <w:rPr>
          <w:rFonts w:hint="eastAsia" w:ascii="宋体" w:hAnsi="宋体" w:eastAsia="宋体" w:cs="宋体"/>
          <w:sz w:val="24"/>
          <w:szCs w:val="24"/>
        </w:rPr>
        <w:t>Ⅲ</w:t>
      </w:r>
      <w:r>
        <w:rPr>
          <w:rFonts w:hint="eastAsia" w:ascii="宋体" w:hAnsi="宋体" w:eastAsia="宋体" w:cs="宋体"/>
          <w:sz w:val="24"/>
          <w:szCs w:val="24"/>
          <w:lang w:eastAsia="zh-CN"/>
        </w:rPr>
        <w:t>类</w:t>
      </w:r>
      <w:r>
        <w:rPr>
          <w:sz w:val="24"/>
          <w:szCs w:val="24"/>
        </w:rPr>
        <w:t>标准要求</w:t>
      </w:r>
      <w:r>
        <w:rPr>
          <w:sz w:val="24"/>
          <w:szCs w:val="24"/>
          <w:lang w:val="zh-CN"/>
        </w:rPr>
        <w:t>。</w:t>
      </w:r>
    </w:p>
    <w:p>
      <w:pPr>
        <w:ind w:firstLine="480" w:firstLineChars="200"/>
        <w:rPr>
          <w:sz w:val="24"/>
          <w:szCs w:val="24"/>
        </w:rPr>
      </w:pPr>
      <w:r>
        <w:rPr>
          <w:sz w:val="24"/>
          <w:szCs w:val="24"/>
        </w:rPr>
        <w:t>3、声环境</w:t>
      </w:r>
    </w:p>
    <w:p>
      <w:pPr>
        <w:ind w:firstLine="523" w:firstLineChars="218"/>
        <w:rPr>
          <w:sz w:val="24"/>
          <w:szCs w:val="24"/>
        </w:rPr>
      </w:pPr>
      <w:r>
        <w:rPr>
          <w:sz w:val="24"/>
          <w:szCs w:val="24"/>
        </w:rPr>
        <w:t>通过现场监测，项目所在区域的声环境能够满足《声环境质量标准》（GB3096-2008）中的</w:t>
      </w:r>
      <w:r>
        <w:rPr>
          <w:rFonts w:hint="eastAsia"/>
          <w:sz w:val="24"/>
          <w:szCs w:val="24"/>
          <w:lang w:val="en-US" w:eastAsia="zh-CN"/>
        </w:rPr>
        <w:t>3</w:t>
      </w:r>
      <w:r>
        <w:rPr>
          <w:sz w:val="24"/>
          <w:szCs w:val="24"/>
        </w:rPr>
        <w:t>类</w:t>
      </w:r>
      <w:r>
        <w:rPr>
          <w:rFonts w:hint="eastAsia"/>
          <w:sz w:val="24"/>
          <w:szCs w:val="24"/>
          <w:lang w:eastAsia="zh-CN"/>
        </w:rPr>
        <w:t>区</w:t>
      </w:r>
      <w:r>
        <w:rPr>
          <w:sz w:val="24"/>
          <w:szCs w:val="24"/>
        </w:rPr>
        <w:t>标准限值的要求。</w:t>
      </w:r>
    </w:p>
    <w:p>
      <w:pPr>
        <w:pStyle w:val="5"/>
        <w:rPr>
          <w:sz w:val="24"/>
          <w:szCs w:val="24"/>
        </w:rPr>
      </w:pPr>
      <w:bookmarkStart w:id="295" w:name="_Toc532395364"/>
      <w:bookmarkStart w:id="296" w:name="_Toc21140_WPSOffice_Level2"/>
      <w:r>
        <w:rPr>
          <w:sz w:val="24"/>
          <w:szCs w:val="24"/>
        </w:rPr>
        <w:t>1</w:t>
      </w:r>
      <w:r>
        <w:rPr>
          <w:rFonts w:hint="eastAsia"/>
          <w:sz w:val="24"/>
          <w:szCs w:val="24"/>
        </w:rPr>
        <w:t>0</w:t>
      </w:r>
      <w:r>
        <w:rPr>
          <w:sz w:val="24"/>
          <w:szCs w:val="24"/>
        </w:rPr>
        <w:t>.4 环境影响预测与评价结论</w:t>
      </w:r>
      <w:bookmarkEnd w:id="295"/>
      <w:bookmarkEnd w:id="296"/>
    </w:p>
    <w:p>
      <w:pPr>
        <w:ind w:firstLine="480" w:firstLineChars="200"/>
        <w:rPr>
          <w:sz w:val="24"/>
          <w:szCs w:val="24"/>
        </w:rPr>
      </w:pPr>
      <w:r>
        <w:rPr>
          <w:sz w:val="24"/>
          <w:szCs w:val="24"/>
        </w:rPr>
        <w:t>1、大气环境影响预测</w:t>
      </w:r>
    </w:p>
    <w:p>
      <w:pPr>
        <w:ind w:firstLine="520" w:firstLineChars="217"/>
        <w:rPr>
          <w:sz w:val="24"/>
          <w:szCs w:val="24"/>
        </w:rPr>
      </w:pPr>
      <w:r>
        <w:rPr>
          <w:sz w:val="24"/>
          <w:szCs w:val="24"/>
        </w:rPr>
        <w:t>根据估算模式的预测计算结果，项目运营期间</w:t>
      </w:r>
      <w:r>
        <w:rPr>
          <w:rFonts w:hint="eastAsia"/>
          <w:sz w:val="24"/>
          <w:szCs w:val="24"/>
          <w:lang w:val="en-US" w:eastAsia="zh-CN"/>
        </w:rPr>
        <w:t>NH</w:t>
      </w:r>
      <w:r>
        <w:rPr>
          <w:rFonts w:hint="eastAsia"/>
          <w:sz w:val="24"/>
          <w:szCs w:val="24"/>
          <w:vertAlign w:val="subscript"/>
          <w:lang w:val="en-US" w:eastAsia="zh-CN"/>
        </w:rPr>
        <w:t>3</w:t>
      </w:r>
      <w:r>
        <w:rPr>
          <w:bCs/>
          <w:sz w:val="24"/>
          <w:szCs w:val="24"/>
        </w:rPr>
        <w:t>和</w:t>
      </w:r>
      <w:r>
        <w:rPr>
          <w:rFonts w:hint="eastAsia"/>
          <w:bCs/>
          <w:sz w:val="24"/>
          <w:szCs w:val="24"/>
          <w:lang w:val="en-US" w:eastAsia="zh-CN"/>
        </w:rPr>
        <w:t>H</w:t>
      </w:r>
      <w:r>
        <w:rPr>
          <w:rFonts w:hint="eastAsia"/>
          <w:bCs/>
          <w:sz w:val="24"/>
          <w:szCs w:val="24"/>
          <w:vertAlign w:val="subscript"/>
          <w:lang w:val="en-US" w:eastAsia="zh-CN"/>
        </w:rPr>
        <w:t>2</w:t>
      </w:r>
      <w:r>
        <w:rPr>
          <w:rFonts w:hint="eastAsia"/>
          <w:bCs/>
          <w:sz w:val="24"/>
          <w:szCs w:val="24"/>
          <w:lang w:val="en-US" w:eastAsia="zh-CN"/>
        </w:rPr>
        <w:t>S</w:t>
      </w:r>
      <w:r>
        <w:rPr>
          <w:bCs/>
          <w:sz w:val="24"/>
          <w:szCs w:val="24"/>
        </w:rPr>
        <w:t>无组织排放满足《恶臭污染物排放标准》（GB14554-93）表1中二级新扩改建标准限值，</w:t>
      </w:r>
      <w:r>
        <w:rPr>
          <w:sz w:val="24"/>
          <w:szCs w:val="24"/>
        </w:rPr>
        <w:t>故本项目废气对外界影响</w:t>
      </w:r>
      <w:r>
        <w:rPr>
          <w:rFonts w:hint="eastAsia"/>
          <w:sz w:val="24"/>
          <w:szCs w:val="24"/>
        </w:rPr>
        <w:t>是可接受的</w:t>
      </w:r>
      <w:r>
        <w:rPr>
          <w:sz w:val="24"/>
          <w:szCs w:val="24"/>
        </w:rPr>
        <w:t>，不会降低现有大气环境质量功能。</w:t>
      </w:r>
    </w:p>
    <w:p>
      <w:pPr>
        <w:numPr>
          <w:ilvl w:val="0"/>
          <w:numId w:val="11"/>
        </w:numPr>
        <w:ind w:firstLine="480" w:firstLineChars="200"/>
        <w:rPr>
          <w:sz w:val="24"/>
          <w:szCs w:val="24"/>
        </w:rPr>
      </w:pPr>
      <w:r>
        <w:rPr>
          <w:sz w:val="24"/>
          <w:szCs w:val="24"/>
        </w:rPr>
        <w:t>地表水环境影响分析</w:t>
      </w:r>
    </w:p>
    <w:p>
      <w:pPr>
        <w:ind w:firstLine="480" w:firstLineChars="200"/>
        <w:rPr>
          <w:sz w:val="24"/>
          <w:szCs w:val="24"/>
        </w:rPr>
      </w:pPr>
      <w:r>
        <w:rPr>
          <w:sz w:val="24"/>
          <w:szCs w:val="24"/>
        </w:rPr>
        <w:t>项目屠宰产生</w:t>
      </w:r>
      <w:r>
        <w:rPr>
          <w:rFonts w:hint="eastAsia"/>
          <w:color w:val="auto"/>
          <w:sz w:val="24"/>
          <w:szCs w:val="24"/>
          <w:highlight w:val="none"/>
          <w:lang w:val="zh-CN"/>
        </w:rPr>
        <w:t>生产废水</w:t>
      </w:r>
      <w:r>
        <w:rPr>
          <w:color w:val="auto"/>
          <w:sz w:val="24"/>
          <w:szCs w:val="24"/>
          <w:highlight w:val="none"/>
          <w:lang w:val="zh-CN"/>
        </w:rPr>
        <w:t>经自建污水站处理达标后</w:t>
      </w:r>
      <w:r>
        <w:rPr>
          <w:rFonts w:hint="eastAsia"/>
          <w:color w:val="auto"/>
          <w:sz w:val="24"/>
          <w:szCs w:val="24"/>
          <w:highlight w:val="none"/>
          <w:lang w:val="zh-CN"/>
        </w:rPr>
        <w:t>汇同经隔油池和化粪池预处理后的生活污水经市政污水管网排入城北污水处理厂。</w:t>
      </w:r>
      <w:r>
        <w:rPr>
          <w:snapToGrid w:val="0"/>
          <w:sz w:val="24"/>
          <w:szCs w:val="24"/>
        </w:rPr>
        <w:t>在采取环评提出的废水处理方案后，所排废水对地表水体影响</w:t>
      </w:r>
      <w:r>
        <w:rPr>
          <w:rFonts w:hint="eastAsia"/>
          <w:snapToGrid w:val="0"/>
          <w:sz w:val="24"/>
          <w:szCs w:val="24"/>
        </w:rPr>
        <w:t>是可接受的</w:t>
      </w:r>
      <w:r>
        <w:rPr>
          <w:sz w:val="24"/>
          <w:szCs w:val="24"/>
        </w:rPr>
        <w:t>。</w:t>
      </w:r>
    </w:p>
    <w:p>
      <w:pPr>
        <w:ind w:firstLine="480" w:firstLineChars="200"/>
        <w:rPr>
          <w:sz w:val="24"/>
          <w:szCs w:val="24"/>
        </w:rPr>
      </w:pPr>
      <w:r>
        <w:rPr>
          <w:sz w:val="24"/>
          <w:szCs w:val="24"/>
        </w:rPr>
        <w:t>3、声环境影响预测</w:t>
      </w:r>
    </w:p>
    <w:p>
      <w:pPr>
        <w:ind w:firstLine="480" w:firstLineChars="200"/>
        <w:rPr>
          <w:sz w:val="24"/>
          <w:szCs w:val="24"/>
        </w:rPr>
      </w:pPr>
      <w:r>
        <w:rPr>
          <w:sz w:val="24"/>
          <w:szCs w:val="24"/>
        </w:rPr>
        <w:t>由预测结果可知，</w:t>
      </w:r>
      <w:r>
        <w:rPr>
          <w:rFonts w:hint="eastAsia"/>
          <w:sz w:val="24"/>
          <w:szCs w:val="24"/>
        </w:rPr>
        <w:t>项目</w:t>
      </w:r>
      <w:r>
        <w:rPr>
          <w:sz w:val="24"/>
          <w:szCs w:val="24"/>
        </w:rPr>
        <w:t>厂界昼夜声环境均达到《工业企业厂界环境噪声排放标准》（GB12348－2008）</w:t>
      </w:r>
      <w:r>
        <w:rPr>
          <w:rFonts w:hint="eastAsia"/>
          <w:sz w:val="24"/>
          <w:szCs w:val="24"/>
          <w:lang w:val="en-US" w:eastAsia="zh-CN"/>
        </w:rPr>
        <w:t>3</w:t>
      </w:r>
      <w:r>
        <w:rPr>
          <w:sz w:val="24"/>
          <w:szCs w:val="24"/>
        </w:rPr>
        <w:t>类区要求。</w:t>
      </w:r>
    </w:p>
    <w:p>
      <w:pPr>
        <w:ind w:firstLine="480"/>
        <w:rPr>
          <w:sz w:val="24"/>
          <w:szCs w:val="24"/>
        </w:rPr>
      </w:pPr>
      <w:r>
        <w:rPr>
          <w:sz w:val="24"/>
          <w:szCs w:val="24"/>
        </w:rPr>
        <w:t>4、固体废物</w:t>
      </w:r>
    </w:p>
    <w:p>
      <w:pPr>
        <w:ind w:firstLine="480"/>
        <w:rPr>
          <w:sz w:val="24"/>
          <w:szCs w:val="24"/>
        </w:rPr>
      </w:pPr>
      <w:r>
        <w:rPr>
          <w:sz w:val="24"/>
          <w:szCs w:val="24"/>
        </w:rPr>
        <w:t>本项目各类固废经分类收集后，均将得到妥善处置，对环境不会造成明显影响。</w:t>
      </w:r>
    </w:p>
    <w:p>
      <w:pPr>
        <w:rPr>
          <w:sz w:val="24"/>
          <w:szCs w:val="24"/>
        </w:rPr>
      </w:pPr>
      <w:r>
        <w:rPr>
          <w:sz w:val="24"/>
          <w:szCs w:val="24"/>
        </w:rPr>
        <w:t xml:space="preserve">    综上所述，本项目建设对环境的影响均在可接受范围内。</w:t>
      </w:r>
    </w:p>
    <w:p>
      <w:pPr>
        <w:pStyle w:val="5"/>
        <w:rPr>
          <w:sz w:val="24"/>
          <w:szCs w:val="24"/>
        </w:rPr>
      </w:pPr>
      <w:bookmarkStart w:id="297" w:name="_Toc532395365"/>
      <w:bookmarkStart w:id="298" w:name="_Toc8188_WPSOffice_Level2"/>
      <w:r>
        <w:rPr>
          <w:sz w:val="24"/>
          <w:szCs w:val="24"/>
        </w:rPr>
        <w:t>1</w:t>
      </w:r>
      <w:r>
        <w:rPr>
          <w:rFonts w:hint="eastAsia"/>
          <w:sz w:val="24"/>
          <w:szCs w:val="24"/>
        </w:rPr>
        <w:t>0</w:t>
      </w:r>
      <w:r>
        <w:rPr>
          <w:sz w:val="24"/>
          <w:szCs w:val="24"/>
        </w:rPr>
        <w:t>.5 环境污染控制对策</w:t>
      </w:r>
      <w:bookmarkEnd w:id="297"/>
      <w:bookmarkEnd w:id="298"/>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sz w:val="24"/>
          <w:szCs w:val="24"/>
        </w:rPr>
        <w:t>1、废水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rFonts w:hint="eastAsia"/>
          <w:color w:val="auto"/>
          <w:sz w:val="24"/>
          <w:szCs w:val="24"/>
          <w:highlight w:val="none"/>
          <w:lang w:val="zh-CN"/>
        </w:rPr>
        <w:t>项目生产废水</w:t>
      </w:r>
      <w:r>
        <w:rPr>
          <w:color w:val="auto"/>
          <w:sz w:val="24"/>
          <w:szCs w:val="24"/>
          <w:highlight w:val="none"/>
          <w:lang w:val="zh-CN"/>
        </w:rPr>
        <w:t>经自建污水站处理达标后</w:t>
      </w:r>
      <w:r>
        <w:rPr>
          <w:rFonts w:hint="eastAsia"/>
          <w:color w:val="auto"/>
          <w:sz w:val="24"/>
          <w:szCs w:val="24"/>
          <w:highlight w:val="none"/>
          <w:lang w:val="zh-CN"/>
        </w:rPr>
        <w:t>汇同经隔油池和化粪池预处理后的生活污水经市政污水管网排入城北污水处理厂</w:t>
      </w:r>
      <w:r>
        <w:rPr>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sz w:val="24"/>
          <w:szCs w:val="24"/>
        </w:rPr>
        <w:t>2、废气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sz w:val="24"/>
          <w:szCs w:val="24"/>
        </w:rPr>
        <w:t>项目</w:t>
      </w:r>
      <w:r>
        <w:rPr>
          <w:rFonts w:hint="eastAsia"/>
          <w:sz w:val="24"/>
          <w:szCs w:val="24"/>
          <w:lang w:eastAsia="zh-CN"/>
        </w:rPr>
        <w:t>污水处理站产生的恶臭通过及时清运污泥、喷洒除臭剂、种植绿化减少恶臭对外环境影响，食堂油烟经油烟净化器处理后于楼顶排放</w:t>
      </w:r>
      <w:r>
        <w:rPr>
          <w:sz w:val="24"/>
          <w:szCs w:val="24"/>
        </w:rPr>
        <w:t>。</w:t>
      </w:r>
    </w:p>
    <w:p>
      <w:pPr>
        <w:rPr>
          <w:sz w:val="24"/>
          <w:szCs w:val="24"/>
        </w:rPr>
      </w:pPr>
      <w:r>
        <w:rPr>
          <w:sz w:val="24"/>
          <w:szCs w:val="24"/>
        </w:rPr>
        <w:t xml:space="preserve"> </w:t>
      </w:r>
      <w:r>
        <w:rPr>
          <w:rFonts w:hint="eastAsia"/>
          <w:sz w:val="24"/>
          <w:szCs w:val="24"/>
        </w:rPr>
        <w:t xml:space="preserve">   </w:t>
      </w:r>
      <w:r>
        <w:rPr>
          <w:sz w:val="24"/>
          <w:szCs w:val="24"/>
        </w:rPr>
        <w:t>3、噪声</w:t>
      </w:r>
    </w:p>
    <w:p>
      <w:pPr>
        <w:ind w:firstLine="480" w:firstLineChars="200"/>
        <w:rPr>
          <w:sz w:val="24"/>
          <w:szCs w:val="24"/>
        </w:rPr>
      </w:pPr>
      <w:r>
        <w:rPr>
          <w:sz w:val="24"/>
          <w:szCs w:val="24"/>
        </w:rPr>
        <w:t>项目设备噪声采用隔声、减振、降噪措施后，经预测厂界噪声可达到《工业企业厂界环境噪声排放标准》（GB12348-2008）中</w:t>
      </w:r>
      <w:r>
        <w:rPr>
          <w:rFonts w:hint="eastAsia"/>
          <w:sz w:val="24"/>
          <w:szCs w:val="24"/>
          <w:lang w:val="en-US" w:eastAsia="zh-CN"/>
        </w:rPr>
        <w:t>3</w:t>
      </w:r>
      <w:r>
        <w:rPr>
          <w:sz w:val="24"/>
          <w:szCs w:val="24"/>
        </w:rPr>
        <w:t>类</w:t>
      </w:r>
      <w:r>
        <w:rPr>
          <w:rFonts w:hint="eastAsia"/>
          <w:sz w:val="24"/>
          <w:szCs w:val="24"/>
          <w:lang w:eastAsia="zh-CN"/>
        </w:rPr>
        <w:t>区</w:t>
      </w:r>
      <w:r>
        <w:rPr>
          <w:sz w:val="24"/>
          <w:szCs w:val="24"/>
        </w:rPr>
        <w:t>标准。</w:t>
      </w:r>
    </w:p>
    <w:p>
      <w:pPr>
        <w:rPr>
          <w:sz w:val="24"/>
          <w:szCs w:val="24"/>
        </w:rPr>
      </w:pPr>
      <w:r>
        <w:rPr>
          <w:sz w:val="24"/>
          <w:szCs w:val="24"/>
        </w:rPr>
        <w:t xml:space="preserve">    4、固废</w:t>
      </w:r>
    </w:p>
    <w:p>
      <w:pPr>
        <w:ind w:firstLine="480" w:firstLineChars="200"/>
        <w:rPr>
          <w:sz w:val="24"/>
          <w:szCs w:val="24"/>
        </w:rPr>
      </w:pPr>
      <w:r>
        <w:rPr>
          <w:bCs/>
          <w:sz w:val="24"/>
          <w:szCs w:val="24"/>
        </w:rPr>
        <w:t>一般工业固废：规划建设一般工业固废暂存场所，</w:t>
      </w:r>
      <w:r>
        <w:rPr>
          <w:rFonts w:hint="eastAsia"/>
          <w:bCs/>
          <w:sz w:val="24"/>
          <w:szCs w:val="24"/>
          <w:lang w:eastAsia="zh-CN"/>
        </w:rPr>
        <w:t>边角料、不合格品、废包装材料</w:t>
      </w:r>
      <w:r>
        <w:rPr>
          <w:rFonts w:hint="eastAsia"/>
          <w:bCs/>
          <w:sz w:val="24"/>
          <w:szCs w:val="24"/>
        </w:rPr>
        <w:t>经厂区收集后</w:t>
      </w:r>
      <w:r>
        <w:rPr>
          <w:rFonts w:hint="eastAsia"/>
          <w:bCs/>
          <w:sz w:val="24"/>
          <w:szCs w:val="24"/>
          <w:lang w:eastAsia="zh-CN"/>
        </w:rPr>
        <w:t>资源外售</w:t>
      </w:r>
      <w:r>
        <w:rPr>
          <w:rFonts w:hint="eastAsia"/>
          <w:bCs/>
          <w:sz w:val="24"/>
          <w:szCs w:val="24"/>
        </w:rPr>
        <w:t>；</w:t>
      </w:r>
      <w:r>
        <w:rPr>
          <w:bCs/>
          <w:sz w:val="24"/>
          <w:szCs w:val="24"/>
        </w:rPr>
        <w:t>污水处理站污泥</w:t>
      </w:r>
      <w:r>
        <w:rPr>
          <w:rFonts w:hint="eastAsia"/>
          <w:bCs/>
          <w:sz w:val="24"/>
          <w:szCs w:val="24"/>
        </w:rPr>
        <w:t>经机械脱水后和栅渣外运处置；</w:t>
      </w:r>
      <w:r>
        <w:rPr>
          <w:sz w:val="24"/>
          <w:szCs w:val="24"/>
        </w:rPr>
        <w:t>生活垃圾采用袋装化收集</w:t>
      </w:r>
      <w:r>
        <w:rPr>
          <w:rFonts w:hint="eastAsia"/>
          <w:sz w:val="24"/>
          <w:szCs w:val="24"/>
          <w:lang w:eastAsia="zh-CN"/>
        </w:rPr>
        <w:t>；水洗添加剂空桶经厂区收集后由商家回收；</w:t>
      </w:r>
      <w:r>
        <w:rPr>
          <w:sz w:val="24"/>
          <w:szCs w:val="24"/>
        </w:rPr>
        <w:t>项目区设垃圾桶，收集的生活垃圾统一由当地环卫部门清运。</w:t>
      </w:r>
    </w:p>
    <w:p>
      <w:pPr>
        <w:pStyle w:val="5"/>
        <w:rPr>
          <w:sz w:val="24"/>
          <w:szCs w:val="24"/>
        </w:rPr>
      </w:pPr>
      <w:bookmarkStart w:id="299" w:name="_Toc11050_WPSOffice_Level2"/>
      <w:bookmarkStart w:id="300" w:name="_Toc532395366"/>
      <w:r>
        <w:rPr>
          <w:sz w:val="24"/>
          <w:szCs w:val="24"/>
        </w:rPr>
        <w:t>1</w:t>
      </w:r>
      <w:r>
        <w:rPr>
          <w:rFonts w:hint="eastAsia"/>
          <w:sz w:val="24"/>
          <w:szCs w:val="24"/>
        </w:rPr>
        <w:t>0</w:t>
      </w:r>
      <w:r>
        <w:rPr>
          <w:sz w:val="24"/>
          <w:szCs w:val="24"/>
        </w:rPr>
        <w:t>.6 环境风险</w:t>
      </w:r>
      <w:bookmarkEnd w:id="299"/>
      <w:bookmarkEnd w:id="300"/>
    </w:p>
    <w:p>
      <w:pPr>
        <w:ind w:firstLine="480" w:firstLineChars="200"/>
        <w:rPr>
          <w:sz w:val="24"/>
          <w:szCs w:val="24"/>
        </w:rPr>
      </w:pPr>
      <w:r>
        <w:rPr>
          <w:sz w:val="24"/>
          <w:szCs w:val="24"/>
        </w:rPr>
        <w:t>根据风险分析，本项目</w:t>
      </w:r>
      <w:r>
        <w:rPr>
          <w:rFonts w:hint="eastAsia"/>
          <w:sz w:val="24"/>
          <w:szCs w:val="24"/>
        </w:rPr>
        <w:t>风险潜势为</w:t>
      </w:r>
      <w:r>
        <w:rPr>
          <w:rFonts w:hint="eastAsia" w:ascii="宋体" w:hAnsi="宋体" w:cs="宋体"/>
          <w:sz w:val="24"/>
          <w:szCs w:val="24"/>
        </w:rPr>
        <w:t>Ⅰ，进行简单分析</w:t>
      </w:r>
      <w:r>
        <w:rPr>
          <w:sz w:val="24"/>
          <w:szCs w:val="24"/>
        </w:rPr>
        <w:t>。</w:t>
      </w:r>
      <w:bookmarkStart w:id="301" w:name="_Toc519871450"/>
      <w:bookmarkStart w:id="302" w:name="_Toc519871961"/>
      <w:r>
        <w:rPr>
          <w:sz w:val="24"/>
          <w:szCs w:val="24"/>
        </w:rPr>
        <w:t>企业应加强对全体员工防范事故风险能力的培训，建立事故应急池、应急计划和事故应急预案。当发生意外事故时，立即启动应急预案：采取必要措施，防止事故范围和影响的扩大；同时应迅速组织人员撤离到安全地区。</w:t>
      </w:r>
      <w:bookmarkEnd w:id="301"/>
      <w:bookmarkEnd w:id="302"/>
    </w:p>
    <w:p>
      <w:pPr>
        <w:pStyle w:val="5"/>
        <w:keepLines w:val="0"/>
        <w:rPr>
          <w:bCs w:val="0"/>
          <w:kern w:val="0"/>
          <w:sz w:val="24"/>
          <w:szCs w:val="24"/>
        </w:rPr>
      </w:pPr>
      <w:bookmarkStart w:id="303" w:name="_Toc532395367"/>
      <w:bookmarkStart w:id="304" w:name="_Toc19614_WPSOffice_Level2"/>
      <w:r>
        <w:rPr>
          <w:bCs w:val="0"/>
          <w:kern w:val="0"/>
          <w:sz w:val="24"/>
          <w:szCs w:val="24"/>
        </w:rPr>
        <w:t>1</w:t>
      </w:r>
      <w:r>
        <w:rPr>
          <w:rFonts w:hint="eastAsia"/>
          <w:bCs w:val="0"/>
          <w:kern w:val="0"/>
          <w:sz w:val="24"/>
          <w:szCs w:val="24"/>
        </w:rPr>
        <w:t>0</w:t>
      </w:r>
      <w:r>
        <w:rPr>
          <w:bCs w:val="0"/>
          <w:kern w:val="0"/>
          <w:sz w:val="24"/>
          <w:szCs w:val="24"/>
        </w:rPr>
        <w:t>.7清洁生产水平分析</w:t>
      </w:r>
      <w:bookmarkEnd w:id="303"/>
      <w:bookmarkEnd w:id="304"/>
    </w:p>
    <w:p>
      <w:pPr>
        <w:ind w:firstLine="480" w:firstLineChars="200"/>
        <w:rPr>
          <w:sz w:val="24"/>
          <w:szCs w:val="24"/>
        </w:rPr>
      </w:pPr>
      <w:r>
        <w:rPr>
          <w:sz w:val="24"/>
          <w:szCs w:val="24"/>
        </w:rPr>
        <w:t>项目符合国家产业政策，在落实各项污染治理措施，建立健全环境管理体系后，清洁生产水平满足国内清洁生产基本水平。</w:t>
      </w:r>
    </w:p>
    <w:p>
      <w:pPr>
        <w:pStyle w:val="5"/>
        <w:keepLines w:val="0"/>
        <w:rPr>
          <w:bCs w:val="0"/>
          <w:kern w:val="0"/>
          <w:sz w:val="24"/>
          <w:szCs w:val="24"/>
        </w:rPr>
      </w:pPr>
      <w:bookmarkStart w:id="305" w:name="_Toc532395368"/>
      <w:bookmarkStart w:id="306" w:name="_Toc1973_WPSOffice_Level2"/>
      <w:r>
        <w:rPr>
          <w:sz w:val="24"/>
          <w:szCs w:val="24"/>
        </w:rPr>
        <w:t>1</w:t>
      </w:r>
      <w:r>
        <w:rPr>
          <w:rFonts w:hint="eastAsia"/>
          <w:sz w:val="24"/>
          <w:szCs w:val="24"/>
        </w:rPr>
        <w:t>0</w:t>
      </w:r>
      <w:r>
        <w:rPr>
          <w:sz w:val="24"/>
          <w:szCs w:val="24"/>
        </w:rPr>
        <w:t>.8</w:t>
      </w:r>
      <w:r>
        <w:rPr>
          <w:bCs w:val="0"/>
          <w:kern w:val="0"/>
          <w:sz w:val="24"/>
          <w:szCs w:val="24"/>
        </w:rPr>
        <w:t>污染物排放总量控制</w:t>
      </w:r>
      <w:bookmarkEnd w:id="305"/>
      <w:bookmarkEnd w:id="306"/>
    </w:p>
    <w:p>
      <w:pPr>
        <w:adjustRightInd/>
        <w:snapToGrid/>
        <w:ind w:firstLine="480" w:firstLineChars="200"/>
        <w:rPr>
          <w:sz w:val="24"/>
          <w:szCs w:val="24"/>
        </w:rPr>
      </w:pPr>
      <w:bookmarkStart w:id="307" w:name="_Toc532395369"/>
      <w:r>
        <w:rPr>
          <w:sz w:val="24"/>
          <w:szCs w:val="24"/>
        </w:rPr>
        <w:t>该项目为新建项目，原无核定总量控制指标，根据工程分析，本报告建议建设单位总量控制指标如下表1</w:t>
      </w:r>
      <w:r>
        <w:rPr>
          <w:rFonts w:hint="eastAsia"/>
          <w:sz w:val="24"/>
          <w:szCs w:val="24"/>
        </w:rPr>
        <w:t>0</w:t>
      </w:r>
      <w:r>
        <w:rPr>
          <w:rFonts w:hint="eastAsia"/>
          <w:sz w:val="24"/>
          <w:szCs w:val="24"/>
          <w:lang w:val="en-US" w:eastAsia="zh-CN"/>
        </w:rPr>
        <w:t>.</w:t>
      </w:r>
      <w:r>
        <w:rPr>
          <w:sz w:val="24"/>
          <w:szCs w:val="24"/>
        </w:rPr>
        <w:t>8-1。</w:t>
      </w:r>
    </w:p>
    <w:p>
      <w:pPr>
        <w:adjustRightInd/>
        <w:snapToGrid/>
        <w:jc w:val="center"/>
        <w:rPr>
          <w:b/>
          <w:bCs/>
          <w:sz w:val="24"/>
          <w:szCs w:val="24"/>
        </w:rPr>
      </w:pPr>
      <w:r>
        <w:rPr>
          <w:b/>
          <w:bCs/>
          <w:sz w:val="24"/>
          <w:szCs w:val="24"/>
        </w:rPr>
        <w:t>表1</w:t>
      </w:r>
      <w:r>
        <w:rPr>
          <w:rFonts w:hint="eastAsia"/>
          <w:b/>
          <w:bCs/>
          <w:sz w:val="24"/>
          <w:szCs w:val="24"/>
        </w:rPr>
        <w:t>0</w:t>
      </w:r>
      <w:r>
        <w:rPr>
          <w:rFonts w:hint="eastAsia"/>
          <w:b/>
          <w:bCs/>
          <w:sz w:val="24"/>
          <w:szCs w:val="24"/>
          <w:lang w:val="en-US" w:eastAsia="zh-CN"/>
        </w:rPr>
        <w:t>.</w:t>
      </w:r>
      <w:r>
        <w:rPr>
          <w:b/>
          <w:bCs/>
          <w:sz w:val="24"/>
          <w:szCs w:val="24"/>
        </w:rPr>
        <w:t>8-1 建设项目建议总量控制指标</w:t>
      </w:r>
    </w:p>
    <w:tbl>
      <w:tblPr>
        <w:tblStyle w:val="23"/>
        <w:tblW w:w="894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2"/>
        <w:gridCol w:w="3216"/>
        <w:gridCol w:w="33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412" w:type="dxa"/>
            <w:tcBorders>
              <w:tl2br w:val="nil"/>
              <w:tr2bl w:val="nil"/>
            </w:tcBorders>
            <w:vAlign w:val="center"/>
          </w:tcPr>
          <w:p>
            <w:pPr>
              <w:spacing w:line="240" w:lineRule="auto"/>
              <w:jc w:val="center"/>
            </w:pPr>
            <w:r>
              <w:t>类别</w:t>
            </w:r>
          </w:p>
        </w:tc>
        <w:tc>
          <w:tcPr>
            <w:tcW w:w="3216" w:type="dxa"/>
            <w:tcBorders>
              <w:tl2br w:val="nil"/>
              <w:tr2bl w:val="nil"/>
            </w:tcBorders>
            <w:vAlign w:val="center"/>
          </w:tcPr>
          <w:p>
            <w:pPr>
              <w:spacing w:line="240" w:lineRule="auto"/>
              <w:jc w:val="center"/>
            </w:pPr>
            <w:r>
              <w:t>污染物</w:t>
            </w:r>
          </w:p>
        </w:tc>
        <w:tc>
          <w:tcPr>
            <w:tcW w:w="3318" w:type="dxa"/>
            <w:tcBorders>
              <w:tl2br w:val="nil"/>
              <w:tr2bl w:val="nil"/>
            </w:tcBorders>
            <w:vAlign w:val="center"/>
          </w:tcPr>
          <w:p>
            <w:pPr>
              <w:spacing w:line="240" w:lineRule="auto"/>
              <w:jc w:val="center"/>
            </w:pPr>
            <w:r>
              <w:t>总量控制指标（t/a）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2412" w:type="dxa"/>
            <w:vMerge w:val="restart"/>
            <w:tcBorders>
              <w:tl2br w:val="nil"/>
              <w:tr2bl w:val="nil"/>
            </w:tcBorders>
            <w:vAlign w:val="center"/>
          </w:tcPr>
          <w:p>
            <w:pPr>
              <w:spacing w:line="240" w:lineRule="auto"/>
              <w:jc w:val="center"/>
            </w:pPr>
            <w:r>
              <w:rPr>
                <w:rFonts w:hint="eastAsia"/>
              </w:rPr>
              <w:t>废水</w:t>
            </w:r>
          </w:p>
        </w:tc>
        <w:tc>
          <w:tcPr>
            <w:tcW w:w="3216" w:type="dxa"/>
            <w:tcBorders>
              <w:tl2br w:val="nil"/>
              <w:tr2bl w:val="nil"/>
            </w:tcBorders>
            <w:vAlign w:val="center"/>
          </w:tcPr>
          <w:p>
            <w:pPr>
              <w:spacing w:line="240" w:lineRule="auto"/>
              <w:jc w:val="center"/>
            </w:pPr>
            <w:r>
              <w:t>COD</w:t>
            </w:r>
          </w:p>
        </w:tc>
        <w:tc>
          <w:tcPr>
            <w:tcW w:w="3318" w:type="dxa"/>
            <w:tcBorders>
              <w:tl2br w:val="nil"/>
              <w:tr2bl w:val="nil"/>
            </w:tcBorders>
            <w:vAlign w:val="center"/>
          </w:tcPr>
          <w:p>
            <w:pPr>
              <w:spacing w:line="240" w:lineRule="auto"/>
              <w:jc w:val="center"/>
            </w:pPr>
            <w:r>
              <w:rPr>
                <w:rFonts w:hint="eastAsia"/>
                <w:highlight w:val="none"/>
                <w:lang w:val="en-US" w:eastAsia="zh-CN"/>
              </w:rPr>
              <w:t>2.63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412" w:type="dxa"/>
            <w:vMerge w:val="continue"/>
            <w:tcBorders>
              <w:tl2br w:val="nil"/>
              <w:tr2bl w:val="nil"/>
            </w:tcBorders>
            <w:vAlign w:val="center"/>
          </w:tcPr>
          <w:p>
            <w:pPr>
              <w:spacing w:line="240" w:lineRule="auto"/>
              <w:jc w:val="center"/>
            </w:pPr>
          </w:p>
        </w:tc>
        <w:tc>
          <w:tcPr>
            <w:tcW w:w="3216" w:type="dxa"/>
            <w:tcBorders>
              <w:tl2br w:val="nil"/>
              <w:tr2bl w:val="nil"/>
            </w:tcBorders>
            <w:vAlign w:val="center"/>
          </w:tcPr>
          <w:p>
            <w:pPr>
              <w:spacing w:line="240" w:lineRule="auto"/>
              <w:jc w:val="center"/>
            </w:pPr>
            <w:r>
              <w:t>NH</w:t>
            </w:r>
            <w:r>
              <w:rPr>
                <w:vertAlign w:val="subscript"/>
              </w:rPr>
              <w:t>3</w:t>
            </w:r>
            <w:r>
              <w:t>-N</w:t>
            </w:r>
          </w:p>
        </w:tc>
        <w:tc>
          <w:tcPr>
            <w:tcW w:w="3318" w:type="dxa"/>
            <w:tcBorders>
              <w:tl2br w:val="nil"/>
              <w:tr2bl w:val="nil"/>
            </w:tcBorders>
            <w:vAlign w:val="center"/>
          </w:tcPr>
          <w:p>
            <w:pPr>
              <w:spacing w:line="240" w:lineRule="auto"/>
              <w:jc w:val="center"/>
            </w:pPr>
            <w:r>
              <w:rPr>
                <w:rFonts w:hint="eastAsia"/>
                <w:highlight w:val="none"/>
                <w:lang w:val="en-US" w:eastAsia="zh-CN"/>
              </w:rPr>
              <w:t>0.25</w:t>
            </w:r>
          </w:p>
        </w:tc>
      </w:tr>
    </w:tbl>
    <w:p>
      <w:pPr>
        <w:adjustRightInd/>
        <w:snapToGrid/>
        <w:ind w:firstLine="480" w:firstLineChars="200"/>
        <w:rPr>
          <w:sz w:val="24"/>
          <w:szCs w:val="24"/>
        </w:rPr>
      </w:pPr>
      <w:r>
        <w:rPr>
          <w:sz w:val="24"/>
          <w:szCs w:val="24"/>
        </w:rPr>
        <w:t>建议总量分配如下：</w:t>
      </w:r>
    </w:p>
    <w:p>
      <w:pPr>
        <w:adjustRightInd/>
        <w:snapToGrid/>
        <w:ind w:firstLine="480" w:firstLineChars="200"/>
        <w:rPr>
          <w:sz w:val="24"/>
          <w:szCs w:val="24"/>
        </w:rPr>
      </w:pPr>
      <w:r>
        <w:rPr>
          <w:sz w:val="24"/>
          <w:szCs w:val="24"/>
        </w:rPr>
        <w:t>废水：项目废水进入</w:t>
      </w:r>
      <w:r>
        <w:rPr>
          <w:rFonts w:hint="eastAsia"/>
          <w:sz w:val="24"/>
          <w:szCs w:val="24"/>
          <w:lang w:eastAsia="zh-CN"/>
        </w:rPr>
        <w:t>城北污水处理厂</w:t>
      </w:r>
      <w:r>
        <w:rPr>
          <w:sz w:val="24"/>
          <w:szCs w:val="24"/>
        </w:rPr>
        <w:t>，本项目废水指标由</w:t>
      </w:r>
      <w:r>
        <w:rPr>
          <w:rFonts w:hint="eastAsia"/>
          <w:sz w:val="24"/>
          <w:szCs w:val="24"/>
          <w:lang w:eastAsia="zh-CN"/>
        </w:rPr>
        <w:t>城北污水处理厂</w:t>
      </w:r>
      <w:r>
        <w:rPr>
          <w:sz w:val="24"/>
          <w:szCs w:val="24"/>
        </w:rPr>
        <w:t>的总量控制指标中统一调配，不单独再核发总量。</w:t>
      </w:r>
    </w:p>
    <w:p>
      <w:pPr>
        <w:adjustRightInd/>
        <w:snapToGrid/>
        <w:ind w:firstLine="480" w:firstLineChars="200"/>
        <w:rPr>
          <w:color w:val="FF0000"/>
          <w:sz w:val="24"/>
          <w:szCs w:val="24"/>
        </w:rPr>
      </w:pPr>
      <w:r>
        <w:rPr>
          <w:sz w:val="24"/>
          <w:szCs w:val="24"/>
        </w:rPr>
        <w:t>废气：恶臭气体污染物NH</w:t>
      </w:r>
      <w:r>
        <w:rPr>
          <w:sz w:val="24"/>
          <w:szCs w:val="24"/>
          <w:vertAlign w:val="subscript"/>
        </w:rPr>
        <w:t>3</w:t>
      </w:r>
      <w:r>
        <w:rPr>
          <w:sz w:val="24"/>
          <w:szCs w:val="24"/>
        </w:rPr>
        <w:t>、H</w:t>
      </w:r>
      <w:r>
        <w:rPr>
          <w:sz w:val="24"/>
          <w:szCs w:val="24"/>
          <w:vertAlign w:val="subscript"/>
        </w:rPr>
        <w:t>2</w:t>
      </w:r>
      <w:r>
        <w:rPr>
          <w:sz w:val="24"/>
          <w:szCs w:val="24"/>
        </w:rPr>
        <w:t>S不属于国控污染物，不单独核发总量控制指标，本报告提出的新增总量仅作为环保主管部门核算的依据。</w:t>
      </w:r>
    </w:p>
    <w:p>
      <w:pPr>
        <w:pStyle w:val="5"/>
        <w:keepLines w:val="0"/>
        <w:rPr>
          <w:bCs w:val="0"/>
          <w:kern w:val="0"/>
          <w:sz w:val="24"/>
          <w:szCs w:val="24"/>
        </w:rPr>
      </w:pPr>
      <w:bookmarkStart w:id="308" w:name="_Toc32457_WPSOffice_Level2"/>
      <w:r>
        <w:rPr>
          <w:sz w:val="24"/>
          <w:szCs w:val="24"/>
        </w:rPr>
        <w:t>1</w:t>
      </w:r>
      <w:r>
        <w:rPr>
          <w:rFonts w:hint="eastAsia"/>
          <w:sz w:val="24"/>
          <w:szCs w:val="24"/>
        </w:rPr>
        <w:t>0</w:t>
      </w:r>
      <w:r>
        <w:rPr>
          <w:sz w:val="24"/>
          <w:szCs w:val="24"/>
        </w:rPr>
        <w:t>.9</w:t>
      </w:r>
      <w:r>
        <w:rPr>
          <w:bCs w:val="0"/>
          <w:kern w:val="0"/>
          <w:sz w:val="24"/>
          <w:szCs w:val="24"/>
        </w:rPr>
        <w:t>公众参与结论</w:t>
      </w:r>
      <w:bookmarkEnd w:id="307"/>
      <w:bookmarkEnd w:id="308"/>
    </w:p>
    <w:p>
      <w:pPr>
        <w:adjustRightInd/>
        <w:snapToGrid/>
        <w:ind w:firstLine="480" w:firstLineChars="200"/>
        <w:rPr>
          <w:sz w:val="24"/>
          <w:szCs w:val="24"/>
          <w:highlight w:val="yellow"/>
        </w:rPr>
      </w:pPr>
      <w:bookmarkStart w:id="309" w:name="_Toc113073662"/>
      <w:r>
        <w:rPr>
          <w:color w:val="auto"/>
          <w:sz w:val="24"/>
          <w:highlight w:val="none"/>
        </w:rPr>
        <w:t>本环境影响报告书按照《环境影响评价公众参与办法》（</w:t>
      </w:r>
      <w:r>
        <w:rPr>
          <w:rFonts w:hint="eastAsia"/>
          <w:color w:val="auto"/>
          <w:sz w:val="24"/>
          <w:highlight w:val="none"/>
        </w:rPr>
        <w:t>生态</w:t>
      </w:r>
      <w:r>
        <w:rPr>
          <w:color w:val="auto"/>
          <w:sz w:val="24"/>
          <w:highlight w:val="none"/>
        </w:rPr>
        <w:t>部令 第4号）</w:t>
      </w:r>
      <w:r>
        <w:rPr>
          <w:rFonts w:hint="eastAsia"/>
          <w:color w:val="auto"/>
          <w:sz w:val="24"/>
          <w:highlight w:val="none"/>
        </w:rPr>
        <w:t>要求进行</w:t>
      </w:r>
      <w:r>
        <w:rPr>
          <w:color w:val="auto"/>
          <w:sz w:val="24"/>
          <w:highlight w:val="none"/>
        </w:rPr>
        <w:t>公众参与</w:t>
      </w:r>
      <w:r>
        <w:rPr>
          <w:rFonts w:hint="eastAsia"/>
          <w:color w:val="auto"/>
          <w:sz w:val="24"/>
          <w:highlight w:val="none"/>
        </w:rPr>
        <w:t>，</w:t>
      </w:r>
      <w:r>
        <w:rPr>
          <w:color w:val="auto"/>
          <w:sz w:val="24"/>
          <w:szCs w:val="24"/>
          <w:highlight w:val="none"/>
        </w:rPr>
        <w:t>受</w:t>
      </w:r>
      <w:r>
        <w:rPr>
          <w:rFonts w:hint="eastAsia"/>
          <w:color w:val="auto"/>
          <w:sz w:val="24"/>
          <w:szCs w:val="24"/>
          <w:highlight w:val="none"/>
          <w:lang w:eastAsia="zh-CN"/>
        </w:rPr>
        <w:t>六安凯旭服饰有限公司</w:t>
      </w:r>
      <w:r>
        <w:rPr>
          <w:color w:val="auto"/>
          <w:sz w:val="24"/>
          <w:szCs w:val="24"/>
          <w:highlight w:val="none"/>
        </w:rPr>
        <w:t>委托，</w:t>
      </w:r>
      <w:r>
        <w:rPr>
          <w:rFonts w:hint="eastAsia"/>
          <w:color w:val="auto"/>
          <w:sz w:val="24"/>
          <w:szCs w:val="24"/>
          <w:highlight w:val="none"/>
        </w:rPr>
        <w:t>六安四瑞迪环境工程有限公司</w:t>
      </w:r>
      <w:r>
        <w:rPr>
          <w:color w:val="auto"/>
          <w:sz w:val="24"/>
          <w:szCs w:val="24"/>
          <w:highlight w:val="none"/>
        </w:rPr>
        <w:t>承担《</w:t>
      </w:r>
      <w:r>
        <w:rPr>
          <w:rFonts w:hint="eastAsia"/>
          <w:color w:val="auto"/>
          <w:sz w:val="24"/>
          <w:szCs w:val="24"/>
          <w:highlight w:val="none"/>
          <w:lang w:eastAsia="zh-CN"/>
        </w:rPr>
        <w:t>六安凯旭服饰有限公司年产150万件职工编制生产线项目</w:t>
      </w:r>
      <w:r>
        <w:rPr>
          <w:color w:val="auto"/>
          <w:sz w:val="24"/>
          <w:szCs w:val="24"/>
          <w:highlight w:val="none"/>
        </w:rPr>
        <w:t>环境影响报告书》的编制工作；201</w:t>
      </w:r>
      <w:r>
        <w:rPr>
          <w:rFonts w:hint="eastAsia"/>
          <w:color w:val="auto"/>
          <w:sz w:val="24"/>
          <w:szCs w:val="24"/>
          <w:highlight w:val="none"/>
        </w:rPr>
        <w:t>9</w:t>
      </w:r>
      <w:r>
        <w:rPr>
          <w:color w:val="auto"/>
          <w:sz w:val="24"/>
          <w:szCs w:val="24"/>
          <w:highlight w:val="none"/>
        </w:rPr>
        <w:t>年</w:t>
      </w:r>
      <w:r>
        <w:rPr>
          <w:rFonts w:hint="eastAsia"/>
          <w:color w:val="auto"/>
          <w:sz w:val="24"/>
          <w:szCs w:val="24"/>
          <w:highlight w:val="none"/>
          <w:lang w:val="en-US" w:eastAsia="zh-CN"/>
        </w:rPr>
        <w:t>9</w:t>
      </w:r>
      <w:r>
        <w:rPr>
          <w:color w:val="auto"/>
          <w:sz w:val="24"/>
          <w:szCs w:val="24"/>
          <w:highlight w:val="none"/>
        </w:rPr>
        <w:t>月</w:t>
      </w:r>
      <w:r>
        <w:rPr>
          <w:rFonts w:hint="eastAsia"/>
          <w:color w:val="auto"/>
          <w:sz w:val="24"/>
          <w:szCs w:val="24"/>
          <w:highlight w:val="none"/>
          <w:lang w:val="en-US" w:eastAsia="zh-CN"/>
        </w:rPr>
        <w:t>27</w:t>
      </w:r>
      <w:r>
        <w:rPr>
          <w:color w:val="auto"/>
          <w:sz w:val="24"/>
          <w:szCs w:val="24"/>
          <w:highlight w:val="none"/>
        </w:rPr>
        <w:t>日，该项目在</w:t>
      </w:r>
      <w:r>
        <w:rPr>
          <w:rFonts w:hint="eastAsia"/>
          <w:color w:val="auto"/>
          <w:sz w:val="24"/>
          <w:szCs w:val="24"/>
          <w:highlight w:val="none"/>
          <w:lang w:eastAsia="zh-CN"/>
        </w:rPr>
        <w:t>六安市开发区管理委员会</w:t>
      </w:r>
      <w:r>
        <w:rPr>
          <w:color w:val="auto"/>
          <w:sz w:val="24"/>
          <w:szCs w:val="24"/>
          <w:highlight w:val="none"/>
        </w:rPr>
        <w:t>网站进行了</w:t>
      </w:r>
      <w:r>
        <w:rPr>
          <w:rFonts w:hint="eastAsia"/>
          <w:color w:val="auto"/>
          <w:sz w:val="24"/>
          <w:szCs w:val="24"/>
          <w:highlight w:val="none"/>
        </w:rPr>
        <w:t>首次</w:t>
      </w:r>
      <w:r>
        <w:rPr>
          <w:color w:val="auto"/>
          <w:sz w:val="24"/>
          <w:szCs w:val="24"/>
          <w:highlight w:val="none"/>
        </w:rPr>
        <w:t>环境影响评价</w:t>
      </w:r>
      <w:r>
        <w:rPr>
          <w:rFonts w:hint="eastAsia"/>
          <w:color w:val="auto"/>
          <w:sz w:val="24"/>
          <w:szCs w:val="24"/>
          <w:highlight w:val="none"/>
        </w:rPr>
        <w:t>信息公</w:t>
      </w:r>
      <w:r>
        <w:rPr>
          <w:rFonts w:hint="eastAsia"/>
          <w:color w:val="auto"/>
          <w:sz w:val="24"/>
          <w:szCs w:val="24"/>
          <w:highlight w:val="none"/>
          <w:lang w:eastAsia="zh-CN"/>
        </w:rPr>
        <w:t>开</w:t>
      </w:r>
      <w:r>
        <w:rPr>
          <w:sz w:val="24"/>
          <w:szCs w:val="24"/>
          <w:highlight w:val="none"/>
        </w:rPr>
        <w:t>。</w:t>
      </w:r>
    </w:p>
    <w:p>
      <w:pPr>
        <w:adjustRightInd/>
        <w:snapToGrid/>
        <w:ind w:firstLine="480" w:firstLineChars="200"/>
        <w:rPr>
          <w:sz w:val="24"/>
          <w:szCs w:val="24"/>
        </w:rPr>
      </w:pPr>
      <w:r>
        <w:rPr>
          <w:rFonts w:hint="eastAsia"/>
          <w:sz w:val="24"/>
        </w:rPr>
        <w:t>我单位已按照《办法》要求，在</w:t>
      </w:r>
      <w:r>
        <w:rPr>
          <w:rFonts w:hint="eastAsia"/>
          <w:sz w:val="24"/>
          <w:szCs w:val="24"/>
          <w:lang w:eastAsia="zh-CN"/>
        </w:rPr>
        <w:t>六安凯旭服饰有限公司年产150万件职工编制生产线项目</w:t>
      </w:r>
      <w:r>
        <w:rPr>
          <w:rFonts w:hint="eastAsia"/>
          <w:sz w:val="24"/>
        </w:rPr>
        <w:t>环境影响报告书编制阶段开展了公众参与公众，在公参期间未收到群众反馈意见。</w:t>
      </w:r>
    </w:p>
    <w:bookmarkEnd w:id="309"/>
    <w:p>
      <w:pPr>
        <w:pStyle w:val="5"/>
        <w:rPr>
          <w:bCs w:val="0"/>
          <w:sz w:val="24"/>
          <w:szCs w:val="24"/>
        </w:rPr>
      </w:pPr>
      <w:bookmarkStart w:id="310" w:name="_Toc19567_WPSOffice_Level2"/>
      <w:bookmarkStart w:id="311" w:name="_Toc532395370"/>
      <w:r>
        <w:rPr>
          <w:bCs w:val="0"/>
          <w:sz w:val="24"/>
          <w:szCs w:val="24"/>
        </w:rPr>
        <w:t>1</w:t>
      </w:r>
      <w:r>
        <w:rPr>
          <w:rFonts w:hint="eastAsia"/>
          <w:bCs w:val="0"/>
          <w:sz w:val="24"/>
          <w:szCs w:val="24"/>
        </w:rPr>
        <w:t>0</w:t>
      </w:r>
      <w:r>
        <w:rPr>
          <w:bCs w:val="0"/>
          <w:sz w:val="24"/>
          <w:szCs w:val="24"/>
        </w:rPr>
        <w:t>.10 三同时验收一览表</w:t>
      </w:r>
      <w:bookmarkEnd w:id="310"/>
      <w:bookmarkEnd w:id="311"/>
    </w:p>
    <w:p>
      <w:pPr>
        <w:ind w:firstLine="480" w:firstLineChars="200"/>
        <w:rPr>
          <w:sz w:val="24"/>
          <w:szCs w:val="24"/>
        </w:rPr>
      </w:pPr>
      <w:r>
        <w:rPr>
          <w:sz w:val="24"/>
          <w:szCs w:val="24"/>
        </w:rPr>
        <w:t>根据《建设项目环境保护管理条例》（国务院令[2017]第682号）、《建设项目竣工环境保护验收暂行办法》（国环规环评[2017]4号）的要求，建设单位应依据环评文件、环评批文中提出的环保要求，在设计、施工、运行中严格执行环境保护措施“三同时”制度，在此基础上，在具备项目竣工验收条件后，建设单位应当按照国务院环境保护行政主管部门规定的标准和程序，对配套建设的环境保护设施进行企业自主验收，编制验收报告。同时，在《中华人民共和国固体废物污染环境防治法》修改完成前，建设单位应编制固体废物污染防治设施的专项验收报告向审批环评的环境保护主管部门提出验收申请。项目配套建设的环境保护设施经验收合格，方可正式投入生产或者使用；未经验收或者验收不合格的，不得投入生产或者使用。</w:t>
      </w:r>
    </w:p>
    <w:p>
      <w:pPr>
        <w:ind w:firstLine="480" w:firstLineChars="200"/>
        <w:rPr>
          <w:sz w:val="24"/>
          <w:szCs w:val="24"/>
        </w:rPr>
      </w:pPr>
      <w:r>
        <w:rPr>
          <w:sz w:val="24"/>
          <w:szCs w:val="24"/>
        </w:rPr>
        <w:t>建设单位是竣工环境保护验收工作的责任主体，自主验收过程中，建设单位应根据国环规环评[2017]4号文件的规定和要求，公开相关信息，接受社会监督，确保建设项目需要配套建设的环境保护设施与主体工程同时投产或者使用，并对建设项目竣工环境保护验收内容、结论和公开信息的真实性、准确性和完整性负责。</w:t>
      </w:r>
    </w:p>
    <w:p>
      <w:pPr>
        <w:ind w:firstLine="480" w:firstLineChars="200"/>
        <w:rPr>
          <w:sz w:val="24"/>
          <w:szCs w:val="24"/>
        </w:rPr>
      </w:pPr>
      <w:r>
        <w:rPr>
          <w:sz w:val="24"/>
          <w:szCs w:val="24"/>
        </w:rPr>
        <w:t>企业应严格按照《固定污染源排污许可分类管理名录（2017年版）》实施排污许可证制度。属于该名录列明的应重点管理、简化管理的行业，或含其三十三条规定的通用工序的，应在调试前取得排污许可证。本项目环保“三同时”验收建议内容见下表：</w:t>
      </w:r>
    </w:p>
    <w:p>
      <w:pPr>
        <w:spacing w:line="240" w:lineRule="auto"/>
        <w:ind w:firstLine="1446" w:firstLineChars="600"/>
        <w:rPr>
          <w:b/>
          <w:bCs/>
          <w:sz w:val="24"/>
          <w:szCs w:val="24"/>
        </w:rPr>
      </w:pPr>
      <w:r>
        <w:rPr>
          <w:b/>
          <w:bCs/>
          <w:sz w:val="24"/>
          <w:szCs w:val="24"/>
        </w:rPr>
        <w:t>表1</w:t>
      </w:r>
      <w:r>
        <w:rPr>
          <w:rFonts w:hint="eastAsia"/>
          <w:b/>
          <w:bCs/>
          <w:sz w:val="24"/>
          <w:szCs w:val="24"/>
        </w:rPr>
        <w:t>0-</w:t>
      </w:r>
      <w:r>
        <w:rPr>
          <w:b/>
          <w:bCs/>
          <w:sz w:val="24"/>
          <w:szCs w:val="24"/>
        </w:rPr>
        <w:t>10 -1   建设项目污染防治“三同时”竣工验收一览表</w:t>
      </w:r>
    </w:p>
    <w:tbl>
      <w:tblPr>
        <w:tblStyle w:val="23"/>
        <w:tblW w:w="9682" w:type="dxa"/>
        <w:jc w:val="center"/>
        <w:tblInd w:w="-96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200"/>
        <w:gridCol w:w="2097"/>
        <w:gridCol w:w="3663"/>
        <w:gridCol w:w="15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0" w:type="dxa"/>
            <w:tcBorders>
              <w:tl2br w:val="nil"/>
              <w:tr2bl w:val="nil"/>
            </w:tcBorders>
            <w:vAlign w:val="center"/>
          </w:tcPr>
          <w:p>
            <w:pPr>
              <w:spacing w:line="240" w:lineRule="auto"/>
              <w:jc w:val="center"/>
            </w:pPr>
            <w:r>
              <w:t>污染类型</w:t>
            </w:r>
          </w:p>
        </w:tc>
        <w:tc>
          <w:tcPr>
            <w:tcW w:w="1200" w:type="dxa"/>
            <w:tcBorders>
              <w:tl2br w:val="nil"/>
              <w:tr2bl w:val="nil"/>
            </w:tcBorders>
            <w:vAlign w:val="center"/>
          </w:tcPr>
          <w:p>
            <w:pPr>
              <w:spacing w:line="240" w:lineRule="auto"/>
              <w:jc w:val="center"/>
            </w:pPr>
            <w:r>
              <w:t>治理项目</w:t>
            </w:r>
          </w:p>
        </w:tc>
        <w:tc>
          <w:tcPr>
            <w:tcW w:w="2097" w:type="dxa"/>
            <w:tcBorders>
              <w:tl2br w:val="nil"/>
              <w:tr2bl w:val="nil"/>
            </w:tcBorders>
            <w:vAlign w:val="center"/>
          </w:tcPr>
          <w:p>
            <w:pPr>
              <w:spacing w:line="240" w:lineRule="auto"/>
              <w:jc w:val="center"/>
            </w:pPr>
            <w:r>
              <w:t>措施及设施名称</w:t>
            </w:r>
          </w:p>
        </w:tc>
        <w:tc>
          <w:tcPr>
            <w:tcW w:w="3663" w:type="dxa"/>
            <w:tcBorders>
              <w:tl2br w:val="nil"/>
              <w:tr2bl w:val="nil"/>
            </w:tcBorders>
            <w:vAlign w:val="center"/>
          </w:tcPr>
          <w:p>
            <w:pPr>
              <w:spacing w:line="240" w:lineRule="auto"/>
              <w:jc w:val="center"/>
            </w:pPr>
            <w:r>
              <w:rPr>
                <w:rFonts w:hint="eastAsia"/>
                <w:lang w:eastAsia="zh-CN"/>
              </w:rPr>
              <w:t>验收要求</w:t>
            </w:r>
          </w:p>
        </w:tc>
        <w:tc>
          <w:tcPr>
            <w:tcW w:w="1582" w:type="dxa"/>
            <w:tcBorders>
              <w:tl2br w:val="nil"/>
              <w:tr2bl w:val="nil"/>
            </w:tcBorders>
            <w:vAlign w:val="center"/>
          </w:tcPr>
          <w:p>
            <w:pPr>
              <w:spacing w:line="240" w:lineRule="auto"/>
              <w:jc w:val="center"/>
            </w:pPr>
            <w:r>
              <w:rPr>
                <w:rFonts w:hint="eastAsia"/>
              </w:rPr>
              <w:t>完成时间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0" w:type="dxa"/>
            <w:vMerge w:val="restart"/>
            <w:tcBorders>
              <w:tl2br w:val="nil"/>
              <w:tr2bl w:val="nil"/>
            </w:tcBorders>
            <w:vAlign w:val="center"/>
          </w:tcPr>
          <w:p>
            <w:pPr>
              <w:spacing w:line="240" w:lineRule="auto"/>
              <w:jc w:val="center"/>
            </w:pPr>
            <w:r>
              <w:t>废水</w:t>
            </w:r>
          </w:p>
        </w:tc>
        <w:tc>
          <w:tcPr>
            <w:tcW w:w="1200" w:type="dxa"/>
            <w:tcBorders>
              <w:tl2br w:val="nil"/>
              <w:tr2bl w:val="nil"/>
            </w:tcBorders>
            <w:vAlign w:val="center"/>
          </w:tcPr>
          <w:p>
            <w:pPr>
              <w:spacing w:line="240" w:lineRule="auto"/>
              <w:jc w:val="center"/>
            </w:pPr>
            <w:r>
              <w:rPr>
                <w:rFonts w:hint="eastAsia"/>
                <w:lang w:eastAsia="zh-CN"/>
              </w:rPr>
              <w:t>生产废水</w:t>
            </w:r>
          </w:p>
        </w:tc>
        <w:tc>
          <w:tcPr>
            <w:tcW w:w="2097" w:type="dxa"/>
            <w:tcBorders>
              <w:tl2br w:val="nil"/>
              <w:tr2bl w:val="nil"/>
            </w:tcBorders>
            <w:vAlign w:val="center"/>
          </w:tcPr>
          <w:p>
            <w:pPr>
              <w:spacing w:line="240" w:lineRule="auto"/>
              <w:jc w:val="center"/>
            </w:pPr>
            <w:r>
              <w:rPr>
                <w:rFonts w:hint="eastAsia"/>
                <w:snapToGrid w:val="0"/>
                <w:kern w:val="18"/>
              </w:rPr>
              <w:t>日处理能力为</w:t>
            </w:r>
            <w:r>
              <w:rPr>
                <w:rFonts w:hint="eastAsia"/>
                <w:snapToGrid w:val="0"/>
                <w:kern w:val="18"/>
                <w:lang w:val="en-US" w:eastAsia="zh-CN"/>
              </w:rPr>
              <w:t>2</w:t>
            </w:r>
            <w:r>
              <w:rPr>
                <w:rFonts w:hint="eastAsia"/>
                <w:snapToGrid w:val="0"/>
                <w:kern w:val="18"/>
              </w:rPr>
              <w:t>0m</w:t>
            </w:r>
            <w:r>
              <w:rPr>
                <w:rFonts w:hint="eastAsia"/>
                <w:snapToGrid w:val="0"/>
                <w:kern w:val="18"/>
                <w:vertAlign w:val="superscript"/>
              </w:rPr>
              <w:t>3</w:t>
            </w:r>
            <w:r>
              <w:rPr>
                <w:rFonts w:hint="eastAsia"/>
                <w:snapToGrid w:val="0"/>
                <w:kern w:val="18"/>
              </w:rPr>
              <w:t>，处理工艺为</w:t>
            </w:r>
            <w:r>
              <w:rPr>
                <w:snapToGrid w:val="0"/>
                <w:kern w:val="18"/>
              </w:rPr>
              <w:t>“预处理</w:t>
            </w:r>
            <w:r>
              <w:rPr>
                <w:rFonts w:hint="eastAsia"/>
                <w:snapToGrid w:val="0"/>
                <w:kern w:val="18"/>
                <w:lang w:val="en-US" w:eastAsia="zh-CN"/>
              </w:rPr>
              <w:t>+</w:t>
            </w:r>
            <w:r>
              <w:rPr>
                <w:rFonts w:hint="eastAsia"/>
                <w:snapToGrid w:val="0"/>
                <w:kern w:val="18"/>
              </w:rPr>
              <w:t>A</w:t>
            </w:r>
            <w:r>
              <w:rPr>
                <w:rFonts w:hint="eastAsia"/>
                <w:snapToGrid w:val="0"/>
                <w:kern w:val="18"/>
                <w:lang w:val="en-US" w:eastAsia="zh-CN"/>
              </w:rPr>
              <w:t>/</w:t>
            </w:r>
            <w:r>
              <w:rPr>
                <w:rFonts w:hint="eastAsia"/>
                <w:snapToGrid w:val="0"/>
                <w:kern w:val="18"/>
              </w:rPr>
              <w:t>O</w:t>
            </w:r>
            <w:r>
              <w:rPr>
                <w:snapToGrid w:val="0"/>
                <w:kern w:val="18"/>
              </w:rPr>
              <w:t>”污水处理设备1套</w:t>
            </w:r>
          </w:p>
        </w:tc>
        <w:tc>
          <w:tcPr>
            <w:tcW w:w="3663" w:type="dxa"/>
            <w:vMerge w:val="restart"/>
            <w:tcBorders>
              <w:tl2br w:val="nil"/>
              <w:tr2bl w:val="nil"/>
            </w:tcBorders>
            <w:vAlign w:val="center"/>
          </w:tcPr>
          <w:p>
            <w:pPr>
              <w:spacing w:line="240" w:lineRule="auto"/>
              <w:jc w:val="center"/>
              <w:rPr>
                <w:rFonts w:hint="eastAsia" w:eastAsia="宋体"/>
                <w:lang w:eastAsia="zh-CN"/>
              </w:rPr>
            </w:pPr>
            <w:r>
              <w:rPr>
                <w:rFonts w:hint="eastAsia" w:eastAsia="宋体"/>
                <w:lang w:eastAsia="zh-CN"/>
              </w:rPr>
              <w:t>项目废水经处理达到《污水综合排放标准》（GB8978-1996）表4中三级标准，其中总磷和氨氮参照执行《污水排入城镇下水道水质标准》（GB/T 31962-2015）中B等级标准</w:t>
            </w:r>
          </w:p>
        </w:tc>
        <w:tc>
          <w:tcPr>
            <w:tcW w:w="1582" w:type="dxa"/>
            <w:vMerge w:val="restart"/>
            <w:tcBorders>
              <w:tl2br w:val="nil"/>
              <w:tr2bl w:val="nil"/>
            </w:tcBorders>
            <w:vAlign w:val="center"/>
          </w:tcPr>
          <w:p>
            <w:pPr>
              <w:spacing w:line="240" w:lineRule="auto"/>
              <w:jc w:val="center"/>
            </w:pPr>
            <w:r>
              <w:rPr>
                <w:rFonts w:hint="eastAsia"/>
              </w:rPr>
              <w:t>三同时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0" w:type="dxa"/>
            <w:vMerge w:val="continue"/>
            <w:tcBorders>
              <w:tl2br w:val="nil"/>
              <w:tr2bl w:val="nil"/>
            </w:tcBorders>
            <w:vAlign w:val="center"/>
          </w:tcPr>
          <w:p>
            <w:pPr>
              <w:spacing w:line="240" w:lineRule="auto"/>
              <w:jc w:val="center"/>
            </w:pPr>
          </w:p>
        </w:tc>
        <w:tc>
          <w:tcPr>
            <w:tcW w:w="1200" w:type="dxa"/>
            <w:tcBorders>
              <w:tl2br w:val="nil"/>
              <w:tr2bl w:val="nil"/>
            </w:tcBorders>
            <w:vAlign w:val="center"/>
          </w:tcPr>
          <w:p>
            <w:pPr>
              <w:spacing w:line="240" w:lineRule="auto"/>
              <w:jc w:val="center"/>
              <w:rPr>
                <w:rFonts w:hint="eastAsia"/>
              </w:rPr>
            </w:pPr>
            <w:r>
              <w:rPr>
                <w:rFonts w:hint="eastAsia"/>
                <w:lang w:eastAsia="zh-CN"/>
              </w:rPr>
              <w:t>生活污水</w:t>
            </w:r>
          </w:p>
        </w:tc>
        <w:tc>
          <w:tcPr>
            <w:tcW w:w="2097" w:type="dxa"/>
            <w:tcBorders>
              <w:tl2br w:val="nil"/>
              <w:tr2bl w:val="nil"/>
            </w:tcBorders>
            <w:vAlign w:val="center"/>
          </w:tcPr>
          <w:p>
            <w:pPr>
              <w:spacing w:line="240" w:lineRule="auto"/>
              <w:jc w:val="center"/>
            </w:pPr>
            <w:r>
              <w:rPr>
                <w:rFonts w:hint="eastAsia"/>
                <w:snapToGrid w:val="0"/>
                <w:kern w:val="18"/>
                <w:lang w:val="en-US" w:eastAsia="zh-CN"/>
              </w:rPr>
              <w:t>隔油池+化粪池</w:t>
            </w:r>
          </w:p>
        </w:tc>
        <w:tc>
          <w:tcPr>
            <w:tcW w:w="3663" w:type="dxa"/>
            <w:vMerge w:val="continue"/>
            <w:tcBorders>
              <w:tl2br w:val="nil"/>
              <w:tr2bl w:val="nil"/>
            </w:tcBorders>
            <w:vAlign w:val="center"/>
          </w:tcPr>
          <w:p>
            <w:pPr>
              <w:spacing w:line="240" w:lineRule="auto"/>
              <w:jc w:val="center"/>
            </w:pPr>
          </w:p>
        </w:tc>
        <w:tc>
          <w:tcPr>
            <w:tcW w:w="1582" w:type="dxa"/>
            <w:vMerge w:val="continue"/>
            <w:tcBorders>
              <w:tl2br w:val="nil"/>
              <w:tr2bl w:val="nil"/>
            </w:tcBorders>
            <w:vAlign w:val="center"/>
          </w:tcPr>
          <w:p>
            <w:pPr>
              <w:spacing w:line="240" w:lineRule="auto"/>
              <w:jc w:val="center"/>
              <w:rPr>
                <w:rFonts w:hint="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1140" w:type="dxa"/>
            <w:vMerge w:val="restart"/>
            <w:tcBorders>
              <w:tl2br w:val="nil"/>
              <w:tr2bl w:val="nil"/>
            </w:tcBorders>
            <w:vAlign w:val="center"/>
          </w:tcPr>
          <w:p>
            <w:pPr>
              <w:spacing w:line="240" w:lineRule="auto"/>
              <w:jc w:val="center"/>
            </w:pPr>
            <w:r>
              <w:t>废气</w:t>
            </w:r>
          </w:p>
        </w:tc>
        <w:tc>
          <w:tcPr>
            <w:tcW w:w="1200" w:type="dxa"/>
            <w:tcBorders>
              <w:tl2br w:val="nil"/>
              <w:tr2bl w:val="nil"/>
            </w:tcBorders>
            <w:vAlign w:val="center"/>
          </w:tcPr>
          <w:p>
            <w:pPr>
              <w:spacing w:line="240" w:lineRule="auto"/>
              <w:jc w:val="center"/>
            </w:pPr>
            <w:r>
              <w:rPr>
                <w:snapToGrid w:val="0"/>
                <w:kern w:val="18"/>
              </w:rPr>
              <w:t>污水处理设施恶臭</w:t>
            </w:r>
          </w:p>
        </w:tc>
        <w:tc>
          <w:tcPr>
            <w:tcW w:w="2097" w:type="dxa"/>
            <w:tcBorders>
              <w:tl2br w:val="nil"/>
              <w:tr2bl w:val="nil"/>
            </w:tcBorders>
            <w:vAlign w:val="center"/>
          </w:tcPr>
          <w:p>
            <w:pPr>
              <w:spacing w:line="240" w:lineRule="auto"/>
              <w:jc w:val="center"/>
              <w:rPr>
                <w:rFonts w:hint="eastAsia" w:eastAsia="宋体"/>
                <w:lang w:eastAsia="zh-CN"/>
              </w:rPr>
            </w:pPr>
            <w:r>
              <w:t>污水处理设施污泥及时清运、定期喷洒除臭剂</w:t>
            </w:r>
            <w:r>
              <w:rPr>
                <w:rFonts w:hint="eastAsia"/>
                <w:lang w:eastAsia="zh-CN"/>
              </w:rPr>
              <w:t>、种植绿化</w:t>
            </w:r>
            <w:r>
              <w:t>等</w:t>
            </w:r>
          </w:p>
        </w:tc>
        <w:tc>
          <w:tcPr>
            <w:tcW w:w="3663" w:type="dxa"/>
            <w:vMerge w:val="restart"/>
            <w:tcBorders>
              <w:tl2br w:val="nil"/>
              <w:tr2bl w:val="nil"/>
            </w:tcBorders>
            <w:vAlign w:val="center"/>
          </w:tcPr>
          <w:p>
            <w:pPr>
              <w:spacing w:line="240" w:lineRule="auto"/>
              <w:jc w:val="center"/>
            </w:pPr>
            <w:r>
              <w:rPr>
                <w:rFonts w:hint="eastAsia"/>
              </w:rPr>
              <w:t>恶臭排放执行《恶臭污染物排放标准》（GB14554-93）中表1恶臭污染物厂界标准中规定的二级标准，食堂油烟排放参考执行《饮食业油烟排放标准（试行）》（GB18483-2001）中中型限制要求</w:t>
            </w:r>
          </w:p>
        </w:tc>
        <w:tc>
          <w:tcPr>
            <w:tcW w:w="1582" w:type="dxa"/>
            <w:vMerge w:val="restart"/>
            <w:tcBorders>
              <w:tl2br w:val="nil"/>
              <w:tr2bl w:val="nil"/>
            </w:tcBorders>
            <w:vAlign w:val="center"/>
          </w:tcPr>
          <w:p>
            <w:pPr>
              <w:spacing w:line="240" w:lineRule="auto"/>
              <w:jc w:val="center"/>
            </w:pPr>
            <w:r>
              <w:rPr>
                <w:rFonts w:hint="eastAsia"/>
              </w:rPr>
              <w:t>三同时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0" w:type="dxa"/>
            <w:vMerge w:val="continue"/>
            <w:tcBorders>
              <w:tl2br w:val="nil"/>
              <w:tr2bl w:val="nil"/>
            </w:tcBorders>
            <w:vAlign w:val="center"/>
          </w:tcPr>
          <w:p>
            <w:pPr>
              <w:spacing w:line="240" w:lineRule="auto"/>
              <w:jc w:val="center"/>
            </w:pPr>
          </w:p>
        </w:tc>
        <w:tc>
          <w:tcPr>
            <w:tcW w:w="1200" w:type="dxa"/>
            <w:tcBorders>
              <w:tl2br w:val="nil"/>
              <w:tr2bl w:val="nil"/>
            </w:tcBorders>
            <w:vAlign w:val="center"/>
          </w:tcPr>
          <w:p>
            <w:pPr>
              <w:spacing w:line="240" w:lineRule="auto"/>
              <w:jc w:val="center"/>
            </w:pPr>
            <w:r>
              <w:rPr>
                <w:rFonts w:hint="eastAsia"/>
                <w:lang w:eastAsia="zh-CN"/>
              </w:rPr>
              <w:t>食堂油烟</w:t>
            </w:r>
          </w:p>
        </w:tc>
        <w:tc>
          <w:tcPr>
            <w:tcW w:w="2097" w:type="dxa"/>
            <w:tcBorders>
              <w:tl2br w:val="nil"/>
              <w:tr2bl w:val="nil"/>
            </w:tcBorders>
            <w:vAlign w:val="center"/>
          </w:tcPr>
          <w:p>
            <w:pPr>
              <w:spacing w:line="240" w:lineRule="auto"/>
              <w:jc w:val="center"/>
            </w:pPr>
            <w:r>
              <w:rPr>
                <w:rFonts w:hint="eastAsia"/>
              </w:rPr>
              <w:t>经</w:t>
            </w:r>
            <w:r>
              <w:rPr>
                <w:rFonts w:hint="eastAsia"/>
                <w:lang w:eastAsia="zh-CN"/>
              </w:rPr>
              <w:t>油烟净化器处理后于楼顶排放</w:t>
            </w:r>
          </w:p>
        </w:tc>
        <w:tc>
          <w:tcPr>
            <w:tcW w:w="3663" w:type="dxa"/>
            <w:vMerge w:val="continue"/>
            <w:tcBorders>
              <w:tl2br w:val="nil"/>
              <w:tr2bl w:val="nil"/>
            </w:tcBorders>
            <w:vAlign w:val="center"/>
          </w:tcPr>
          <w:p>
            <w:pPr>
              <w:spacing w:line="240" w:lineRule="auto"/>
              <w:jc w:val="center"/>
            </w:pPr>
          </w:p>
        </w:tc>
        <w:tc>
          <w:tcPr>
            <w:tcW w:w="1582" w:type="dxa"/>
            <w:vMerge w:val="continue"/>
            <w:tcBorders>
              <w:tl2br w:val="nil"/>
              <w:tr2bl w:val="nil"/>
            </w:tcBorders>
            <w:vAlign w:val="center"/>
          </w:tcPr>
          <w:p>
            <w:pPr>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0" w:type="dxa"/>
            <w:tcBorders>
              <w:tl2br w:val="nil"/>
              <w:tr2bl w:val="nil"/>
            </w:tcBorders>
            <w:vAlign w:val="center"/>
          </w:tcPr>
          <w:p>
            <w:pPr>
              <w:spacing w:line="240" w:lineRule="auto"/>
              <w:jc w:val="center"/>
            </w:pPr>
            <w:r>
              <w:t>噪声</w:t>
            </w:r>
          </w:p>
        </w:tc>
        <w:tc>
          <w:tcPr>
            <w:tcW w:w="1200" w:type="dxa"/>
            <w:tcBorders>
              <w:tl2br w:val="nil"/>
              <w:tr2bl w:val="nil"/>
            </w:tcBorders>
            <w:vAlign w:val="center"/>
          </w:tcPr>
          <w:p>
            <w:pPr>
              <w:spacing w:line="240" w:lineRule="auto"/>
              <w:jc w:val="center"/>
            </w:pPr>
            <w:r>
              <w:t>设备噪声</w:t>
            </w:r>
          </w:p>
        </w:tc>
        <w:tc>
          <w:tcPr>
            <w:tcW w:w="2097" w:type="dxa"/>
            <w:tcBorders>
              <w:tl2br w:val="nil"/>
              <w:tr2bl w:val="nil"/>
            </w:tcBorders>
            <w:vAlign w:val="center"/>
          </w:tcPr>
          <w:p>
            <w:pPr>
              <w:spacing w:line="240" w:lineRule="auto"/>
              <w:jc w:val="center"/>
            </w:pPr>
            <w:r>
              <w:t>选用低噪声设备，合理布置，建筑隔声，安装减振、消音设备</w:t>
            </w:r>
          </w:p>
        </w:tc>
        <w:tc>
          <w:tcPr>
            <w:tcW w:w="3663" w:type="dxa"/>
            <w:tcBorders>
              <w:tl2br w:val="nil"/>
              <w:tr2bl w:val="nil"/>
            </w:tcBorders>
            <w:vAlign w:val="center"/>
          </w:tcPr>
          <w:p>
            <w:pPr>
              <w:spacing w:line="240" w:lineRule="auto"/>
              <w:jc w:val="center"/>
            </w:pPr>
            <w:r>
              <w:t>厂界噪声排放达到《工业企业厂界环境噪声排放标准》（GB12348-2008）</w:t>
            </w:r>
            <w:r>
              <w:rPr>
                <w:rFonts w:hint="eastAsia"/>
                <w:lang w:val="en-US" w:eastAsia="zh-CN"/>
              </w:rPr>
              <w:t>3</w:t>
            </w:r>
            <w:r>
              <w:t>类</w:t>
            </w:r>
            <w:r>
              <w:rPr>
                <w:rFonts w:hint="eastAsia"/>
                <w:lang w:eastAsia="zh-CN"/>
              </w:rPr>
              <w:t>区</w:t>
            </w:r>
            <w:r>
              <w:t>标准</w:t>
            </w:r>
          </w:p>
        </w:tc>
        <w:tc>
          <w:tcPr>
            <w:tcW w:w="1582" w:type="dxa"/>
            <w:tcBorders>
              <w:tl2br w:val="nil"/>
              <w:tr2bl w:val="nil"/>
            </w:tcBorders>
            <w:vAlign w:val="center"/>
          </w:tcPr>
          <w:p>
            <w:pPr>
              <w:spacing w:line="240" w:lineRule="auto"/>
              <w:jc w:val="center"/>
            </w:pPr>
            <w:r>
              <w:rPr>
                <w:rFonts w:hint="eastAsia"/>
              </w:rPr>
              <w:t>三同时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0" w:type="dxa"/>
            <w:vMerge w:val="restart"/>
            <w:tcBorders>
              <w:tl2br w:val="nil"/>
              <w:tr2bl w:val="nil"/>
            </w:tcBorders>
            <w:vAlign w:val="center"/>
          </w:tcPr>
          <w:p>
            <w:pPr>
              <w:spacing w:line="240" w:lineRule="auto"/>
              <w:jc w:val="center"/>
            </w:pPr>
            <w:r>
              <w:t>固废</w:t>
            </w:r>
          </w:p>
        </w:tc>
        <w:tc>
          <w:tcPr>
            <w:tcW w:w="1200" w:type="dxa"/>
            <w:tcBorders>
              <w:tl2br w:val="nil"/>
              <w:tr2bl w:val="nil"/>
            </w:tcBorders>
            <w:vAlign w:val="center"/>
          </w:tcPr>
          <w:p>
            <w:pPr>
              <w:spacing w:line="240" w:lineRule="auto"/>
              <w:jc w:val="center"/>
            </w:pPr>
            <w:r>
              <w:t>一般固废</w:t>
            </w:r>
          </w:p>
        </w:tc>
        <w:tc>
          <w:tcPr>
            <w:tcW w:w="2097" w:type="dxa"/>
            <w:tcBorders>
              <w:tl2br w:val="nil"/>
              <w:tr2bl w:val="nil"/>
            </w:tcBorders>
            <w:vAlign w:val="center"/>
          </w:tcPr>
          <w:p>
            <w:pPr>
              <w:spacing w:line="240" w:lineRule="auto"/>
              <w:jc w:val="center"/>
              <w:rPr>
                <w:rFonts w:hint="eastAsia" w:eastAsia="宋体"/>
                <w:lang w:eastAsia="zh-CN"/>
              </w:rPr>
            </w:pPr>
            <w:r>
              <w:rPr>
                <w:rFonts w:hint="eastAsia"/>
                <w:lang w:eastAsia="zh-CN"/>
              </w:rPr>
              <w:t>边角料、不合格品、废包装材料</w:t>
            </w:r>
          </w:p>
        </w:tc>
        <w:tc>
          <w:tcPr>
            <w:tcW w:w="3663" w:type="dxa"/>
            <w:vMerge w:val="restart"/>
            <w:tcBorders>
              <w:tl2br w:val="nil"/>
              <w:tr2bl w:val="nil"/>
            </w:tcBorders>
            <w:vAlign w:val="center"/>
          </w:tcPr>
          <w:p>
            <w:pPr>
              <w:spacing w:line="240" w:lineRule="auto"/>
              <w:jc w:val="center"/>
            </w:pPr>
            <w:r>
              <w:t>《一般工业固体废物贮存、处置场污染控制标准》（GB18599-2001）（2013年修改）</w:t>
            </w:r>
          </w:p>
          <w:p>
            <w:pPr>
              <w:spacing w:line="240" w:lineRule="auto"/>
              <w:jc w:val="center"/>
            </w:pPr>
          </w:p>
        </w:tc>
        <w:tc>
          <w:tcPr>
            <w:tcW w:w="1582" w:type="dxa"/>
            <w:vMerge w:val="restart"/>
            <w:tcBorders>
              <w:tl2br w:val="nil"/>
              <w:tr2bl w:val="nil"/>
            </w:tcBorders>
            <w:vAlign w:val="center"/>
          </w:tcPr>
          <w:p>
            <w:pPr>
              <w:spacing w:line="240" w:lineRule="auto"/>
              <w:jc w:val="center"/>
            </w:pPr>
            <w:r>
              <w:rPr>
                <w:rFonts w:hint="eastAsia"/>
              </w:rPr>
              <w:t>三同时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0" w:type="dxa"/>
            <w:vMerge w:val="continue"/>
            <w:tcBorders>
              <w:tl2br w:val="nil"/>
              <w:tr2bl w:val="nil"/>
            </w:tcBorders>
            <w:vAlign w:val="center"/>
          </w:tcPr>
          <w:p>
            <w:pPr>
              <w:spacing w:line="240" w:lineRule="auto"/>
              <w:jc w:val="center"/>
            </w:pPr>
          </w:p>
        </w:tc>
        <w:tc>
          <w:tcPr>
            <w:tcW w:w="1200" w:type="dxa"/>
            <w:tcBorders>
              <w:tl2br w:val="nil"/>
              <w:tr2bl w:val="nil"/>
            </w:tcBorders>
            <w:vAlign w:val="center"/>
          </w:tcPr>
          <w:p>
            <w:pPr>
              <w:spacing w:line="240" w:lineRule="auto"/>
              <w:jc w:val="center"/>
              <w:rPr>
                <w:rFonts w:hint="eastAsia" w:eastAsia="宋体"/>
                <w:lang w:eastAsia="zh-CN"/>
              </w:rPr>
            </w:pPr>
            <w:r>
              <w:rPr>
                <w:rFonts w:hint="eastAsia"/>
                <w:lang w:eastAsia="zh-CN"/>
              </w:rPr>
              <w:t>其他</w:t>
            </w:r>
          </w:p>
        </w:tc>
        <w:tc>
          <w:tcPr>
            <w:tcW w:w="2097" w:type="dxa"/>
            <w:tcBorders>
              <w:tl2br w:val="nil"/>
              <w:tr2bl w:val="nil"/>
            </w:tcBorders>
            <w:vAlign w:val="center"/>
          </w:tcPr>
          <w:p>
            <w:pPr>
              <w:spacing w:line="240" w:lineRule="auto"/>
              <w:jc w:val="center"/>
              <w:rPr>
                <w:rFonts w:hint="eastAsia" w:eastAsia="宋体"/>
                <w:lang w:eastAsia="zh-CN"/>
              </w:rPr>
            </w:pPr>
            <w:r>
              <w:rPr>
                <w:rFonts w:hint="eastAsia"/>
                <w:lang w:eastAsia="zh-CN"/>
              </w:rPr>
              <w:t>水洗添加剂空桶</w:t>
            </w:r>
          </w:p>
        </w:tc>
        <w:tc>
          <w:tcPr>
            <w:tcW w:w="3663" w:type="dxa"/>
            <w:vMerge w:val="continue"/>
            <w:tcBorders>
              <w:tl2br w:val="nil"/>
              <w:tr2bl w:val="nil"/>
            </w:tcBorders>
            <w:vAlign w:val="center"/>
          </w:tcPr>
          <w:p>
            <w:pPr>
              <w:spacing w:line="240" w:lineRule="auto"/>
              <w:jc w:val="center"/>
            </w:pPr>
          </w:p>
        </w:tc>
        <w:tc>
          <w:tcPr>
            <w:tcW w:w="1582" w:type="dxa"/>
            <w:vMerge w:val="continue"/>
            <w:tcBorders>
              <w:tl2br w:val="nil"/>
              <w:tr2bl w:val="nil"/>
            </w:tcBorders>
            <w:vAlign w:val="center"/>
          </w:tcPr>
          <w:p>
            <w:pPr>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0" w:type="dxa"/>
            <w:vMerge w:val="continue"/>
            <w:tcBorders>
              <w:tl2br w:val="nil"/>
              <w:tr2bl w:val="nil"/>
            </w:tcBorders>
            <w:vAlign w:val="center"/>
          </w:tcPr>
          <w:p>
            <w:pPr>
              <w:spacing w:line="240" w:lineRule="auto"/>
              <w:jc w:val="center"/>
            </w:pPr>
          </w:p>
        </w:tc>
        <w:tc>
          <w:tcPr>
            <w:tcW w:w="1200" w:type="dxa"/>
            <w:tcBorders>
              <w:tl2br w:val="nil"/>
              <w:tr2bl w:val="nil"/>
            </w:tcBorders>
            <w:vAlign w:val="center"/>
          </w:tcPr>
          <w:p>
            <w:pPr>
              <w:spacing w:line="240" w:lineRule="auto"/>
              <w:jc w:val="center"/>
            </w:pPr>
            <w:r>
              <w:t>生活垃圾</w:t>
            </w:r>
          </w:p>
        </w:tc>
        <w:tc>
          <w:tcPr>
            <w:tcW w:w="2097" w:type="dxa"/>
            <w:tcBorders>
              <w:tl2br w:val="nil"/>
              <w:tr2bl w:val="nil"/>
            </w:tcBorders>
            <w:vAlign w:val="center"/>
          </w:tcPr>
          <w:p>
            <w:pPr>
              <w:spacing w:line="240" w:lineRule="auto"/>
              <w:jc w:val="center"/>
            </w:pPr>
            <w:r>
              <w:t>环卫部门统一收集处理</w:t>
            </w:r>
          </w:p>
        </w:tc>
        <w:tc>
          <w:tcPr>
            <w:tcW w:w="3663" w:type="dxa"/>
            <w:vMerge w:val="continue"/>
            <w:tcBorders>
              <w:tl2br w:val="nil"/>
              <w:tr2bl w:val="nil"/>
            </w:tcBorders>
            <w:vAlign w:val="center"/>
          </w:tcPr>
          <w:p>
            <w:pPr>
              <w:spacing w:line="240" w:lineRule="auto"/>
              <w:jc w:val="center"/>
            </w:pPr>
          </w:p>
        </w:tc>
        <w:tc>
          <w:tcPr>
            <w:tcW w:w="1582" w:type="dxa"/>
            <w:vMerge w:val="continue"/>
            <w:tcBorders>
              <w:tl2br w:val="nil"/>
              <w:tr2bl w:val="nil"/>
            </w:tcBorders>
            <w:vAlign w:val="center"/>
          </w:tcPr>
          <w:p>
            <w:pPr>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0" w:type="dxa"/>
            <w:tcBorders>
              <w:tl2br w:val="nil"/>
              <w:tr2bl w:val="nil"/>
            </w:tcBorders>
            <w:vAlign w:val="center"/>
          </w:tcPr>
          <w:p>
            <w:pPr>
              <w:spacing w:line="240" w:lineRule="auto"/>
              <w:jc w:val="center"/>
            </w:pPr>
            <w:r>
              <w:t>地下水</w:t>
            </w:r>
          </w:p>
        </w:tc>
        <w:tc>
          <w:tcPr>
            <w:tcW w:w="3297" w:type="dxa"/>
            <w:gridSpan w:val="2"/>
            <w:tcBorders>
              <w:tl2br w:val="nil"/>
              <w:tr2bl w:val="nil"/>
            </w:tcBorders>
            <w:vAlign w:val="center"/>
          </w:tcPr>
          <w:p>
            <w:pPr>
              <w:spacing w:line="240" w:lineRule="auto"/>
              <w:jc w:val="center"/>
            </w:pPr>
            <w:r>
              <w:t>污染物下渗</w:t>
            </w:r>
          </w:p>
        </w:tc>
        <w:tc>
          <w:tcPr>
            <w:tcW w:w="3663" w:type="dxa"/>
            <w:tcBorders>
              <w:tl2br w:val="nil"/>
              <w:tr2bl w:val="nil"/>
            </w:tcBorders>
            <w:vAlign w:val="center"/>
          </w:tcPr>
          <w:p>
            <w:pPr>
              <w:spacing w:line="240" w:lineRule="auto"/>
              <w:jc w:val="center"/>
            </w:pPr>
            <w:r>
              <w:t>厂区分区防渗措施</w:t>
            </w:r>
          </w:p>
        </w:tc>
        <w:tc>
          <w:tcPr>
            <w:tcW w:w="1582" w:type="dxa"/>
            <w:tcBorders>
              <w:tl2br w:val="nil"/>
              <w:tr2bl w:val="nil"/>
            </w:tcBorders>
            <w:vAlign w:val="center"/>
          </w:tcPr>
          <w:p>
            <w:pPr>
              <w:spacing w:line="240" w:lineRule="auto"/>
              <w:jc w:val="center"/>
            </w:pPr>
            <w:r>
              <w:rPr>
                <w:rFonts w:hint="eastAsia"/>
              </w:rPr>
              <w:t>三同时</w:t>
            </w:r>
          </w:p>
        </w:tc>
      </w:tr>
    </w:tbl>
    <w:p>
      <w:pPr>
        <w:pStyle w:val="8"/>
        <w:rPr>
          <w:rFonts w:ascii="Times New Roman" w:hAnsi="Times New Roman" w:cs="Times New Roman"/>
        </w:rPr>
      </w:pPr>
    </w:p>
    <w:p/>
    <w:p/>
    <w:p/>
    <w:p/>
    <w:p/>
    <w:p>
      <w:pPr>
        <w:tabs>
          <w:tab w:val="center" w:pos="4252"/>
        </w:tabs>
        <w:jc w:val="left"/>
        <w:sectPr>
          <w:pgSz w:w="11907" w:h="16840"/>
          <w:pgMar w:top="1418" w:right="1701" w:bottom="1418" w:left="1701" w:header="851" w:footer="992" w:gutter="0"/>
          <w:pgBorders>
            <w:top w:val="none" w:sz="0" w:space="0"/>
            <w:left w:val="none" w:sz="0" w:space="0"/>
            <w:bottom w:val="none" w:sz="0" w:space="0"/>
            <w:right w:val="none" w:sz="0" w:space="0"/>
          </w:pgBorders>
          <w:cols w:space="720" w:num="1"/>
          <w:docGrid w:linePitch="312" w:charSpace="0"/>
        </w:sectPr>
      </w:pPr>
      <w:r>
        <w:rPr>
          <w:rFonts w:hint="eastAsia"/>
        </w:rPr>
        <w:tab/>
      </w:r>
    </w:p>
    <w:p>
      <w:pPr>
        <w:pStyle w:val="5"/>
        <w:rPr>
          <w:bCs w:val="0"/>
          <w:sz w:val="24"/>
          <w:szCs w:val="24"/>
        </w:rPr>
      </w:pPr>
      <w:bookmarkStart w:id="312" w:name="_Toc532395371"/>
      <w:bookmarkStart w:id="313" w:name="_Toc1802_WPSOffice_Level2"/>
      <w:r>
        <w:rPr>
          <w:bCs w:val="0"/>
          <w:sz w:val="24"/>
          <w:szCs w:val="24"/>
        </w:rPr>
        <w:t>1</w:t>
      </w:r>
      <w:r>
        <w:rPr>
          <w:rFonts w:hint="eastAsia"/>
          <w:bCs w:val="0"/>
          <w:sz w:val="24"/>
          <w:szCs w:val="24"/>
        </w:rPr>
        <w:t>0</w:t>
      </w:r>
      <w:r>
        <w:rPr>
          <w:bCs w:val="0"/>
          <w:sz w:val="24"/>
          <w:szCs w:val="24"/>
        </w:rPr>
        <w:t>.11评价总结论</w:t>
      </w:r>
      <w:bookmarkEnd w:id="312"/>
      <w:bookmarkEnd w:id="313"/>
    </w:p>
    <w:p>
      <w:pPr>
        <w:ind w:firstLine="480" w:firstLineChars="200"/>
        <w:rPr>
          <w:sz w:val="24"/>
          <w:szCs w:val="24"/>
        </w:rPr>
      </w:pPr>
      <w:bookmarkStart w:id="314" w:name="_Toc519871456"/>
      <w:bookmarkStart w:id="315" w:name="_Toc519871967"/>
      <w:bookmarkStart w:id="316" w:name="_Toc468090665"/>
      <w:bookmarkStart w:id="317" w:name="_Toc470341009"/>
      <w:r>
        <w:rPr>
          <w:rFonts w:hint="eastAsia"/>
          <w:color w:val="000000" w:themeColor="text1"/>
          <w:sz w:val="24"/>
          <w:szCs w:val="24"/>
          <w:lang w:eastAsia="zh-CN"/>
          <w14:textFill>
            <w14:solidFill>
              <w14:schemeClr w14:val="tx1"/>
            </w14:solidFill>
          </w14:textFill>
        </w:rPr>
        <w:t>六安凯旭服饰有限公司年产</w:t>
      </w:r>
      <w:r>
        <w:rPr>
          <w:rFonts w:hint="eastAsia"/>
          <w:color w:val="000000" w:themeColor="text1"/>
          <w:sz w:val="24"/>
          <w:szCs w:val="24"/>
          <w:lang w:val="en-US" w:eastAsia="zh-CN"/>
          <w14:textFill>
            <w14:solidFill>
              <w14:schemeClr w14:val="tx1"/>
            </w14:solidFill>
          </w14:textFill>
        </w:rPr>
        <w:t>150万件职工编制生产项目</w:t>
      </w:r>
      <w:r>
        <w:rPr>
          <w:sz w:val="24"/>
          <w:szCs w:val="24"/>
        </w:rPr>
        <w:t>符合国家产业政策，选址符合规划。项目的建设，得到公众的认可，清洁生产水平满足要求，工程产生的废水、废气、噪声及固废在采取相应的治理措施后均可达标排放或无害化处置，不会降低评价区域原有环境功能级别。</w:t>
      </w:r>
      <w:bookmarkEnd w:id="314"/>
      <w:bookmarkEnd w:id="315"/>
    </w:p>
    <w:p>
      <w:pPr>
        <w:ind w:firstLine="556"/>
        <w:rPr>
          <w:sz w:val="24"/>
          <w:szCs w:val="24"/>
        </w:rPr>
      </w:pPr>
      <w:bookmarkStart w:id="318" w:name="_Toc519871968"/>
      <w:bookmarkStart w:id="319" w:name="_Toc519871457"/>
      <w:r>
        <w:rPr>
          <w:sz w:val="24"/>
          <w:szCs w:val="24"/>
        </w:rPr>
        <w:t>因此，从环境影响的角度，项目在严格落实环评报告中提出的各项污染防治措施的前提下，项目的建设是可行的。</w:t>
      </w:r>
      <w:bookmarkEnd w:id="318"/>
      <w:bookmarkEnd w:id="319"/>
    </w:p>
    <w:p>
      <w:pPr>
        <w:pStyle w:val="5"/>
        <w:keepLines w:val="0"/>
        <w:rPr>
          <w:bCs w:val="0"/>
          <w:kern w:val="0"/>
          <w:sz w:val="24"/>
          <w:szCs w:val="24"/>
        </w:rPr>
      </w:pPr>
      <w:bookmarkStart w:id="320" w:name="_Toc30726_WPSOffice_Level2"/>
      <w:bookmarkStart w:id="321" w:name="_Toc532395372"/>
      <w:r>
        <w:rPr>
          <w:bCs w:val="0"/>
          <w:kern w:val="0"/>
          <w:sz w:val="24"/>
          <w:szCs w:val="24"/>
        </w:rPr>
        <w:t>1</w:t>
      </w:r>
      <w:r>
        <w:rPr>
          <w:rFonts w:hint="eastAsia"/>
          <w:bCs w:val="0"/>
          <w:kern w:val="0"/>
          <w:sz w:val="24"/>
          <w:szCs w:val="24"/>
        </w:rPr>
        <w:t>0</w:t>
      </w:r>
      <w:r>
        <w:rPr>
          <w:bCs w:val="0"/>
          <w:kern w:val="0"/>
          <w:sz w:val="24"/>
          <w:szCs w:val="24"/>
        </w:rPr>
        <w:t>.12 建议</w:t>
      </w:r>
      <w:bookmarkEnd w:id="316"/>
      <w:bookmarkEnd w:id="317"/>
      <w:bookmarkEnd w:id="320"/>
      <w:bookmarkEnd w:id="321"/>
    </w:p>
    <w:p>
      <w:pPr>
        <w:ind w:firstLine="556"/>
        <w:rPr>
          <w:sz w:val="24"/>
          <w:szCs w:val="24"/>
        </w:rPr>
      </w:pPr>
      <w:r>
        <w:rPr>
          <w:sz w:val="24"/>
          <w:szCs w:val="24"/>
        </w:rPr>
        <w:t>为保护环境，最大限度减轻项目建设对环境的影响，本次环评提出以下建议：</w:t>
      </w:r>
    </w:p>
    <w:p>
      <w:pPr>
        <w:ind w:firstLine="556"/>
        <w:rPr>
          <w:sz w:val="24"/>
          <w:szCs w:val="24"/>
        </w:rPr>
      </w:pPr>
      <w:r>
        <w:rPr>
          <w:sz w:val="24"/>
          <w:szCs w:val="24"/>
        </w:rPr>
        <w:t>1、企业环保工作实行法人负责制，加强对各类环保设施的管理和维护，确保其正常运行；</w:t>
      </w:r>
    </w:p>
    <w:p>
      <w:pPr>
        <w:ind w:firstLine="480" w:firstLineChars="200"/>
        <w:rPr>
          <w:sz w:val="24"/>
          <w:szCs w:val="24"/>
        </w:rPr>
      </w:pPr>
      <w:r>
        <w:rPr>
          <w:sz w:val="24"/>
          <w:szCs w:val="24"/>
        </w:rPr>
        <w:t>2、企业必须专门留出资金，确保环保设施运行、风险防范措施所需资金落实到位；</w:t>
      </w:r>
    </w:p>
    <w:p>
      <w:pPr>
        <w:ind w:firstLine="480" w:firstLineChars="200"/>
        <w:rPr>
          <w:sz w:val="24"/>
          <w:szCs w:val="24"/>
        </w:rPr>
      </w:pPr>
      <w:r>
        <w:rPr>
          <w:sz w:val="24"/>
          <w:szCs w:val="24"/>
        </w:rPr>
        <w:t>3、注重清洁生产和循环利用，从源头上减少污染物产生量，达到经济效益、社会效益、环境效益的统一。</w:t>
      </w:r>
    </w:p>
    <w:p/>
    <w:p/>
    <w:sectPr>
      <w:headerReference r:id="rId18" w:type="default"/>
      <w:pgSz w:w="11907" w:h="16840"/>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libri">
    <w:panose1 w:val="020F0502020204030204"/>
    <w:charset w:val="86"/>
    <w:family w:val="swiss"/>
    <w:pitch w:val="default"/>
    <w:sig w:usb0="E00002FF" w:usb1="4000ACFF" w:usb2="00000001" w:usb3="00000000" w:csb0="2000019F" w:csb1="00000000"/>
  </w:font>
  <w:font w:name="幼圆">
    <w:altName w:val="宋体"/>
    <w:panose1 w:val="00000000000000000000"/>
    <w:charset w:val="86"/>
    <w:family w:val="modern"/>
    <w:pitch w:val="default"/>
    <w:sig w:usb0="00000000" w:usb1="0000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ascii="仿宋" w:hAnsi="仿宋" w:eastAsia="仿宋"/>
        <w:b/>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115GwLIB&#10;AABPAwAADgAAAAAAAAABACAAAAAeAQAAZHJzL2Uyb0RvYy54bWxQSwUGAAAAAAYABgBZAQAAQgUA&#10;AAAA&#10;">
              <v:fill on="f" focussize="0,0"/>
              <v:stroke on="f"/>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ascii="仿宋" w:hAnsi="仿宋" w:eastAsia="仿宋"/>
        <w:b/>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AOf9bBsQEA&#10;AE8DAAAOAAAAAAAAAAEAIAAAAB4BAABkcnMvZTJvRG9jLnhtbFBLBQYAAAAABgAGAFkBAABBBQAA&#10;AAA=&#10;">
              <v:fill on="f" focussize="0,0"/>
              <v:stroke on="f"/>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ascii="仿宋" w:hAnsi="仿宋" w:eastAsia="仿宋"/>
        <w:b/>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GNc4jkYAgAAGAQAAA4AAAAA&#10;AAAAAQAgAAAAHwEAAGRycy9lMm9Eb2MueG1sUEsFBgAAAAAGAAYAWQEAAKk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jc w:val="both"/>
    </w:pPr>
    <w:r>
      <w:rPr>
        <w:rFonts w:hint="eastAsia"/>
        <w:lang w:eastAsia="zh-CN"/>
      </w:rPr>
      <w:t>六安凯旭服饰有限公司年产150万件职工编制生产线项目</w:t>
    </w:r>
    <w:r>
      <w:rPr>
        <w:rFonts w:hint="eastAsia"/>
      </w:rPr>
      <w:t>环境影响报告书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pPr>
    <w:r>
      <w:rPr>
        <w:rFonts w:hint="eastAsia"/>
        <w:lang w:eastAsia="zh-CN"/>
      </w:rPr>
      <w:t>六安凯旭服饰有限公司年产150万件职工编制生产线项目</w:t>
    </w:r>
    <w:r>
      <w:rPr>
        <w:rFonts w:hint="eastAsia"/>
      </w:rPr>
      <w:t>环境影响报告书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ind w:firstLine="1260" w:firstLineChars="700"/>
      <w:jc w:val="both"/>
    </w:pPr>
    <w:r>
      <w:rPr>
        <w:rFonts w:hint="eastAsia"/>
        <w:lang w:eastAsia="zh-CN"/>
      </w:rPr>
      <w:t>六安凯旭服饰有限公司年产150万件职工编制生产线项目</w:t>
    </w:r>
    <w:r>
      <w:rPr>
        <w:rFonts w:hint="eastAsia"/>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lang w:eastAsia="zh-CN"/>
      </w:rPr>
      <w:t>六安凯旭服饰有限公司年产150万件职工编制生产线项目</w:t>
    </w:r>
    <w:r>
      <w:rPr>
        <w:rFonts w:hint="eastAsia"/>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pPr>
    <w:r>
      <w:rPr>
        <w:rFonts w:hint="eastAsia"/>
        <w:lang w:eastAsia="zh-CN"/>
      </w:rPr>
      <w:t>六安凯旭服饰有限公司年产150万件职工编制生产线项目</w:t>
    </w:r>
    <w:r>
      <w:rPr>
        <w:rFonts w:hint="eastAsia"/>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ind w:firstLine="4320" w:firstLineChars="2400"/>
      <w:jc w:val="both"/>
    </w:pPr>
    <w:r>
      <w:rPr>
        <w:rFonts w:hint="eastAsia"/>
        <w:lang w:eastAsia="zh-CN"/>
      </w:rPr>
      <w:t>六安凯旭服饰有限公司年产150万件职工编制生产线项目</w:t>
    </w:r>
    <w:r>
      <w:rPr>
        <w:rFonts w:hint="eastAsia"/>
      </w:rPr>
      <w:t>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pPr>
    <w:r>
      <w:rPr>
        <w:rFonts w:hint="eastAsia"/>
        <w:lang w:eastAsia="zh-CN"/>
      </w:rPr>
      <w:t>六安凯旭服饰有限公司年产150万件职工编制生产线项目</w:t>
    </w:r>
    <w:r>
      <w:rPr>
        <w:rFonts w:hint="eastAsia"/>
      </w:rPr>
      <w:t>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lang w:eastAsia="zh-CN"/>
      </w:rPr>
      <w:t>六安凯旭服饰有限公司年产150万件职工编制生产线项目</w:t>
    </w:r>
    <w:r>
      <w:rPr>
        <w:rFonts w:hint="eastAsia"/>
      </w:rPr>
      <w:t>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pPr>
    <w:r>
      <w:rPr>
        <w:rFonts w:hint="eastAsia"/>
        <w:lang w:eastAsia="zh-CN"/>
      </w:rPr>
      <w:t>六安凯旭服饰有限公司年产150万件职工编制生产线项目</w:t>
    </w:r>
    <w:r>
      <w:rPr>
        <w:rFonts w:hint="eastAsia"/>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A57AFB"/>
    <w:multiLevelType w:val="singleLevel"/>
    <w:tmpl w:val="8FA57AFB"/>
    <w:lvl w:ilvl="0" w:tentative="0">
      <w:start w:val="1"/>
      <w:numFmt w:val="decimal"/>
      <w:suff w:val="nothing"/>
      <w:lvlText w:val="（%1）"/>
      <w:lvlJc w:val="left"/>
    </w:lvl>
  </w:abstractNum>
  <w:abstractNum w:abstractNumId="1">
    <w:nsid w:val="92B33DBD"/>
    <w:multiLevelType w:val="singleLevel"/>
    <w:tmpl w:val="92B33DBD"/>
    <w:lvl w:ilvl="0" w:tentative="0">
      <w:start w:val="4"/>
      <w:numFmt w:val="decimal"/>
      <w:suff w:val="nothing"/>
      <w:lvlText w:val="（%1）"/>
      <w:lvlJc w:val="left"/>
    </w:lvl>
  </w:abstractNum>
  <w:abstractNum w:abstractNumId="2">
    <w:nsid w:val="ADDC60F3"/>
    <w:multiLevelType w:val="singleLevel"/>
    <w:tmpl w:val="ADDC60F3"/>
    <w:lvl w:ilvl="0" w:tentative="0">
      <w:start w:val="4"/>
      <w:numFmt w:val="decimal"/>
      <w:suff w:val="nothing"/>
      <w:lvlText w:val="%1、"/>
      <w:lvlJc w:val="left"/>
    </w:lvl>
  </w:abstractNum>
  <w:abstractNum w:abstractNumId="3">
    <w:nsid w:val="17057644"/>
    <w:multiLevelType w:val="singleLevel"/>
    <w:tmpl w:val="17057644"/>
    <w:lvl w:ilvl="0" w:tentative="0">
      <w:start w:val="2"/>
      <w:numFmt w:val="decimal"/>
      <w:suff w:val="nothing"/>
      <w:lvlText w:val="（%1）"/>
      <w:lvlJc w:val="left"/>
    </w:lvl>
  </w:abstractNum>
  <w:abstractNum w:abstractNumId="4">
    <w:nsid w:val="31BF740B"/>
    <w:multiLevelType w:val="singleLevel"/>
    <w:tmpl w:val="31BF740B"/>
    <w:lvl w:ilvl="0" w:tentative="0">
      <w:start w:val="1"/>
      <w:numFmt w:val="decimal"/>
      <w:suff w:val="nothing"/>
      <w:lvlText w:val="（%1）"/>
      <w:lvlJc w:val="left"/>
    </w:lvl>
  </w:abstractNum>
  <w:abstractNum w:abstractNumId="5">
    <w:nsid w:val="437C0743"/>
    <w:multiLevelType w:val="singleLevel"/>
    <w:tmpl w:val="437C0743"/>
    <w:lvl w:ilvl="0" w:tentative="0">
      <w:start w:val="1"/>
      <w:numFmt w:val="decimal"/>
      <w:suff w:val="nothing"/>
      <w:lvlText w:val="（%1）"/>
      <w:lvlJc w:val="left"/>
    </w:lvl>
  </w:abstractNum>
  <w:abstractNum w:abstractNumId="6">
    <w:nsid w:val="5593C00C"/>
    <w:multiLevelType w:val="singleLevel"/>
    <w:tmpl w:val="5593C00C"/>
    <w:lvl w:ilvl="0" w:tentative="0">
      <w:start w:val="2"/>
      <w:numFmt w:val="decimal"/>
      <w:suff w:val="nothing"/>
      <w:lvlText w:val="%1、"/>
      <w:lvlJc w:val="left"/>
    </w:lvl>
  </w:abstractNum>
  <w:abstractNum w:abstractNumId="7">
    <w:nsid w:val="55B6FF2E"/>
    <w:multiLevelType w:val="singleLevel"/>
    <w:tmpl w:val="55B6FF2E"/>
    <w:lvl w:ilvl="0" w:tentative="0">
      <w:start w:val="2"/>
      <w:numFmt w:val="decimal"/>
      <w:suff w:val="nothing"/>
      <w:lvlText w:val="%1、"/>
      <w:lvlJc w:val="left"/>
    </w:lvl>
  </w:abstractNum>
  <w:abstractNum w:abstractNumId="8">
    <w:nsid w:val="55CAAF79"/>
    <w:multiLevelType w:val="singleLevel"/>
    <w:tmpl w:val="55CAAF79"/>
    <w:lvl w:ilvl="0" w:tentative="0">
      <w:start w:val="1"/>
      <w:numFmt w:val="decimal"/>
      <w:suff w:val="nothing"/>
      <w:lvlText w:val="%1）"/>
      <w:lvlJc w:val="left"/>
    </w:lvl>
  </w:abstractNum>
  <w:abstractNum w:abstractNumId="9">
    <w:nsid w:val="60BE0A00"/>
    <w:multiLevelType w:val="singleLevel"/>
    <w:tmpl w:val="60BE0A00"/>
    <w:lvl w:ilvl="0" w:tentative="0">
      <w:start w:val="4"/>
      <w:numFmt w:val="decimal"/>
      <w:suff w:val="nothing"/>
      <w:lvlText w:val="（%1）"/>
      <w:lvlJc w:val="left"/>
    </w:lvl>
  </w:abstractNum>
  <w:abstractNum w:abstractNumId="10">
    <w:nsid w:val="75D0BD0D"/>
    <w:multiLevelType w:val="singleLevel"/>
    <w:tmpl w:val="75D0BD0D"/>
    <w:lvl w:ilvl="0" w:tentative="0">
      <w:start w:val="1"/>
      <w:numFmt w:val="decimal"/>
      <w:suff w:val="nothing"/>
      <w:lvlText w:val="（%1）"/>
      <w:lvlJc w:val="left"/>
    </w:lvl>
  </w:abstractNum>
  <w:num w:numId="1">
    <w:abstractNumId w:val="10"/>
  </w:num>
  <w:num w:numId="2">
    <w:abstractNumId w:val="1"/>
  </w:num>
  <w:num w:numId="3">
    <w:abstractNumId w:val="9"/>
  </w:num>
  <w:num w:numId="4">
    <w:abstractNumId w:val="5"/>
  </w:num>
  <w:num w:numId="5">
    <w:abstractNumId w:val="0"/>
  </w:num>
  <w:num w:numId="6">
    <w:abstractNumId w:val="8"/>
  </w:num>
  <w:num w:numId="7">
    <w:abstractNumId w:val="2"/>
  </w:num>
  <w:num w:numId="8">
    <w:abstractNumId w:val="4"/>
  </w:num>
  <w:num w:numId="9">
    <w:abstractNumId w:val="7"/>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933389"/>
    <w:rsid w:val="00007C49"/>
    <w:rsid w:val="000151C3"/>
    <w:rsid w:val="000453E4"/>
    <w:rsid w:val="0004775F"/>
    <w:rsid w:val="0006451D"/>
    <w:rsid w:val="000728E1"/>
    <w:rsid w:val="00076936"/>
    <w:rsid w:val="000B1AFB"/>
    <w:rsid w:val="000C4594"/>
    <w:rsid w:val="000E7802"/>
    <w:rsid w:val="000E7C73"/>
    <w:rsid w:val="000F1C7D"/>
    <w:rsid w:val="000F1D42"/>
    <w:rsid w:val="00137BAA"/>
    <w:rsid w:val="00167E18"/>
    <w:rsid w:val="001A29E4"/>
    <w:rsid w:val="001F1055"/>
    <w:rsid w:val="00223F9F"/>
    <w:rsid w:val="00230BA8"/>
    <w:rsid w:val="00236886"/>
    <w:rsid w:val="0024769C"/>
    <w:rsid w:val="00265944"/>
    <w:rsid w:val="002772AB"/>
    <w:rsid w:val="00296F2C"/>
    <w:rsid w:val="002C2580"/>
    <w:rsid w:val="002D5C71"/>
    <w:rsid w:val="002E4E1B"/>
    <w:rsid w:val="00303112"/>
    <w:rsid w:val="0031436A"/>
    <w:rsid w:val="0032633A"/>
    <w:rsid w:val="00367DC4"/>
    <w:rsid w:val="00391ECD"/>
    <w:rsid w:val="003A4C65"/>
    <w:rsid w:val="003C06FA"/>
    <w:rsid w:val="003D236E"/>
    <w:rsid w:val="003D580F"/>
    <w:rsid w:val="003E1BEA"/>
    <w:rsid w:val="003F22D7"/>
    <w:rsid w:val="0041605F"/>
    <w:rsid w:val="00427382"/>
    <w:rsid w:val="00435165"/>
    <w:rsid w:val="0044050E"/>
    <w:rsid w:val="00461225"/>
    <w:rsid w:val="0046551B"/>
    <w:rsid w:val="00474DBD"/>
    <w:rsid w:val="00485392"/>
    <w:rsid w:val="004C35DD"/>
    <w:rsid w:val="004C6D2F"/>
    <w:rsid w:val="004E0330"/>
    <w:rsid w:val="004E7BAA"/>
    <w:rsid w:val="005340C0"/>
    <w:rsid w:val="00554160"/>
    <w:rsid w:val="00560279"/>
    <w:rsid w:val="005604B4"/>
    <w:rsid w:val="005652F2"/>
    <w:rsid w:val="005812FD"/>
    <w:rsid w:val="005B512F"/>
    <w:rsid w:val="005D7ECC"/>
    <w:rsid w:val="00631209"/>
    <w:rsid w:val="00644709"/>
    <w:rsid w:val="00647144"/>
    <w:rsid w:val="0066494F"/>
    <w:rsid w:val="0067774B"/>
    <w:rsid w:val="006E604E"/>
    <w:rsid w:val="006F0ED9"/>
    <w:rsid w:val="007007DC"/>
    <w:rsid w:val="00710B4F"/>
    <w:rsid w:val="00716988"/>
    <w:rsid w:val="0072085E"/>
    <w:rsid w:val="007362AC"/>
    <w:rsid w:val="00755F2C"/>
    <w:rsid w:val="00757CC7"/>
    <w:rsid w:val="007A5B06"/>
    <w:rsid w:val="008034CD"/>
    <w:rsid w:val="0083097D"/>
    <w:rsid w:val="00831B08"/>
    <w:rsid w:val="0084746E"/>
    <w:rsid w:val="008909DD"/>
    <w:rsid w:val="008966CB"/>
    <w:rsid w:val="008A0D30"/>
    <w:rsid w:val="008C440E"/>
    <w:rsid w:val="00900C33"/>
    <w:rsid w:val="00A12530"/>
    <w:rsid w:val="00A3636B"/>
    <w:rsid w:val="00A4002C"/>
    <w:rsid w:val="00A92299"/>
    <w:rsid w:val="00A949B1"/>
    <w:rsid w:val="00A958BD"/>
    <w:rsid w:val="00B42080"/>
    <w:rsid w:val="00B76823"/>
    <w:rsid w:val="00BC2A38"/>
    <w:rsid w:val="00BC7825"/>
    <w:rsid w:val="00BD2BBD"/>
    <w:rsid w:val="00BF0E94"/>
    <w:rsid w:val="00BF5EFD"/>
    <w:rsid w:val="00C062BB"/>
    <w:rsid w:val="00C15895"/>
    <w:rsid w:val="00C42665"/>
    <w:rsid w:val="00C46182"/>
    <w:rsid w:val="00C90BE5"/>
    <w:rsid w:val="00C92A9C"/>
    <w:rsid w:val="00CA056B"/>
    <w:rsid w:val="00CB13EC"/>
    <w:rsid w:val="00D13A7D"/>
    <w:rsid w:val="00D164BB"/>
    <w:rsid w:val="00D2635D"/>
    <w:rsid w:val="00D52955"/>
    <w:rsid w:val="00D619DB"/>
    <w:rsid w:val="00D62387"/>
    <w:rsid w:val="00D7651D"/>
    <w:rsid w:val="00D82042"/>
    <w:rsid w:val="00D9014C"/>
    <w:rsid w:val="00DA7727"/>
    <w:rsid w:val="00DB66B4"/>
    <w:rsid w:val="00DB7FE0"/>
    <w:rsid w:val="00DC45DC"/>
    <w:rsid w:val="00DE1831"/>
    <w:rsid w:val="00E026E4"/>
    <w:rsid w:val="00E046C1"/>
    <w:rsid w:val="00E233B5"/>
    <w:rsid w:val="00E667CA"/>
    <w:rsid w:val="00E90E4A"/>
    <w:rsid w:val="00EC0695"/>
    <w:rsid w:val="00ED3BE1"/>
    <w:rsid w:val="00EF4073"/>
    <w:rsid w:val="00EF677E"/>
    <w:rsid w:val="00F031A2"/>
    <w:rsid w:val="00F109BF"/>
    <w:rsid w:val="00F22FB0"/>
    <w:rsid w:val="00F35E95"/>
    <w:rsid w:val="00F37CAA"/>
    <w:rsid w:val="00F86FF3"/>
    <w:rsid w:val="00F8727C"/>
    <w:rsid w:val="00F87705"/>
    <w:rsid w:val="00FA4428"/>
    <w:rsid w:val="00FC73E9"/>
    <w:rsid w:val="00FE2B43"/>
    <w:rsid w:val="00FE329F"/>
    <w:rsid w:val="00FF3E6F"/>
    <w:rsid w:val="00FF522C"/>
    <w:rsid w:val="01043F7D"/>
    <w:rsid w:val="012216B5"/>
    <w:rsid w:val="01324E43"/>
    <w:rsid w:val="01794CE1"/>
    <w:rsid w:val="0180479C"/>
    <w:rsid w:val="0198078F"/>
    <w:rsid w:val="019848FC"/>
    <w:rsid w:val="01AD3C15"/>
    <w:rsid w:val="02147CFB"/>
    <w:rsid w:val="0217209C"/>
    <w:rsid w:val="02282C60"/>
    <w:rsid w:val="023553F8"/>
    <w:rsid w:val="023B6F9B"/>
    <w:rsid w:val="0241625A"/>
    <w:rsid w:val="0262195C"/>
    <w:rsid w:val="02752090"/>
    <w:rsid w:val="028648AA"/>
    <w:rsid w:val="02890E9F"/>
    <w:rsid w:val="02947E2F"/>
    <w:rsid w:val="029931CC"/>
    <w:rsid w:val="02D4370E"/>
    <w:rsid w:val="02ED1930"/>
    <w:rsid w:val="02EE0BC8"/>
    <w:rsid w:val="02FA09BE"/>
    <w:rsid w:val="03475D50"/>
    <w:rsid w:val="03547EA1"/>
    <w:rsid w:val="035E0DBD"/>
    <w:rsid w:val="036669AD"/>
    <w:rsid w:val="03B674A4"/>
    <w:rsid w:val="03C85487"/>
    <w:rsid w:val="03E5379F"/>
    <w:rsid w:val="03EA785C"/>
    <w:rsid w:val="03F242F0"/>
    <w:rsid w:val="04021BBB"/>
    <w:rsid w:val="041D117C"/>
    <w:rsid w:val="043E4342"/>
    <w:rsid w:val="045C79BF"/>
    <w:rsid w:val="04625468"/>
    <w:rsid w:val="0463208C"/>
    <w:rsid w:val="04C4220B"/>
    <w:rsid w:val="04DB0824"/>
    <w:rsid w:val="05332752"/>
    <w:rsid w:val="05372A46"/>
    <w:rsid w:val="05425BFC"/>
    <w:rsid w:val="054662AF"/>
    <w:rsid w:val="054D194C"/>
    <w:rsid w:val="054D1B03"/>
    <w:rsid w:val="05722217"/>
    <w:rsid w:val="058352E9"/>
    <w:rsid w:val="05A56AAB"/>
    <w:rsid w:val="05A94DBD"/>
    <w:rsid w:val="05AE69D6"/>
    <w:rsid w:val="05BF2DBD"/>
    <w:rsid w:val="05E6205C"/>
    <w:rsid w:val="05F331A8"/>
    <w:rsid w:val="05F915F3"/>
    <w:rsid w:val="06040F89"/>
    <w:rsid w:val="062D32A0"/>
    <w:rsid w:val="0644443B"/>
    <w:rsid w:val="065003AC"/>
    <w:rsid w:val="065E6047"/>
    <w:rsid w:val="066B5BAE"/>
    <w:rsid w:val="068565E8"/>
    <w:rsid w:val="06942562"/>
    <w:rsid w:val="06A960AF"/>
    <w:rsid w:val="06C65F2C"/>
    <w:rsid w:val="06F15E23"/>
    <w:rsid w:val="06FB772E"/>
    <w:rsid w:val="06FC300F"/>
    <w:rsid w:val="070E7AA6"/>
    <w:rsid w:val="072914B8"/>
    <w:rsid w:val="073779C5"/>
    <w:rsid w:val="07834C19"/>
    <w:rsid w:val="079A5FAB"/>
    <w:rsid w:val="07F0537C"/>
    <w:rsid w:val="07F47162"/>
    <w:rsid w:val="08005AA0"/>
    <w:rsid w:val="080436D2"/>
    <w:rsid w:val="08090C31"/>
    <w:rsid w:val="081B6258"/>
    <w:rsid w:val="081C372E"/>
    <w:rsid w:val="0835178C"/>
    <w:rsid w:val="083562E5"/>
    <w:rsid w:val="083C5448"/>
    <w:rsid w:val="083C5F43"/>
    <w:rsid w:val="08516C4C"/>
    <w:rsid w:val="08653DED"/>
    <w:rsid w:val="086605DA"/>
    <w:rsid w:val="087B2606"/>
    <w:rsid w:val="089016F0"/>
    <w:rsid w:val="089633AA"/>
    <w:rsid w:val="08A54531"/>
    <w:rsid w:val="08A96DD4"/>
    <w:rsid w:val="08B219C0"/>
    <w:rsid w:val="08D7354B"/>
    <w:rsid w:val="08D760F2"/>
    <w:rsid w:val="08E6215B"/>
    <w:rsid w:val="08FB32F1"/>
    <w:rsid w:val="09100709"/>
    <w:rsid w:val="09116FB5"/>
    <w:rsid w:val="093F13FF"/>
    <w:rsid w:val="095962EB"/>
    <w:rsid w:val="09617124"/>
    <w:rsid w:val="09757A3F"/>
    <w:rsid w:val="098F06A7"/>
    <w:rsid w:val="09CB3507"/>
    <w:rsid w:val="09CC0E2A"/>
    <w:rsid w:val="09E66C18"/>
    <w:rsid w:val="09F52BBB"/>
    <w:rsid w:val="0A1473D8"/>
    <w:rsid w:val="0A157B95"/>
    <w:rsid w:val="0A16635F"/>
    <w:rsid w:val="0A1C6F01"/>
    <w:rsid w:val="0A1E7B7C"/>
    <w:rsid w:val="0A3D2EFF"/>
    <w:rsid w:val="0A435ACF"/>
    <w:rsid w:val="0A4A1B3E"/>
    <w:rsid w:val="0A961B36"/>
    <w:rsid w:val="0A983F6E"/>
    <w:rsid w:val="0AB77763"/>
    <w:rsid w:val="0ACE4886"/>
    <w:rsid w:val="0AD341BE"/>
    <w:rsid w:val="0B121171"/>
    <w:rsid w:val="0B284064"/>
    <w:rsid w:val="0B315FB9"/>
    <w:rsid w:val="0B63508B"/>
    <w:rsid w:val="0B7B4191"/>
    <w:rsid w:val="0B82599D"/>
    <w:rsid w:val="0B847DE4"/>
    <w:rsid w:val="0BB81876"/>
    <w:rsid w:val="0BFB312D"/>
    <w:rsid w:val="0C0C2EDA"/>
    <w:rsid w:val="0C0C5B2A"/>
    <w:rsid w:val="0C2A0095"/>
    <w:rsid w:val="0C355CF8"/>
    <w:rsid w:val="0C3E020E"/>
    <w:rsid w:val="0C622B7E"/>
    <w:rsid w:val="0C7071D0"/>
    <w:rsid w:val="0C7F78D3"/>
    <w:rsid w:val="0C8D2570"/>
    <w:rsid w:val="0C8E7A88"/>
    <w:rsid w:val="0CB8251E"/>
    <w:rsid w:val="0CBC5F2C"/>
    <w:rsid w:val="0CCF2804"/>
    <w:rsid w:val="0D0F3DE0"/>
    <w:rsid w:val="0D244D67"/>
    <w:rsid w:val="0D3B31C3"/>
    <w:rsid w:val="0D414724"/>
    <w:rsid w:val="0D452CD9"/>
    <w:rsid w:val="0D540DBA"/>
    <w:rsid w:val="0D6A1763"/>
    <w:rsid w:val="0D7D2894"/>
    <w:rsid w:val="0D876694"/>
    <w:rsid w:val="0D8D1664"/>
    <w:rsid w:val="0D936801"/>
    <w:rsid w:val="0DA41B1B"/>
    <w:rsid w:val="0DA5028C"/>
    <w:rsid w:val="0DA674ED"/>
    <w:rsid w:val="0DB321E6"/>
    <w:rsid w:val="0DB85093"/>
    <w:rsid w:val="0DCE7C69"/>
    <w:rsid w:val="0DE73908"/>
    <w:rsid w:val="0E120A30"/>
    <w:rsid w:val="0E193B0E"/>
    <w:rsid w:val="0E205DBA"/>
    <w:rsid w:val="0E286230"/>
    <w:rsid w:val="0E5141DF"/>
    <w:rsid w:val="0E5329BE"/>
    <w:rsid w:val="0E76466B"/>
    <w:rsid w:val="0E982029"/>
    <w:rsid w:val="0EB44ED4"/>
    <w:rsid w:val="0EC43D53"/>
    <w:rsid w:val="0EC71B75"/>
    <w:rsid w:val="0ED61730"/>
    <w:rsid w:val="0ED7157F"/>
    <w:rsid w:val="0ED727E7"/>
    <w:rsid w:val="0EDA185C"/>
    <w:rsid w:val="0EF9414A"/>
    <w:rsid w:val="0EFB051B"/>
    <w:rsid w:val="0F0A7A6D"/>
    <w:rsid w:val="0F144DE4"/>
    <w:rsid w:val="0F370122"/>
    <w:rsid w:val="0F425B03"/>
    <w:rsid w:val="0F486754"/>
    <w:rsid w:val="0F497709"/>
    <w:rsid w:val="0F4C010F"/>
    <w:rsid w:val="0F4F60C3"/>
    <w:rsid w:val="0F593930"/>
    <w:rsid w:val="0F5C6F41"/>
    <w:rsid w:val="0F646221"/>
    <w:rsid w:val="0F7D7B07"/>
    <w:rsid w:val="0F8646AA"/>
    <w:rsid w:val="0F8E007C"/>
    <w:rsid w:val="0FB723B2"/>
    <w:rsid w:val="0FC545B8"/>
    <w:rsid w:val="0FE42568"/>
    <w:rsid w:val="0FF443BB"/>
    <w:rsid w:val="102B3446"/>
    <w:rsid w:val="103E007A"/>
    <w:rsid w:val="10570A95"/>
    <w:rsid w:val="1072158F"/>
    <w:rsid w:val="107232DE"/>
    <w:rsid w:val="108C2625"/>
    <w:rsid w:val="109B03F4"/>
    <w:rsid w:val="10C42605"/>
    <w:rsid w:val="10F476AE"/>
    <w:rsid w:val="10FA68F7"/>
    <w:rsid w:val="10FF6626"/>
    <w:rsid w:val="1113544C"/>
    <w:rsid w:val="11266676"/>
    <w:rsid w:val="112C78EF"/>
    <w:rsid w:val="113E0325"/>
    <w:rsid w:val="11433FBD"/>
    <w:rsid w:val="11C81921"/>
    <w:rsid w:val="11D4562D"/>
    <w:rsid w:val="11FA0D90"/>
    <w:rsid w:val="11FF37C7"/>
    <w:rsid w:val="12011FF4"/>
    <w:rsid w:val="120C2A67"/>
    <w:rsid w:val="12166796"/>
    <w:rsid w:val="123007E6"/>
    <w:rsid w:val="126D4C30"/>
    <w:rsid w:val="12985BFE"/>
    <w:rsid w:val="129A3EA4"/>
    <w:rsid w:val="12AA579A"/>
    <w:rsid w:val="12C33774"/>
    <w:rsid w:val="12CA1D56"/>
    <w:rsid w:val="12DD6E27"/>
    <w:rsid w:val="12F861FB"/>
    <w:rsid w:val="12FB61CA"/>
    <w:rsid w:val="12FC2994"/>
    <w:rsid w:val="12FF18AF"/>
    <w:rsid w:val="13694F98"/>
    <w:rsid w:val="136C4FE4"/>
    <w:rsid w:val="13896884"/>
    <w:rsid w:val="13900DC9"/>
    <w:rsid w:val="13982A62"/>
    <w:rsid w:val="13A72282"/>
    <w:rsid w:val="13E34881"/>
    <w:rsid w:val="13E5293F"/>
    <w:rsid w:val="1409398C"/>
    <w:rsid w:val="14521553"/>
    <w:rsid w:val="145F5797"/>
    <w:rsid w:val="147E7118"/>
    <w:rsid w:val="148E5870"/>
    <w:rsid w:val="14964D92"/>
    <w:rsid w:val="149C5AFF"/>
    <w:rsid w:val="14A46968"/>
    <w:rsid w:val="14B908E7"/>
    <w:rsid w:val="14BF61BA"/>
    <w:rsid w:val="14EC348B"/>
    <w:rsid w:val="15095729"/>
    <w:rsid w:val="151A01E8"/>
    <w:rsid w:val="15490B80"/>
    <w:rsid w:val="1557713B"/>
    <w:rsid w:val="155907CC"/>
    <w:rsid w:val="155D373B"/>
    <w:rsid w:val="1579009A"/>
    <w:rsid w:val="15920C6D"/>
    <w:rsid w:val="15A27642"/>
    <w:rsid w:val="15A91963"/>
    <w:rsid w:val="15AF7F45"/>
    <w:rsid w:val="15C3018C"/>
    <w:rsid w:val="15CB23B0"/>
    <w:rsid w:val="15D06539"/>
    <w:rsid w:val="15D74494"/>
    <w:rsid w:val="15D86551"/>
    <w:rsid w:val="15EC14EB"/>
    <w:rsid w:val="15EC7EBA"/>
    <w:rsid w:val="15F957F4"/>
    <w:rsid w:val="16012EB3"/>
    <w:rsid w:val="160E297E"/>
    <w:rsid w:val="1611491D"/>
    <w:rsid w:val="16366027"/>
    <w:rsid w:val="1650483B"/>
    <w:rsid w:val="16512C20"/>
    <w:rsid w:val="167E6CF9"/>
    <w:rsid w:val="16892851"/>
    <w:rsid w:val="168C4063"/>
    <w:rsid w:val="169D1BBD"/>
    <w:rsid w:val="16AA24FE"/>
    <w:rsid w:val="16C05783"/>
    <w:rsid w:val="16C6642A"/>
    <w:rsid w:val="16C81710"/>
    <w:rsid w:val="16DE0144"/>
    <w:rsid w:val="16F1476F"/>
    <w:rsid w:val="16FB4A85"/>
    <w:rsid w:val="172A06EE"/>
    <w:rsid w:val="17567E97"/>
    <w:rsid w:val="177F1392"/>
    <w:rsid w:val="17BD0065"/>
    <w:rsid w:val="17E422B0"/>
    <w:rsid w:val="17E86423"/>
    <w:rsid w:val="17FD2AF9"/>
    <w:rsid w:val="182103C6"/>
    <w:rsid w:val="18290B73"/>
    <w:rsid w:val="184C27F7"/>
    <w:rsid w:val="184D6F4D"/>
    <w:rsid w:val="18557231"/>
    <w:rsid w:val="18656FD8"/>
    <w:rsid w:val="18A564F8"/>
    <w:rsid w:val="18CA3998"/>
    <w:rsid w:val="18FB2EC2"/>
    <w:rsid w:val="18FD54E8"/>
    <w:rsid w:val="19064B31"/>
    <w:rsid w:val="191457DC"/>
    <w:rsid w:val="19444367"/>
    <w:rsid w:val="195F6F4A"/>
    <w:rsid w:val="19663802"/>
    <w:rsid w:val="198C737A"/>
    <w:rsid w:val="198C7457"/>
    <w:rsid w:val="19A0274D"/>
    <w:rsid w:val="19A96BD7"/>
    <w:rsid w:val="19B657CD"/>
    <w:rsid w:val="19B9546B"/>
    <w:rsid w:val="19DB3918"/>
    <w:rsid w:val="19DF2039"/>
    <w:rsid w:val="19F62CCE"/>
    <w:rsid w:val="1A112B20"/>
    <w:rsid w:val="1A246FD8"/>
    <w:rsid w:val="1A4959C5"/>
    <w:rsid w:val="1A56632A"/>
    <w:rsid w:val="1A6909D1"/>
    <w:rsid w:val="1A8764A4"/>
    <w:rsid w:val="1A9F41D7"/>
    <w:rsid w:val="1AB57B51"/>
    <w:rsid w:val="1AE616BE"/>
    <w:rsid w:val="1AF778A8"/>
    <w:rsid w:val="1B2019A6"/>
    <w:rsid w:val="1B2E169B"/>
    <w:rsid w:val="1B4D2EF6"/>
    <w:rsid w:val="1B6426CE"/>
    <w:rsid w:val="1B645C44"/>
    <w:rsid w:val="1B714408"/>
    <w:rsid w:val="1BC95A1D"/>
    <w:rsid w:val="1BCA7C9C"/>
    <w:rsid w:val="1BE33E11"/>
    <w:rsid w:val="1C09196C"/>
    <w:rsid w:val="1C0C15D9"/>
    <w:rsid w:val="1C2E10E8"/>
    <w:rsid w:val="1C441E94"/>
    <w:rsid w:val="1C5D6691"/>
    <w:rsid w:val="1C62109C"/>
    <w:rsid w:val="1C6775FF"/>
    <w:rsid w:val="1C9E0260"/>
    <w:rsid w:val="1CB06A25"/>
    <w:rsid w:val="1CB67D6F"/>
    <w:rsid w:val="1D163FF3"/>
    <w:rsid w:val="1D267D13"/>
    <w:rsid w:val="1D291F3E"/>
    <w:rsid w:val="1D385F64"/>
    <w:rsid w:val="1D4542C0"/>
    <w:rsid w:val="1D6015BF"/>
    <w:rsid w:val="1D856BD0"/>
    <w:rsid w:val="1D9467BE"/>
    <w:rsid w:val="1D946D63"/>
    <w:rsid w:val="1D987C76"/>
    <w:rsid w:val="1DAA79C7"/>
    <w:rsid w:val="1DB369AD"/>
    <w:rsid w:val="1DDF0DA7"/>
    <w:rsid w:val="1DEB26DD"/>
    <w:rsid w:val="1E072561"/>
    <w:rsid w:val="1E1D22DB"/>
    <w:rsid w:val="1E1F657A"/>
    <w:rsid w:val="1E212D2D"/>
    <w:rsid w:val="1E2460CC"/>
    <w:rsid w:val="1E3C04D9"/>
    <w:rsid w:val="1E41234F"/>
    <w:rsid w:val="1E714015"/>
    <w:rsid w:val="1E836DC2"/>
    <w:rsid w:val="1EA8192A"/>
    <w:rsid w:val="1EC62123"/>
    <w:rsid w:val="1ECA64B3"/>
    <w:rsid w:val="1ED31341"/>
    <w:rsid w:val="1ED55881"/>
    <w:rsid w:val="1EE9747E"/>
    <w:rsid w:val="1EF548C2"/>
    <w:rsid w:val="1F057694"/>
    <w:rsid w:val="1F072DB3"/>
    <w:rsid w:val="1F461BF8"/>
    <w:rsid w:val="1F576A21"/>
    <w:rsid w:val="1F6C147A"/>
    <w:rsid w:val="1F7602FB"/>
    <w:rsid w:val="1F7D0214"/>
    <w:rsid w:val="1F890B18"/>
    <w:rsid w:val="1F9624EC"/>
    <w:rsid w:val="1F966A6B"/>
    <w:rsid w:val="1FB44429"/>
    <w:rsid w:val="1FD328E6"/>
    <w:rsid w:val="1FF11C18"/>
    <w:rsid w:val="1FF15692"/>
    <w:rsid w:val="1FF6731C"/>
    <w:rsid w:val="20156A9C"/>
    <w:rsid w:val="201A157C"/>
    <w:rsid w:val="202667ED"/>
    <w:rsid w:val="202B3CA1"/>
    <w:rsid w:val="20447E65"/>
    <w:rsid w:val="204E1130"/>
    <w:rsid w:val="20600E04"/>
    <w:rsid w:val="206F14D3"/>
    <w:rsid w:val="20B40451"/>
    <w:rsid w:val="20C21349"/>
    <w:rsid w:val="20D93808"/>
    <w:rsid w:val="20E77A5A"/>
    <w:rsid w:val="20F10140"/>
    <w:rsid w:val="20FA4062"/>
    <w:rsid w:val="21022919"/>
    <w:rsid w:val="21162B0A"/>
    <w:rsid w:val="21205475"/>
    <w:rsid w:val="21277D1C"/>
    <w:rsid w:val="21455608"/>
    <w:rsid w:val="214558D2"/>
    <w:rsid w:val="215A201F"/>
    <w:rsid w:val="2168515E"/>
    <w:rsid w:val="216F3260"/>
    <w:rsid w:val="21722AD5"/>
    <w:rsid w:val="21756731"/>
    <w:rsid w:val="21777466"/>
    <w:rsid w:val="217A2C42"/>
    <w:rsid w:val="217C6CD5"/>
    <w:rsid w:val="217E50FE"/>
    <w:rsid w:val="218001B7"/>
    <w:rsid w:val="21860D3B"/>
    <w:rsid w:val="218766DE"/>
    <w:rsid w:val="218A19BF"/>
    <w:rsid w:val="21B825F4"/>
    <w:rsid w:val="21B92541"/>
    <w:rsid w:val="220E3442"/>
    <w:rsid w:val="22111935"/>
    <w:rsid w:val="221328C5"/>
    <w:rsid w:val="221B2FFF"/>
    <w:rsid w:val="223C3BCB"/>
    <w:rsid w:val="22486745"/>
    <w:rsid w:val="227019E8"/>
    <w:rsid w:val="22A62895"/>
    <w:rsid w:val="22B433FB"/>
    <w:rsid w:val="22B53EA4"/>
    <w:rsid w:val="22CF1864"/>
    <w:rsid w:val="22CF74BE"/>
    <w:rsid w:val="22F362E2"/>
    <w:rsid w:val="23012593"/>
    <w:rsid w:val="230A6119"/>
    <w:rsid w:val="23267D63"/>
    <w:rsid w:val="23876747"/>
    <w:rsid w:val="23946584"/>
    <w:rsid w:val="23A13E82"/>
    <w:rsid w:val="23A91B2C"/>
    <w:rsid w:val="23BD0A03"/>
    <w:rsid w:val="23C75FE9"/>
    <w:rsid w:val="23D76406"/>
    <w:rsid w:val="23E82F29"/>
    <w:rsid w:val="24093994"/>
    <w:rsid w:val="24566778"/>
    <w:rsid w:val="245744F4"/>
    <w:rsid w:val="24657D9C"/>
    <w:rsid w:val="248F280B"/>
    <w:rsid w:val="2491370E"/>
    <w:rsid w:val="24936531"/>
    <w:rsid w:val="24C55ED8"/>
    <w:rsid w:val="24CD3D00"/>
    <w:rsid w:val="24E708D1"/>
    <w:rsid w:val="24EF1A0B"/>
    <w:rsid w:val="24F44FBE"/>
    <w:rsid w:val="251C68D5"/>
    <w:rsid w:val="253F2A87"/>
    <w:rsid w:val="255D4528"/>
    <w:rsid w:val="25702DCA"/>
    <w:rsid w:val="258100C0"/>
    <w:rsid w:val="25853736"/>
    <w:rsid w:val="258D6957"/>
    <w:rsid w:val="259E113C"/>
    <w:rsid w:val="25C962C3"/>
    <w:rsid w:val="25CE6E25"/>
    <w:rsid w:val="25D24FCE"/>
    <w:rsid w:val="25D27F13"/>
    <w:rsid w:val="25FE5D36"/>
    <w:rsid w:val="261374DA"/>
    <w:rsid w:val="263C1BC1"/>
    <w:rsid w:val="263F1478"/>
    <w:rsid w:val="26546544"/>
    <w:rsid w:val="26756D8C"/>
    <w:rsid w:val="26924841"/>
    <w:rsid w:val="26961B4C"/>
    <w:rsid w:val="26A65A47"/>
    <w:rsid w:val="26BA4B05"/>
    <w:rsid w:val="26E31226"/>
    <w:rsid w:val="26E354D8"/>
    <w:rsid w:val="2712783D"/>
    <w:rsid w:val="27477B9A"/>
    <w:rsid w:val="2761777E"/>
    <w:rsid w:val="27670ABA"/>
    <w:rsid w:val="276F704E"/>
    <w:rsid w:val="27A35A68"/>
    <w:rsid w:val="27A36E55"/>
    <w:rsid w:val="27A6182A"/>
    <w:rsid w:val="27B276B8"/>
    <w:rsid w:val="27B72957"/>
    <w:rsid w:val="27C272A8"/>
    <w:rsid w:val="27DB492C"/>
    <w:rsid w:val="27F040ED"/>
    <w:rsid w:val="27F64B60"/>
    <w:rsid w:val="27FD232E"/>
    <w:rsid w:val="28063EA5"/>
    <w:rsid w:val="28140743"/>
    <w:rsid w:val="281A1E08"/>
    <w:rsid w:val="282E69AB"/>
    <w:rsid w:val="28716F9E"/>
    <w:rsid w:val="288D39A0"/>
    <w:rsid w:val="289916B5"/>
    <w:rsid w:val="28A21287"/>
    <w:rsid w:val="28AF0C84"/>
    <w:rsid w:val="28C268ED"/>
    <w:rsid w:val="28C302F5"/>
    <w:rsid w:val="28C57C52"/>
    <w:rsid w:val="28C63580"/>
    <w:rsid w:val="28D0069B"/>
    <w:rsid w:val="28DD3D47"/>
    <w:rsid w:val="28E5325A"/>
    <w:rsid w:val="28F35010"/>
    <w:rsid w:val="28FB78A2"/>
    <w:rsid w:val="29121C76"/>
    <w:rsid w:val="292E4F1D"/>
    <w:rsid w:val="294C4103"/>
    <w:rsid w:val="2996141E"/>
    <w:rsid w:val="29983093"/>
    <w:rsid w:val="299A5C65"/>
    <w:rsid w:val="299D5C59"/>
    <w:rsid w:val="29A414B4"/>
    <w:rsid w:val="29C449D6"/>
    <w:rsid w:val="29C71E18"/>
    <w:rsid w:val="29C85B1D"/>
    <w:rsid w:val="29DE3DE1"/>
    <w:rsid w:val="2A1A46E6"/>
    <w:rsid w:val="2A2C4D10"/>
    <w:rsid w:val="2A425692"/>
    <w:rsid w:val="2A655AA7"/>
    <w:rsid w:val="2A665D90"/>
    <w:rsid w:val="2A731C27"/>
    <w:rsid w:val="2A84472E"/>
    <w:rsid w:val="2A8B4D9E"/>
    <w:rsid w:val="2A8F3986"/>
    <w:rsid w:val="2AA87520"/>
    <w:rsid w:val="2AB23EAA"/>
    <w:rsid w:val="2AB6372D"/>
    <w:rsid w:val="2ACC2BC2"/>
    <w:rsid w:val="2ACE22DF"/>
    <w:rsid w:val="2AED4298"/>
    <w:rsid w:val="2AF12EC5"/>
    <w:rsid w:val="2B260A39"/>
    <w:rsid w:val="2B2D40A7"/>
    <w:rsid w:val="2B5D51EC"/>
    <w:rsid w:val="2B646C29"/>
    <w:rsid w:val="2B9950DE"/>
    <w:rsid w:val="2BB30C31"/>
    <w:rsid w:val="2BBB15CF"/>
    <w:rsid w:val="2BC00EAB"/>
    <w:rsid w:val="2BC34F69"/>
    <w:rsid w:val="2BD40265"/>
    <w:rsid w:val="2BFB55D5"/>
    <w:rsid w:val="2C190170"/>
    <w:rsid w:val="2C200555"/>
    <w:rsid w:val="2C5A27B9"/>
    <w:rsid w:val="2C8923D7"/>
    <w:rsid w:val="2CA05F43"/>
    <w:rsid w:val="2CAA6780"/>
    <w:rsid w:val="2CC06D2F"/>
    <w:rsid w:val="2D0C4D05"/>
    <w:rsid w:val="2D0F6EDD"/>
    <w:rsid w:val="2D15306E"/>
    <w:rsid w:val="2D184694"/>
    <w:rsid w:val="2D3F7545"/>
    <w:rsid w:val="2D471A02"/>
    <w:rsid w:val="2D5D427F"/>
    <w:rsid w:val="2D6A42CA"/>
    <w:rsid w:val="2D857414"/>
    <w:rsid w:val="2D892A7D"/>
    <w:rsid w:val="2DB44889"/>
    <w:rsid w:val="2DFC4A72"/>
    <w:rsid w:val="2E0F4C2B"/>
    <w:rsid w:val="2E111F04"/>
    <w:rsid w:val="2E12476F"/>
    <w:rsid w:val="2E1F60C0"/>
    <w:rsid w:val="2E2B042A"/>
    <w:rsid w:val="2E460FA7"/>
    <w:rsid w:val="2E5A4BBB"/>
    <w:rsid w:val="2E5C1C5D"/>
    <w:rsid w:val="2E6451D4"/>
    <w:rsid w:val="2E6800C8"/>
    <w:rsid w:val="2E6802FD"/>
    <w:rsid w:val="2EAB053B"/>
    <w:rsid w:val="2ECB7BD9"/>
    <w:rsid w:val="2ED61B4A"/>
    <w:rsid w:val="2F1B5160"/>
    <w:rsid w:val="2F290C7D"/>
    <w:rsid w:val="2F404C6C"/>
    <w:rsid w:val="2F43401A"/>
    <w:rsid w:val="2F4760DF"/>
    <w:rsid w:val="2FB0475C"/>
    <w:rsid w:val="2FB34040"/>
    <w:rsid w:val="2FD02BC8"/>
    <w:rsid w:val="2FF826D5"/>
    <w:rsid w:val="3004286D"/>
    <w:rsid w:val="300F229D"/>
    <w:rsid w:val="30370348"/>
    <w:rsid w:val="3039020B"/>
    <w:rsid w:val="303D083E"/>
    <w:rsid w:val="30482E36"/>
    <w:rsid w:val="304D193D"/>
    <w:rsid w:val="30577BA3"/>
    <w:rsid w:val="305E23AD"/>
    <w:rsid w:val="307C5F9F"/>
    <w:rsid w:val="309E6E45"/>
    <w:rsid w:val="30AF109F"/>
    <w:rsid w:val="30B4786A"/>
    <w:rsid w:val="30D6692B"/>
    <w:rsid w:val="30E11F1D"/>
    <w:rsid w:val="30EA39CF"/>
    <w:rsid w:val="30FB53DC"/>
    <w:rsid w:val="313D2CFE"/>
    <w:rsid w:val="31511D43"/>
    <w:rsid w:val="315A78D6"/>
    <w:rsid w:val="315E7931"/>
    <w:rsid w:val="31750960"/>
    <w:rsid w:val="31867AE6"/>
    <w:rsid w:val="318A09B2"/>
    <w:rsid w:val="31913F1B"/>
    <w:rsid w:val="319A32D6"/>
    <w:rsid w:val="31CF7875"/>
    <w:rsid w:val="31D32D10"/>
    <w:rsid w:val="31DB3E9D"/>
    <w:rsid w:val="31F850F4"/>
    <w:rsid w:val="32054DFC"/>
    <w:rsid w:val="32544A4D"/>
    <w:rsid w:val="32726887"/>
    <w:rsid w:val="3279222E"/>
    <w:rsid w:val="327B6C28"/>
    <w:rsid w:val="32AA019F"/>
    <w:rsid w:val="32B66433"/>
    <w:rsid w:val="32BE7DBB"/>
    <w:rsid w:val="32EB24D2"/>
    <w:rsid w:val="32F268AE"/>
    <w:rsid w:val="33024A6B"/>
    <w:rsid w:val="331C259E"/>
    <w:rsid w:val="336A688D"/>
    <w:rsid w:val="33724778"/>
    <w:rsid w:val="33835591"/>
    <w:rsid w:val="338D5C2F"/>
    <w:rsid w:val="33920373"/>
    <w:rsid w:val="33BB351B"/>
    <w:rsid w:val="33C70CE8"/>
    <w:rsid w:val="33CA71EA"/>
    <w:rsid w:val="33CF6EEB"/>
    <w:rsid w:val="33D0683D"/>
    <w:rsid w:val="33D80ADA"/>
    <w:rsid w:val="33F269BB"/>
    <w:rsid w:val="33F71C16"/>
    <w:rsid w:val="33FB5B30"/>
    <w:rsid w:val="3414688C"/>
    <w:rsid w:val="3433130D"/>
    <w:rsid w:val="344F1534"/>
    <w:rsid w:val="345F3E7A"/>
    <w:rsid w:val="34646645"/>
    <w:rsid w:val="348D7FDC"/>
    <w:rsid w:val="34C35A36"/>
    <w:rsid w:val="34C504C2"/>
    <w:rsid w:val="34D16BAB"/>
    <w:rsid w:val="34D565B5"/>
    <w:rsid w:val="34E677C8"/>
    <w:rsid w:val="350F332E"/>
    <w:rsid w:val="35305109"/>
    <w:rsid w:val="35343ABE"/>
    <w:rsid w:val="35380861"/>
    <w:rsid w:val="353D69EE"/>
    <w:rsid w:val="35577724"/>
    <w:rsid w:val="355A7FDA"/>
    <w:rsid w:val="356E1FB4"/>
    <w:rsid w:val="358A2175"/>
    <w:rsid w:val="35933389"/>
    <w:rsid w:val="35B033E9"/>
    <w:rsid w:val="35B61026"/>
    <w:rsid w:val="35C22D8D"/>
    <w:rsid w:val="35D206E2"/>
    <w:rsid w:val="35ED7EBB"/>
    <w:rsid w:val="36146290"/>
    <w:rsid w:val="361D3082"/>
    <w:rsid w:val="36212AEF"/>
    <w:rsid w:val="363513DD"/>
    <w:rsid w:val="3635484B"/>
    <w:rsid w:val="3653404B"/>
    <w:rsid w:val="367E4AE0"/>
    <w:rsid w:val="369947D4"/>
    <w:rsid w:val="36A526B1"/>
    <w:rsid w:val="36E8335F"/>
    <w:rsid w:val="3701348A"/>
    <w:rsid w:val="373969F9"/>
    <w:rsid w:val="373E2B15"/>
    <w:rsid w:val="374145CC"/>
    <w:rsid w:val="37427DF7"/>
    <w:rsid w:val="377A27AB"/>
    <w:rsid w:val="37C54D5A"/>
    <w:rsid w:val="3819668D"/>
    <w:rsid w:val="38230F79"/>
    <w:rsid w:val="382F067A"/>
    <w:rsid w:val="383B7760"/>
    <w:rsid w:val="384674A1"/>
    <w:rsid w:val="384D487F"/>
    <w:rsid w:val="385F0BE5"/>
    <w:rsid w:val="386A2DBB"/>
    <w:rsid w:val="388B112D"/>
    <w:rsid w:val="38A84047"/>
    <w:rsid w:val="38BA6720"/>
    <w:rsid w:val="38BA78DA"/>
    <w:rsid w:val="38C42592"/>
    <w:rsid w:val="38F37A90"/>
    <w:rsid w:val="38FB02CE"/>
    <w:rsid w:val="390C46C7"/>
    <w:rsid w:val="391A44CF"/>
    <w:rsid w:val="391D2589"/>
    <w:rsid w:val="392424FB"/>
    <w:rsid w:val="392A6E00"/>
    <w:rsid w:val="394A731B"/>
    <w:rsid w:val="39592A63"/>
    <w:rsid w:val="395E24B0"/>
    <w:rsid w:val="396C700B"/>
    <w:rsid w:val="39713EE3"/>
    <w:rsid w:val="39783959"/>
    <w:rsid w:val="39CA1648"/>
    <w:rsid w:val="39CA622D"/>
    <w:rsid w:val="39CD5636"/>
    <w:rsid w:val="3A1E256C"/>
    <w:rsid w:val="3A1E2DDE"/>
    <w:rsid w:val="3A3A089A"/>
    <w:rsid w:val="3A4474A9"/>
    <w:rsid w:val="3A531045"/>
    <w:rsid w:val="3A5E0FF9"/>
    <w:rsid w:val="3A700F82"/>
    <w:rsid w:val="3AA64227"/>
    <w:rsid w:val="3AA74822"/>
    <w:rsid w:val="3AB67620"/>
    <w:rsid w:val="3ABC156B"/>
    <w:rsid w:val="3ACD2D00"/>
    <w:rsid w:val="3AED46AB"/>
    <w:rsid w:val="3AF412D8"/>
    <w:rsid w:val="3B1F35DF"/>
    <w:rsid w:val="3B3E099D"/>
    <w:rsid w:val="3B45399F"/>
    <w:rsid w:val="3B611465"/>
    <w:rsid w:val="3B8B1B82"/>
    <w:rsid w:val="3B9C4C94"/>
    <w:rsid w:val="3BB13654"/>
    <w:rsid w:val="3BB270D8"/>
    <w:rsid w:val="3BBC2366"/>
    <w:rsid w:val="3BCE6F30"/>
    <w:rsid w:val="3BD63EA5"/>
    <w:rsid w:val="3BEC70F7"/>
    <w:rsid w:val="3BF34D12"/>
    <w:rsid w:val="3BF94498"/>
    <w:rsid w:val="3BFE0889"/>
    <w:rsid w:val="3C094E42"/>
    <w:rsid w:val="3C2D6632"/>
    <w:rsid w:val="3C342385"/>
    <w:rsid w:val="3C3F30C2"/>
    <w:rsid w:val="3C5F1575"/>
    <w:rsid w:val="3C880FC0"/>
    <w:rsid w:val="3C881458"/>
    <w:rsid w:val="3C9A76FA"/>
    <w:rsid w:val="3CC534A0"/>
    <w:rsid w:val="3CF31303"/>
    <w:rsid w:val="3CF91ACA"/>
    <w:rsid w:val="3D114ABC"/>
    <w:rsid w:val="3D2C38B8"/>
    <w:rsid w:val="3D3B0539"/>
    <w:rsid w:val="3D512950"/>
    <w:rsid w:val="3D517E0F"/>
    <w:rsid w:val="3D985600"/>
    <w:rsid w:val="3D9B1C95"/>
    <w:rsid w:val="3D9F35B0"/>
    <w:rsid w:val="3DB3087A"/>
    <w:rsid w:val="3DC0295B"/>
    <w:rsid w:val="3DC6642D"/>
    <w:rsid w:val="3DC7790E"/>
    <w:rsid w:val="3DD03AA8"/>
    <w:rsid w:val="3DD544CC"/>
    <w:rsid w:val="3DD7052D"/>
    <w:rsid w:val="3DE83F69"/>
    <w:rsid w:val="3DE96F5B"/>
    <w:rsid w:val="3E0D2399"/>
    <w:rsid w:val="3E0D6891"/>
    <w:rsid w:val="3E272D7C"/>
    <w:rsid w:val="3E281959"/>
    <w:rsid w:val="3E3C1660"/>
    <w:rsid w:val="3E686020"/>
    <w:rsid w:val="3E9A3FA2"/>
    <w:rsid w:val="3E9E728C"/>
    <w:rsid w:val="3EC35B04"/>
    <w:rsid w:val="3EC96681"/>
    <w:rsid w:val="3EE32BDF"/>
    <w:rsid w:val="3EE61322"/>
    <w:rsid w:val="3F1C4E3D"/>
    <w:rsid w:val="3F2A0D23"/>
    <w:rsid w:val="3F2B635C"/>
    <w:rsid w:val="3F3A3329"/>
    <w:rsid w:val="3F491094"/>
    <w:rsid w:val="3F517A95"/>
    <w:rsid w:val="3F692FB2"/>
    <w:rsid w:val="3F6F1E62"/>
    <w:rsid w:val="3F7D589C"/>
    <w:rsid w:val="3FBD362E"/>
    <w:rsid w:val="3FC50CA4"/>
    <w:rsid w:val="3FD457E9"/>
    <w:rsid w:val="3FF52C97"/>
    <w:rsid w:val="40061617"/>
    <w:rsid w:val="401A1ADC"/>
    <w:rsid w:val="4025471F"/>
    <w:rsid w:val="402D5F3A"/>
    <w:rsid w:val="40422D53"/>
    <w:rsid w:val="40530956"/>
    <w:rsid w:val="405A317F"/>
    <w:rsid w:val="405D6B9D"/>
    <w:rsid w:val="406409E2"/>
    <w:rsid w:val="407635AA"/>
    <w:rsid w:val="409E7C5D"/>
    <w:rsid w:val="40AE6F76"/>
    <w:rsid w:val="40C40525"/>
    <w:rsid w:val="40C55758"/>
    <w:rsid w:val="40C94AEA"/>
    <w:rsid w:val="40DE67A5"/>
    <w:rsid w:val="410C3B22"/>
    <w:rsid w:val="411159E6"/>
    <w:rsid w:val="41130C31"/>
    <w:rsid w:val="411374F9"/>
    <w:rsid w:val="411A77D7"/>
    <w:rsid w:val="411E2962"/>
    <w:rsid w:val="414720F6"/>
    <w:rsid w:val="414C4B9E"/>
    <w:rsid w:val="4155730F"/>
    <w:rsid w:val="41634532"/>
    <w:rsid w:val="41705F25"/>
    <w:rsid w:val="417A0740"/>
    <w:rsid w:val="4186141C"/>
    <w:rsid w:val="41897505"/>
    <w:rsid w:val="41C74E2C"/>
    <w:rsid w:val="41CD5968"/>
    <w:rsid w:val="41DE34D4"/>
    <w:rsid w:val="41EE5894"/>
    <w:rsid w:val="41F40397"/>
    <w:rsid w:val="420D147A"/>
    <w:rsid w:val="42433BE7"/>
    <w:rsid w:val="424D587C"/>
    <w:rsid w:val="4251694D"/>
    <w:rsid w:val="42545353"/>
    <w:rsid w:val="4283216C"/>
    <w:rsid w:val="429F3567"/>
    <w:rsid w:val="42A96E4E"/>
    <w:rsid w:val="42B35362"/>
    <w:rsid w:val="42D4560C"/>
    <w:rsid w:val="43177F0D"/>
    <w:rsid w:val="43456BD9"/>
    <w:rsid w:val="43503133"/>
    <w:rsid w:val="43622E4C"/>
    <w:rsid w:val="436B6A59"/>
    <w:rsid w:val="43817234"/>
    <w:rsid w:val="439B7177"/>
    <w:rsid w:val="43C357D6"/>
    <w:rsid w:val="43D83026"/>
    <w:rsid w:val="43EE30BC"/>
    <w:rsid w:val="44046178"/>
    <w:rsid w:val="440A2508"/>
    <w:rsid w:val="44467F75"/>
    <w:rsid w:val="44534929"/>
    <w:rsid w:val="44586852"/>
    <w:rsid w:val="446235F2"/>
    <w:rsid w:val="4462583C"/>
    <w:rsid w:val="44627FE0"/>
    <w:rsid w:val="44716024"/>
    <w:rsid w:val="447C4FEE"/>
    <w:rsid w:val="44AD611C"/>
    <w:rsid w:val="45094FAB"/>
    <w:rsid w:val="451011D3"/>
    <w:rsid w:val="451034A6"/>
    <w:rsid w:val="453100A1"/>
    <w:rsid w:val="45474821"/>
    <w:rsid w:val="455761E0"/>
    <w:rsid w:val="455A5D18"/>
    <w:rsid w:val="4575212A"/>
    <w:rsid w:val="457746C0"/>
    <w:rsid w:val="45850252"/>
    <w:rsid w:val="459B6660"/>
    <w:rsid w:val="45B10C76"/>
    <w:rsid w:val="45B266F6"/>
    <w:rsid w:val="45B5112E"/>
    <w:rsid w:val="45C63431"/>
    <w:rsid w:val="45DB5539"/>
    <w:rsid w:val="45E05AEB"/>
    <w:rsid w:val="45F96A1B"/>
    <w:rsid w:val="45FB1662"/>
    <w:rsid w:val="46011B3E"/>
    <w:rsid w:val="463145B6"/>
    <w:rsid w:val="46413738"/>
    <w:rsid w:val="4649381B"/>
    <w:rsid w:val="46653A52"/>
    <w:rsid w:val="466B59CE"/>
    <w:rsid w:val="46C378AA"/>
    <w:rsid w:val="46C50087"/>
    <w:rsid w:val="46C86F8D"/>
    <w:rsid w:val="46F70758"/>
    <w:rsid w:val="470059E5"/>
    <w:rsid w:val="470A0F89"/>
    <w:rsid w:val="471A70B3"/>
    <w:rsid w:val="473B65FE"/>
    <w:rsid w:val="473F6B0F"/>
    <w:rsid w:val="47454FD1"/>
    <w:rsid w:val="47780FB2"/>
    <w:rsid w:val="47944291"/>
    <w:rsid w:val="479F0949"/>
    <w:rsid w:val="47B724A1"/>
    <w:rsid w:val="47C51766"/>
    <w:rsid w:val="47C911D9"/>
    <w:rsid w:val="47D71CE8"/>
    <w:rsid w:val="47F9013A"/>
    <w:rsid w:val="47F902C0"/>
    <w:rsid w:val="481A6183"/>
    <w:rsid w:val="482468DC"/>
    <w:rsid w:val="48251F97"/>
    <w:rsid w:val="482F415A"/>
    <w:rsid w:val="483952D6"/>
    <w:rsid w:val="483E4958"/>
    <w:rsid w:val="484166BC"/>
    <w:rsid w:val="485E19ED"/>
    <w:rsid w:val="48620ECA"/>
    <w:rsid w:val="48696134"/>
    <w:rsid w:val="487E5077"/>
    <w:rsid w:val="488B6DB9"/>
    <w:rsid w:val="488E244C"/>
    <w:rsid w:val="48A45FC7"/>
    <w:rsid w:val="48CD11F2"/>
    <w:rsid w:val="48EF4F08"/>
    <w:rsid w:val="48FE123D"/>
    <w:rsid w:val="49115807"/>
    <w:rsid w:val="491E4901"/>
    <w:rsid w:val="492720A4"/>
    <w:rsid w:val="49315CDC"/>
    <w:rsid w:val="49471594"/>
    <w:rsid w:val="4947551A"/>
    <w:rsid w:val="495648FE"/>
    <w:rsid w:val="495B1ADC"/>
    <w:rsid w:val="495F47B9"/>
    <w:rsid w:val="496A3182"/>
    <w:rsid w:val="497459C3"/>
    <w:rsid w:val="49856663"/>
    <w:rsid w:val="49982368"/>
    <w:rsid w:val="4999381B"/>
    <w:rsid w:val="49B7634C"/>
    <w:rsid w:val="49BC175B"/>
    <w:rsid w:val="49BF6851"/>
    <w:rsid w:val="49D144AB"/>
    <w:rsid w:val="49F036E6"/>
    <w:rsid w:val="49FA3C5A"/>
    <w:rsid w:val="4A0579D3"/>
    <w:rsid w:val="4A1F035E"/>
    <w:rsid w:val="4A353C30"/>
    <w:rsid w:val="4A432C01"/>
    <w:rsid w:val="4A4A4647"/>
    <w:rsid w:val="4A6832A9"/>
    <w:rsid w:val="4AA23229"/>
    <w:rsid w:val="4AAF30AD"/>
    <w:rsid w:val="4AB81CE9"/>
    <w:rsid w:val="4AD86DE5"/>
    <w:rsid w:val="4ADA0C02"/>
    <w:rsid w:val="4ADF33E9"/>
    <w:rsid w:val="4AE30121"/>
    <w:rsid w:val="4B1E1502"/>
    <w:rsid w:val="4B285D2E"/>
    <w:rsid w:val="4B4C6B33"/>
    <w:rsid w:val="4B551AF4"/>
    <w:rsid w:val="4B983F4C"/>
    <w:rsid w:val="4BAC4B72"/>
    <w:rsid w:val="4BB521AA"/>
    <w:rsid w:val="4BE73038"/>
    <w:rsid w:val="4C0077B2"/>
    <w:rsid w:val="4C1A17DA"/>
    <w:rsid w:val="4C1B786B"/>
    <w:rsid w:val="4C234018"/>
    <w:rsid w:val="4C3801C4"/>
    <w:rsid w:val="4C43482D"/>
    <w:rsid w:val="4C512B5C"/>
    <w:rsid w:val="4C7C4B7F"/>
    <w:rsid w:val="4C824D85"/>
    <w:rsid w:val="4C967426"/>
    <w:rsid w:val="4CC15678"/>
    <w:rsid w:val="4CF13576"/>
    <w:rsid w:val="4CFD7135"/>
    <w:rsid w:val="4D020FCE"/>
    <w:rsid w:val="4D3615F3"/>
    <w:rsid w:val="4D41259A"/>
    <w:rsid w:val="4D5E674E"/>
    <w:rsid w:val="4D6571AD"/>
    <w:rsid w:val="4D683933"/>
    <w:rsid w:val="4D895B54"/>
    <w:rsid w:val="4D8C1D0A"/>
    <w:rsid w:val="4D943F80"/>
    <w:rsid w:val="4DA05674"/>
    <w:rsid w:val="4DC323A5"/>
    <w:rsid w:val="4DF4003A"/>
    <w:rsid w:val="4DF516F9"/>
    <w:rsid w:val="4E045B5A"/>
    <w:rsid w:val="4E1172E6"/>
    <w:rsid w:val="4E1C5A24"/>
    <w:rsid w:val="4E1C5DA7"/>
    <w:rsid w:val="4E230A54"/>
    <w:rsid w:val="4E2F5B09"/>
    <w:rsid w:val="4E495D62"/>
    <w:rsid w:val="4E5026BA"/>
    <w:rsid w:val="4E9038D4"/>
    <w:rsid w:val="4E9F333D"/>
    <w:rsid w:val="4EAA1800"/>
    <w:rsid w:val="4EC23673"/>
    <w:rsid w:val="4ED9587B"/>
    <w:rsid w:val="4F2741C0"/>
    <w:rsid w:val="4F331C63"/>
    <w:rsid w:val="4F3F58FE"/>
    <w:rsid w:val="4F602926"/>
    <w:rsid w:val="4F6A5524"/>
    <w:rsid w:val="4F6B4926"/>
    <w:rsid w:val="4F7526BF"/>
    <w:rsid w:val="4F8939E7"/>
    <w:rsid w:val="4F89466E"/>
    <w:rsid w:val="4FA37B29"/>
    <w:rsid w:val="501A6C08"/>
    <w:rsid w:val="50294371"/>
    <w:rsid w:val="502D500F"/>
    <w:rsid w:val="50497EF1"/>
    <w:rsid w:val="50687584"/>
    <w:rsid w:val="50B26DC7"/>
    <w:rsid w:val="50BC6021"/>
    <w:rsid w:val="50C52008"/>
    <w:rsid w:val="50C86998"/>
    <w:rsid w:val="50E034D3"/>
    <w:rsid w:val="50E16D45"/>
    <w:rsid w:val="512270F5"/>
    <w:rsid w:val="513242A8"/>
    <w:rsid w:val="513738BC"/>
    <w:rsid w:val="5144186D"/>
    <w:rsid w:val="515B15B4"/>
    <w:rsid w:val="515D493C"/>
    <w:rsid w:val="516C31F0"/>
    <w:rsid w:val="517921CD"/>
    <w:rsid w:val="5184591C"/>
    <w:rsid w:val="518D2C39"/>
    <w:rsid w:val="51A76594"/>
    <w:rsid w:val="51B80FF3"/>
    <w:rsid w:val="51B8176E"/>
    <w:rsid w:val="51E82435"/>
    <w:rsid w:val="52023C5F"/>
    <w:rsid w:val="521C7DED"/>
    <w:rsid w:val="521E2EC3"/>
    <w:rsid w:val="52494C9D"/>
    <w:rsid w:val="525F0EEB"/>
    <w:rsid w:val="52781B90"/>
    <w:rsid w:val="527A4045"/>
    <w:rsid w:val="528E5DAB"/>
    <w:rsid w:val="52A124F1"/>
    <w:rsid w:val="52AA25FE"/>
    <w:rsid w:val="52B47EDD"/>
    <w:rsid w:val="52CD11CB"/>
    <w:rsid w:val="52D94B80"/>
    <w:rsid w:val="52F0085B"/>
    <w:rsid w:val="52F40E01"/>
    <w:rsid w:val="530366A3"/>
    <w:rsid w:val="53040ED4"/>
    <w:rsid w:val="531E003B"/>
    <w:rsid w:val="532841C2"/>
    <w:rsid w:val="5388470A"/>
    <w:rsid w:val="53976563"/>
    <w:rsid w:val="53AB001F"/>
    <w:rsid w:val="53AE2778"/>
    <w:rsid w:val="53B036F3"/>
    <w:rsid w:val="53BF5DE1"/>
    <w:rsid w:val="53CA53D8"/>
    <w:rsid w:val="53D327A2"/>
    <w:rsid w:val="53D479FB"/>
    <w:rsid w:val="53ED0080"/>
    <w:rsid w:val="53EE1DB1"/>
    <w:rsid w:val="53F161F4"/>
    <w:rsid w:val="5402163E"/>
    <w:rsid w:val="541C6041"/>
    <w:rsid w:val="5421409F"/>
    <w:rsid w:val="5425006F"/>
    <w:rsid w:val="54334997"/>
    <w:rsid w:val="54522891"/>
    <w:rsid w:val="54535668"/>
    <w:rsid w:val="54550ECA"/>
    <w:rsid w:val="54633A25"/>
    <w:rsid w:val="54674D61"/>
    <w:rsid w:val="546C0D76"/>
    <w:rsid w:val="546D7B12"/>
    <w:rsid w:val="54A152B2"/>
    <w:rsid w:val="54DC5401"/>
    <w:rsid w:val="54DF351D"/>
    <w:rsid w:val="54E12B83"/>
    <w:rsid w:val="55042659"/>
    <w:rsid w:val="5508296C"/>
    <w:rsid w:val="55894015"/>
    <w:rsid w:val="55981F4D"/>
    <w:rsid w:val="55992CE8"/>
    <w:rsid w:val="55C17C05"/>
    <w:rsid w:val="55CC4092"/>
    <w:rsid w:val="55D834EB"/>
    <w:rsid w:val="55E62F68"/>
    <w:rsid w:val="55F40772"/>
    <w:rsid w:val="55F44BB3"/>
    <w:rsid w:val="560361CC"/>
    <w:rsid w:val="56131A87"/>
    <w:rsid w:val="56175DBC"/>
    <w:rsid w:val="5624528F"/>
    <w:rsid w:val="5664365A"/>
    <w:rsid w:val="566A09B0"/>
    <w:rsid w:val="56AA0E5D"/>
    <w:rsid w:val="56B72757"/>
    <w:rsid w:val="56C526A3"/>
    <w:rsid w:val="56D15AE6"/>
    <w:rsid w:val="56EB798C"/>
    <w:rsid w:val="5727028D"/>
    <w:rsid w:val="57350D4E"/>
    <w:rsid w:val="574749ED"/>
    <w:rsid w:val="57786202"/>
    <w:rsid w:val="577B0FA6"/>
    <w:rsid w:val="578A0E4D"/>
    <w:rsid w:val="57A5537B"/>
    <w:rsid w:val="57B52AB1"/>
    <w:rsid w:val="57C32F20"/>
    <w:rsid w:val="57D01D0C"/>
    <w:rsid w:val="57EA03AF"/>
    <w:rsid w:val="57F66088"/>
    <w:rsid w:val="57F7367E"/>
    <w:rsid w:val="58284D98"/>
    <w:rsid w:val="584110D4"/>
    <w:rsid w:val="585602CF"/>
    <w:rsid w:val="58636E45"/>
    <w:rsid w:val="58750201"/>
    <w:rsid w:val="588A026A"/>
    <w:rsid w:val="589A1A39"/>
    <w:rsid w:val="58B278D2"/>
    <w:rsid w:val="58BF64D0"/>
    <w:rsid w:val="58CD2C70"/>
    <w:rsid w:val="590E0AB6"/>
    <w:rsid w:val="590E31B7"/>
    <w:rsid w:val="59344046"/>
    <w:rsid w:val="59701A62"/>
    <w:rsid w:val="599621B3"/>
    <w:rsid w:val="59A11CD7"/>
    <w:rsid w:val="59A371B1"/>
    <w:rsid w:val="59BF4630"/>
    <w:rsid w:val="59C34A60"/>
    <w:rsid w:val="59C36045"/>
    <w:rsid w:val="59D253D2"/>
    <w:rsid w:val="59D9478C"/>
    <w:rsid w:val="5A253C98"/>
    <w:rsid w:val="5A4210D9"/>
    <w:rsid w:val="5A432CA4"/>
    <w:rsid w:val="5A5C2CD9"/>
    <w:rsid w:val="5A5C4829"/>
    <w:rsid w:val="5A5D244C"/>
    <w:rsid w:val="5A6B444F"/>
    <w:rsid w:val="5A755D2A"/>
    <w:rsid w:val="5A8873B2"/>
    <w:rsid w:val="5A927FF0"/>
    <w:rsid w:val="5AB81E8E"/>
    <w:rsid w:val="5ABE002C"/>
    <w:rsid w:val="5AF975E6"/>
    <w:rsid w:val="5AFA3573"/>
    <w:rsid w:val="5B07450F"/>
    <w:rsid w:val="5B3029AA"/>
    <w:rsid w:val="5B3F2CDF"/>
    <w:rsid w:val="5B621F36"/>
    <w:rsid w:val="5B6379A2"/>
    <w:rsid w:val="5B6E0F42"/>
    <w:rsid w:val="5B740061"/>
    <w:rsid w:val="5B743491"/>
    <w:rsid w:val="5BB44332"/>
    <w:rsid w:val="5BF06576"/>
    <w:rsid w:val="5C0479F7"/>
    <w:rsid w:val="5C0B0F74"/>
    <w:rsid w:val="5C1C30DD"/>
    <w:rsid w:val="5C226042"/>
    <w:rsid w:val="5C66169A"/>
    <w:rsid w:val="5C8E517F"/>
    <w:rsid w:val="5C90591C"/>
    <w:rsid w:val="5CA344F6"/>
    <w:rsid w:val="5CA5338A"/>
    <w:rsid w:val="5CA7660D"/>
    <w:rsid w:val="5CAE6734"/>
    <w:rsid w:val="5CB05F94"/>
    <w:rsid w:val="5CBA3EBC"/>
    <w:rsid w:val="5CD32A6D"/>
    <w:rsid w:val="5CE16353"/>
    <w:rsid w:val="5D2D6C3D"/>
    <w:rsid w:val="5D316F19"/>
    <w:rsid w:val="5D3B16C1"/>
    <w:rsid w:val="5D415765"/>
    <w:rsid w:val="5D450587"/>
    <w:rsid w:val="5D5B6195"/>
    <w:rsid w:val="5D73731A"/>
    <w:rsid w:val="5D750AED"/>
    <w:rsid w:val="5D8506B0"/>
    <w:rsid w:val="5D866173"/>
    <w:rsid w:val="5D8E530B"/>
    <w:rsid w:val="5D9D1DAE"/>
    <w:rsid w:val="5DCB6E6B"/>
    <w:rsid w:val="5DD525FC"/>
    <w:rsid w:val="5DE37043"/>
    <w:rsid w:val="5DE64C72"/>
    <w:rsid w:val="5DFE7DBC"/>
    <w:rsid w:val="5E02715C"/>
    <w:rsid w:val="5E3F0369"/>
    <w:rsid w:val="5E471095"/>
    <w:rsid w:val="5E4F4B09"/>
    <w:rsid w:val="5E5A5155"/>
    <w:rsid w:val="5EAD0612"/>
    <w:rsid w:val="5EBF25C0"/>
    <w:rsid w:val="5ED1737B"/>
    <w:rsid w:val="5ED403E1"/>
    <w:rsid w:val="5EDD78C2"/>
    <w:rsid w:val="5F006ABE"/>
    <w:rsid w:val="5F0A63EF"/>
    <w:rsid w:val="5F1054B5"/>
    <w:rsid w:val="5F231B1A"/>
    <w:rsid w:val="5F4E4252"/>
    <w:rsid w:val="5F96018B"/>
    <w:rsid w:val="5FB62C63"/>
    <w:rsid w:val="5FB71860"/>
    <w:rsid w:val="5FD04FB3"/>
    <w:rsid w:val="5FDA3842"/>
    <w:rsid w:val="5FE5016A"/>
    <w:rsid w:val="5FF85061"/>
    <w:rsid w:val="60025888"/>
    <w:rsid w:val="601E7E97"/>
    <w:rsid w:val="60274EA2"/>
    <w:rsid w:val="602903CD"/>
    <w:rsid w:val="602B5316"/>
    <w:rsid w:val="60333D29"/>
    <w:rsid w:val="60384706"/>
    <w:rsid w:val="603946C3"/>
    <w:rsid w:val="60455654"/>
    <w:rsid w:val="607E5B09"/>
    <w:rsid w:val="60881B71"/>
    <w:rsid w:val="608D09A3"/>
    <w:rsid w:val="60942624"/>
    <w:rsid w:val="60BD68EA"/>
    <w:rsid w:val="60C14052"/>
    <w:rsid w:val="60D72E07"/>
    <w:rsid w:val="611F6C6C"/>
    <w:rsid w:val="6120141C"/>
    <w:rsid w:val="612B550D"/>
    <w:rsid w:val="615D6CC7"/>
    <w:rsid w:val="615E4447"/>
    <w:rsid w:val="616C102C"/>
    <w:rsid w:val="616E63B9"/>
    <w:rsid w:val="61B55ABF"/>
    <w:rsid w:val="61BA6874"/>
    <w:rsid w:val="61CF56C3"/>
    <w:rsid w:val="61D509A9"/>
    <w:rsid w:val="61DE0B57"/>
    <w:rsid w:val="61F81D30"/>
    <w:rsid w:val="61FD38B0"/>
    <w:rsid w:val="62050AC5"/>
    <w:rsid w:val="623519DF"/>
    <w:rsid w:val="62A24C83"/>
    <w:rsid w:val="62F3632D"/>
    <w:rsid w:val="63091605"/>
    <w:rsid w:val="631123F7"/>
    <w:rsid w:val="6334123D"/>
    <w:rsid w:val="6339609D"/>
    <w:rsid w:val="63AD01CF"/>
    <w:rsid w:val="63C231C4"/>
    <w:rsid w:val="63C97197"/>
    <w:rsid w:val="63D12618"/>
    <w:rsid w:val="63DD7DE9"/>
    <w:rsid w:val="644014F1"/>
    <w:rsid w:val="64672DD3"/>
    <w:rsid w:val="648F70E6"/>
    <w:rsid w:val="64974F8C"/>
    <w:rsid w:val="64EE196F"/>
    <w:rsid w:val="65335D87"/>
    <w:rsid w:val="653A1549"/>
    <w:rsid w:val="653D5E0B"/>
    <w:rsid w:val="655009D6"/>
    <w:rsid w:val="65544B43"/>
    <w:rsid w:val="6583343A"/>
    <w:rsid w:val="65915A85"/>
    <w:rsid w:val="6593486E"/>
    <w:rsid w:val="65B94CB5"/>
    <w:rsid w:val="65D3631A"/>
    <w:rsid w:val="65F75DE7"/>
    <w:rsid w:val="66073A4B"/>
    <w:rsid w:val="66094996"/>
    <w:rsid w:val="660957D3"/>
    <w:rsid w:val="66316CB3"/>
    <w:rsid w:val="663E49A4"/>
    <w:rsid w:val="665C0A28"/>
    <w:rsid w:val="665E7211"/>
    <w:rsid w:val="669E70D3"/>
    <w:rsid w:val="66B6025F"/>
    <w:rsid w:val="66BC52B2"/>
    <w:rsid w:val="66CB37C6"/>
    <w:rsid w:val="66EC499C"/>
    <w:rsid w:val="66FB6E7E"/>
    <w:rsid w:val="66FC324F"/>
    <w:rsid w:val="67125CBF"/>
    <w:rsid w:val="67183477"/>
    <w:rsid w:val="671C286D"/>
    <w:rsid w:val="674470FF"/>
    <w:rsid w:val="675A1093"/>
    <w:rsid w:val="67726726"/>
    <w:rsid w:val="677E7F2F"/>
    <w:rsid w:val="679953EF"/>
    <w:rsid w:val="67B3403F"/>
    <w:rsid w:val="67B42C18"/>
    <w:rsid w:val="67C068C9"/>
    <w:rsid w:val="67D316B9"/>
    <w:rsid w:val="67DE67E5"/>
    <w:rsid w:val="67F05BF9"/>
    <w:rsid w:val="67FE43A9"/>
    <w:rsid w:val="68117C1F"/>
    <w:rsid w:val="681E6353"/>
    <w:rsid w:val="68413FC7"/>
    <w:rsid w:val="68502FC7"/>
    <w:rsid w:val="68535745"/>
    <w:rsid w:val="685C123C"/>
    <w:rsid w:val="687401D6"/>
    <w:rsid w:val="68782A80"/>
    <w:rsid w:val="68A87B13"/>
    <w:rsid w:val="68AF7E41"/>
    <w:rsid w:val="68BB62AC"/>
    <w:rsid w:val="68BB62B3"/>
    <w:rsid w:val="68C83BE4"/>
    <w:rsid w:val="68CC5152"/>
    <w:rsid w:val="68D74D0A"/>
    <w:rsid w:val="68E96990"/>
    <w:rsid w:val="690744AA"/>
    <w:rsid w:val="691C4F51"/>
    <w:rsid w:val="695B0409"/>
    <w:rsid w:val="69786E68"/>
    <w:rsid w:val="697D3A27"/>
    <w:rsid w:val="69B20E86"/>
    <w:rsid w:val="69D618AA"/>
    <w:rsid w:val="69D71BED"/>
    <w:rsid w:val="69DB1DC7"/>
    <w:rsid w:val="69E44EFD"/>
    <w:rsid w:val="69EE6DA6"/>
    <w:rsid w:val="6A256CC5"/>
    <w:rsid w:val="6A2B5088"/>
    <w:rsid w:val="6A360D9F"/>
    <w:rsid w:val="6A3E7389"/>
    <w:rsid w:val="6A712501"/>
    <w:rsid w:val="6A857113"/>
    <w:rsid w:val="6A9970FD"/>
    <w:rsid w:val="6AB94D34"/>
    <w:rsid w:val="6ACE37F3"/>
    <w:rsid w:val="6AD046CB"/>
    <w:rsid w:val="6AD26D9C"/>
    <w:rsid w:val="6B0769B2"/>
    <w:rsid w:val="6B1B3EA2"/>
    <w:rsid w:val="6B1D08D9"/>
    <w:rsid w:val="6B3619D5"/>
    <w:rsid w:val="6B4D0A9B"/>
    <w:rsid w:val="6B73607B"/>
    <w:rsid w:val="6B744A91"/>
    <w:rsid w:val="6BAC6CA1"/>
    <w:rsid w:val="6BC8314F"/>
    <w:rsid w:val="6BD12225"/>
    <w:rsid w:val="6BD670B8"/>
    <w:rsid w:val="6BFE2167"/>
    <w:rsid w:val="6C2A423F"/>
    <w:rsid w:val="6C2B653D"/>
    <w:rsid w:val="6C5E0DAC"/>
    <w:rsid w:val="6C6000C4"/>
    <w:rsid w:val="6C700D1D"/>
    <w:rsid w:val="6C7839D1"/>
    <w:rsid w:val="6C93730F"/>
    <w:rsid w:val="6CBA5A8C"/>
    <w:rsid w:val="6CCB77DC"/>
    <w:rsid w:val="6CCE4F7D"/>
    <w:rsid w:val="6CDB0A73"/>
    <w:rsid w:val="6CDE1F42"/>
    <w:rsid w:val="6CDE7005"/>
    <w:rsid w:val="6D2A646C"/>
    <w:rsid w:val="6D351EEF"/>
    <w:rsid w:val="6D454AFE"/>
    <w:rsid w:val="6D570F9C"/>
    <w:rsid w:val="6D866612"/>
    <w:rsid w:val="6DC2460B"/>
    <w:rsid w:val="6DD30D8A"/>
    <w:rsid w:val="6DE7119E"/>
    <w:rsid w:val="6DEB7D4B"/>
    <w:rsid w:val="6DF06E38"/>
    <w:rsid w:val="6DFB0DA0"/>
    <w:rsid w:val="6E20022F"/>
    <w:rsid w:val="6E2F2C75"/>
    <w:rsid w:val="6E3872D1"/>
    <w:rsid w:val="6E5C44F2"/>
    <w:rsid w:val="6E7908BF"/>
    <w:rsid w:val="6EB166EE"/>
    <w:rsid w:val="6EBE4A28"/>
    <w:rsid w:val="6EBF0402"/>
    <w:rsid w:val="6ED60A12"/>
    <w:rsid w:val="6F08035A"/>
    <w:rsid w:val="6F0957A3"/>
    <w:rsid w:val="6F287C41"/>
    <w:rsid w:val="6F2B052E"/>
    <w:rsid w:val="6F372D09"/>
    <w:rsid w:val="6F6342EB"/>
    <w:rsid w:val="6F787493"/>
    <w:rsid w:val="6FAD22CE"/>
    <w:rsid w:val="6FBA1C69"/>
    <w:rsid w:val="6FD20D0D"/>
    <w:rsid w:val="6FD42159"/>
    <w:rsid w:val="6FDD75CB"/>
    <w:rsid w:val="6FE178D0"/>
    <w:rsid w:val="6FF15FA4"/>
    <w:rsid w:val="6FF16B5C"/>
    <w:rsid w:val="6FFB7B1C"/>
    <w:rsid w:val="70394211"/>
    <w:rsid w:val="703949FD"/>
    <w:rsid w:val="70455F7A"/>
    <w:rsid w:val="704D24BA"/>
    <w:rsid w:val="70573C0C"/>
    <w:rsid w:val="706B3010"/>
    <w:rsid w:val="7070214A"/>
    <w:rsid w:val="707B2DB0"/>
    <w:rsid w:val="7096122C"/>
    <w:rsid w:val="70976DF7"/>
    <w:rsid w:val="70D31790"/>
    <w:rsid w:val="70D342AD"/>
    <w:rsid w:val="70D97714"/>
    <w:rsid w:val="70E161B5"/>
    <w:rsid w:val="70F85916"/>
    <w:rsid w:val="71171AA8"/>
    <w:rsid w:val="711A0207"/>
    <w:rsid w:val="71364910"/>
    <w:rsid w:val="71484CD6"/>
    <w:rsid w:val="71683125"/>
    <w:rsid w:val="71805001"/>
    <w:rsid w:val="719F2240"/>
    <w:rsid w:val="719F7EF0"/>
    <w:rsid w:val="71BE5736"/>
    <w:rsid w:val="72113CA6"/>
    <w:rsid w:val="72380C8F"/>
    <w:rsid w:val="724D0F89"/>
    <w:rsid w:val="72511C4E"/>
    <w:rsid w:val="72685B1C"/>
    <w:rsid w:val="72AA2AD1"/>
    <w:rsid w:val="72BF20E3"/>
    <w:rsid w:val="731A5AA2"/>
    <w:rsid w:val="732C41D5"/>
    <w:rsid w:val="73312C01"/>
    <w:rsid w:val="733C2108"/>
    <w:rsid w:val="735B2CB4"/>
    <w:rsid w:val="735F6297"/>
    <w:rsid w:val="73625A9E"/>
    <w:rsid w:val="7366192F"/>
    <w:rsid w:val="736901F6"/>
    <w:rsid w:val="7370719A"/>
    <w:rsid w:val="738430F7"/>
    <w:rsid w:val="739C7D07"/>
    <w:rsid w:val="73C87E73"/>
    <w:rsid w:val="73F33E7B"/>
    <w:rsid w:val="73FD6659"/>
    <w:rsid w:val="7403010E"/>
    <w:rsid w:val="74066D1F"/>
    <w:rsid w:val="740C0B21"/>
    <w:rsid w:val="74216857"/>
    <w:rsid w:val="74245ED9"/>
    <w:rsid w:val="74421383"/>
    <w:rsid w:val="745903C0"/>
    <w:rsid w:val="746336EB"/>
    <w:rsid w:val="746B3C56"/>
    <w:rsid w:val="74785753"/>
    <w:rsid w:val="747B70C0"/>
    <w:rsid w:val="74835242"/>
    <w:rsid w:val="748D2406"/>
    <w:rsid w:val="74AB2311"/>
    <w:rsid w:val="74C51567"/>
    <w:rsid w:val="74EE751A"/>
    <w:rsid w:val="74FB1FF1"/>
    <w:rsid w:val="7512355B"/>
    <w:rsid w:val="75186D02"/>
    <w:rsid w:val="75240ADE"/>
    <w:rsid w:val="752D77F4"/>
    <w:rsid w:val="75412B12"/>
    <w:rsid w:val="75670BEB"/>
    <w:rsid w:val="7578186A"/>
    <w:rsid w:val="758E1074"/>
    <w:rsid w:val="759A48C8"/>
    <w:rsid w:val="75BB5160"/>
    <w:rsid w:val="75C9172A"/>
    <w:rsid w:val="75C963E7"/>
    <w:rsid w:val="75E31975"/>
    <w:rsid w:val="75E458D0"/>
    <w:rsid w:val="75FE0B6B"/>
    <w:rsid w:val="76047589"/>
    <w:rsid w:val="76157422"/>
    <w:rsid w:val="76242F8E"/>
    <w:rsid w:val="7626104F"/>
    <w:rsid w:val="763C091C"/>
    <w:rsid w:val="764C6365"/>
    <w:rsid w:val="766D1A9B"/>
    <w:rsid w:val="766E2B69"/>
    <w:rsid w:val="767002A7"/>
    <w:rsid w:val="76765729"/>
    <w:rsid w:val="768B16D3"/>
    <w:rsid w:val="76B746A4"/>
    <w:rsid w:val="76BD1FD0"/>
    <w:rsid w:val="76CA6845"/>
    <w:rsid w:val="76D31733"/>
    <w:rsid w:val="76F50A9E"/>
    <w:rsid w:val="76F86563"/>
    <w:rsid w:val="770B59C2"/>
    <w:rsid w:val="770D11B4"/>
    <w:rsid w:val="772133B4"/>
    <w:rsid w:val="77457030"/>
    <w:rsid w:val="777F360C"/>
    <w:rsid w:val="77A45363"/>
    <w:rsid w:val="77AC4577"/>
    <w:rsid w:val="77AC6379"/>
    <w:rsid w:val="77B12E6D"/>
    <w:rsid w:val="77BC0584"/>
    <w:rsid w:val="77C6466F"/>
    <w:rsid w:val="77DC3384"/>
    <w:rsid w:val="77E25100"/>
    <w:rsid w:val="78103507"/>
    <w:rsid w:val="781464C6"/>
    <w:rsid w:val="781C1388"/>
    <w:rsid w:val="782309F3"/>
    <w:rsid w:val="78324B0B"/>
    <w:rsid w:val="787178B4"/>
    <w:rsid w:val="7875645C"/>
    <w:rsid w:val="787B26F0"/>
    <w:rsid w:val="7882328C"/>
    <w:rsid w:val="78932CF0"/>
    <w:rsid w:val="789A7C05"/>
    <w:rsid w:val="78AF248A"/>
    <w:rsid w:val="78BD2DB1"/>
    <w:rsid w:val="78BE18DE"/>
    <w:rsid w:val="78D67DBC"/>
    <w:rsid w:val="78F619D3"/>
    <w:rsid w:val="791F0C5C"/>
    <w:rsid w:val="79227EFA"/>
    <w:rsid w:val="79347CC3"/>
    <w:rsid w:val="79391929"/>
    <w:rsid w:val="793C0BBC"/>
    <w:rsid w:val="79410F35"/>
    <w:rsid w:val="79412C70"/>
    <w:rsid w:val="794175E0"/>
    <w:rsid w:val="79567FF8"/>
    <w:rsid w:val="7965023E"/>
    <w:rsid w:val="798813CF"/>
    <w:rsid w:val="79A3318F"/>
    <w:rsid w:val="79B82EA3"/>
    <w:rsid w:val="79CA771E"/>
    <w:rsid w:val="79CE4A3A"/>
    <w:rsid w:val="79D96BBD"/>
    <w:rsid w:val="79DE32D7"/>
    <w:rsid w:val="79E16082"/>
    <w:rsid w:val="79F86AFC"/>
    <w:rsid w:val="7A176D65"/>
    <w:rsid w:val="7A2661E5"/>
    <w:rsid w:val="7A2843E1"/>
    <w:rsid w:val="7A4D7423"/>
    <w:rsid w:val="7A502CD3"/>
    <w:rsid w:val="7A6C1248"/>
    <w:rsid w:val="7A996142"/>
    <w:rsid w:val="7A9B3DB4"/>
    <w:rsid w:val="7AAC3A0A"/>
    <w:rsid w:val="7AB75A7B"/>
    <w:rsid w:val="7ABD28B1"/>
    <w:rsid w:val="7B05404C"/>
    <w:rsid w:val="7B176542"/>
    <w:rsid w:val="7B3B14B9"/>
    <w:rsid w:val="7B3E075E"/>
    <w:rsid w:val="7B7A6FEA"/>
    <w:rsid w:val="7B7C7E9F"/>
    <w:rsid w:val="7B833D2F"/>
    <w:rsid w:val="7B8950AD"/>
    <w:rsid w:val="7BA63578"/>
    <w:rsid w:val="7BB5150F"/>
    <w:rsid w:val="7BC713C7"/>
    <w:rsid w:val="7BCE7918"/>
    <w:rsid w:val="7BDB4C36"/>
    <w:rsid w:val="7BF079DE"/>
    <w:rsid w:val="7C102AFC"/>
    <w:rsid w:val="7C1E6A6E"/>
    <w:rsid w:val="7C3D1DCA"/>
    <w:rsid w:val="7C897050"/>
    <w:rsid w:val="7C8C0651"/>
    <w:rsid w:val="7CA33D27"/>
    <w:rsid w:val="7CA351E4"/>
    <w:rsid w:val="7CA85F9E"/>
    <w:rsid w:val="7CAC0B52"/>
    <w:rsid w:val="7CBF0424"/>
    <w:rsid w:val="7CC334B8"/>
    <w:rsid w:val="7CCC20DF"/>
    <w:rsid w:val="7CCC4A46"/>
    <w:rsid w:val="7CD062EF"/>
    <w:rsid w:val="7CE911FD"/>
    <w:rsid w:val="7CF868C7"/>
    <w:rsid w:val="7CFC1B61"/>
    <w:rsid w:val="7D161DBB"/>
    <w:rsid w:val="7D183990"/>
    <w:rsid w:val="7D3B0C50"/>
    <w:rsid w:val="7D4D686F"/>
    <w:rsid w:val="7D764093"/>
    <w:rsid w:val="7D814D28"/>
    <w:rsid w:val="7D99037D"/>
    <w:rsid w:val="7DA313DB"/>
    <w:rsid w:val="7DEC52BE"/>
    <w:rsid w:val="7DFE1618"/>
    <w:rsid w:val="7E3466BD"/>
    <w:rsid w:val="7E4A274F"/>
    <w:rsid w:val="7E4F60DE"/>
    <w:rsid w:val="7E516B6B"/>
    <w:rsid w:val="7E557EAE"/>
    <w:rsid w:val="7E5D218C"/>
    <w:rsid w:val="7E6929C4"/>
    <w:rsid w:val="7E8270CB"/>
    <w:rsid w:val="7E846BCE"/>
    <w:rsid w:val="7E992DE5"/>
    <w:rsid w:val="7EB51D74"/>
    <w:rsid w:val="7EC94084"/>
    <w:rsid w:val="7EE25D2E"/>
    <w:rsid w:val="7EE56027"/>
    <w:rsid w:val="7EF80B1F"/>
    <w:rsid w:val="7F0171D0"/>
    <w:rsid w:val="7F040B4E"/>
    <w:rsid w:val="7F222156"/>
    <w:rsid w:val="7F2706FB"/>
    <w:rsid w:val="7F2B409B"/>
    <w:rsid w:val="7F2F0434"/>
    <w:rsid w:val="7F486BE0"/>
    <w:rsid w:val="7F675E29"/>
    <w:rsid w:val="7F723021"/>
    <w:rsid w:val="7F780181"/>
    <w:rsid w:val="7F7C20F7"/>
    <w:rsid w:val="7F8D20F5"/>
    <w:rsid w:val="7FBD199E"/>
    <w:rsid w:val="7FD6237F"/>
    <w:rsid w:val="7FDA7914"/>
    <w:rsid w:val="7FE32A5E"/>
    <w:rsid w:val="7FEC0C1A"/>
    <w:rsid w:val="7FF51EB2"/>
    <w:rsid w:val="7FF741AD"/>
    <w:rsid w:val="7FFE676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jc w:val="both"/>
    </w:pPr>
    <w:rPr>
      <w:rFonts w:ascii="Times New Roman" w:hAnsi="Times New Roman" w:eastAsia="宋体" w:cs="Times New Roman"/>
      <w:kern w:val="2"/>
      <w:sz w:val="21"/>
      <w:szCs w:val="21"/>
      <w:lang w:val="en-US" w:eastAsia="zh-CN" w:bidi="ar-SA"/>
    </w:rPr>
  </w:style>
  <w:style w:type="paragraph" w:styleId="4">
    <w:name w:val="heading 1"/>
    <w:basedOn w:val="1"/>
    <w:next w:val="1"/>
    <w:qFormat/>
    <w:uiPriority w:val="0"/>
    <w:pPr>
      <w:keepNext/>
      <w:keepLines/>
      <w:spacing w:line="576" w:lineRule="auto"/>
      <w:outlineLvl w:val="0"/>
    </w:pPr>
    <w:rPr>
      <w:b/>
      <w:kern w:val="44"/>
      <w:sz w:val="44"/>
    </w:rPr>
  </w:style>
  <w:style w:type="paragraph" w:styleId="5">
    <w:name w:val="heading 2"/>
    <w:basedOn w:val="1"/>
    <w:next w:val="6"/>
    <w:qFormat/>
    <w:uiPriority w:val="0"/>
    <w:pPr>
      <w:keepNext/>
      <w:keepLines/>
      <w:outlineLvl w:val="1"/>
    </w:pPr>
    <w:rPr>
      <w:b/>
      <w:bCs/>
      <w:sz w:val="30"/>
      <w:szCs w:val="30"/>
    </w:rPr>
  </w:style>
  <w:style w:type="paragraph" w:styleId="7">
    <w:name w:val="heading 3"/>
    <w:basedOn w:val="1"/>
    <w:next w:val="1"/>
    <w:link w:val="66"/>
    <w:qFormat/>
    <w:uiPriority w:val="0"/>
    <w:pPr>
      <w:keepNext/>
      <w:keepLines/>
      <w:outlineLvl w:val="2"/>
    </w:pPr>
    <w:rPr>
      <w:b/>
      <w:bCs/>
      <w:kern w:val="0"/>
      <w:sz w:val="24"/>
      <w:szCs w:val="28"/>
    </w:rPr>
  </w:style>
  <w:style w:type="paragraph" w:styleId="8">
    <w:name w:val="heading 4"/>
    <w:basedOn w:val="1"/>
    <w:next w:val="1"/>
    <w:qFormat/>
    <w:uiPriority w:val="1"/>
    <w:pPr>
      <w:spacing w:before="36"/>
      <w:ind w:left="820" w:hanging="600"/>
      <w:outlineLvl w:val="3"/>
    </w:pPr>
    <w:rPr>
      <w:rFonts w:ascii="宋体" w:hAnsi="宋体" w:cs="宋体"/>
      <w:b/>
      <w:bCs/>
      <w:sz w:val="24"/>
      <w:szCs w:val="24"/>
    </w:rPr>
  </w:style>
  <w:style w:type="character" w:default="1" w:styleId="24">
    <w:name w:val="Default Paragraph Font"/>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2"/>
    <w:basedOn w:val="3"/>
    <w:next w:val="1"/>
    <w:qFormat/>
    <w:uiPriority w:val="0"/>
    <w:pPr>
      <w:ind w:firstLine="420"/>
    </w:pPr>
  </w:style>
  <w:style w:type="paragraph" w:styleId="3">
    <w:name w:val="Body Text Indent"/>
    <w:basedOn w:val="1"/>
    <w:qFormat/>
    <w:uiPriority w:val="0"/>
    <w:pPr>
      <w:spacing w:line="480" w:lineRule="exact"/>
      <w:ind w:firstLine="480" w:firstLineChars="200"/>
    </w:pPr>
  </w:style>
  <w:style w:type="paragraph" w:styleId="6">
    <w:name w:val="Normal Indent"/>
    <w:basedOn w:val="1"/>
    <w:qFormat/>
    <w:uiPriority w:val="0"/>
    <w:pPr>
      <w:ind w:firstLine="1000" w:firstLineChars="200"/>
    </w:pPr>
    <w:rPr>
      <w:b/>
      <w:bCs/>
      <w:sz w:val="24"/>
      <w:szCs w:val="24"/>
    </w:rPr>
  </w:style>
  <w:style w:type="paragraph" w:styleId="9">
    <w:name w:val="Document Map"/>
    <w:basedOn w:val="1"/>
    <w:link w:val="60"/>
    <w:qFormat/>
    <w:uiPriority w:val="0"/>
    <w:rPr>
      <w:rFonts w:ascii="宋体"/>
      <w:sz w:val="18"/>
      <w:szCs w:val="18"/>
    </w:rPr>
  </w:style>
  <w:style w:type="paragraph" w:styleId="10">
    <w:name w:val="annotation text"/>
    <w:basedOn w:val="1"/>
    <w:link w:val="58"/>
    <w:qFormat/>
    <w:uiPriority w:val="0"/>
    <w:pPr>
      <w:jc w:val="left"/>
    </w:pPr>
  </w:style>
  <w:style w:type="paragraph" w:styleId="11">
    <w:name w:val="Body Text 3"/>
    <w:basedOn w:val="1"/>
    <w:qFormat/>
    <w:uiPriority w:val="0"/>
    <w:pPr>
      <w:spacing w:after="120"/>
    </w:pPr>
    <w:rPr>
      <w:sz w:val="16"/>
      <w:szCs w:val="16"/>
    </w:rPr>
  </w:style>
  <w:style w:type="paragraph" w:styleId="12">
    <w:name w:val="Body Text"/>
    <w:basedOn w:val="1"/>
    <w:qFormat/>
    <w:uiPriority w:val="1"/>
    <w:pPr>
      <w:spacing w:before="135"/>
      <w:ind w:left="220"/>
    </w:pPr>
    <w:rPr>
      <w:rFonts w:ascii="宋体" w:hAnsi="宋体" w:cs="宋体"/>
      <w:sz w:val="24"/>
      <w:szCs w:val="24"/>
    </w:rPr>
  </w:style>
  <w:style w:type="paragraph" w:styleId="13">
    <w:name w:val="Plain Text"/>
    <w:basedOn w:val="1"/>
    <w:qFormat/>
    <w:uiPriority w:val="0"/>
    <w:pPr>
      <w:textAlignment w:val="baseline"/>
    </w:pPr>
    <w:rPr>
      <w:rFonts w:ascii="宋体" w:hAnsi="Courier New"/>
    </w:rPr>
  </w:style>
  <w:style w:type="paragraph" w:styleId="14">
    <w:name w:val="Date"/>
    <w:basedOn w:val="1"/>
    <w:next w:val="1"/>
    <w:qFormat/>
    <w:uiPriority w:val="0"/>
    <w:pPr>
      <w:ind w:left="100" w:leftChars="2500"/>
    </w:pPr>
    <w:rPr>
      <w:sz w:val="28"/>
    </w:rPr>
  </w:style>
  <w:style w:type="paragraph" w:styleId="15">
    <w:name w:val="Balloon Text"/>
    <w:basedOn w:val="1"/>
    <w:link w:val="57"/>
    <w:qFormat/>
    <w:uiPriority w:val="0"/>
    <w:pPr>
      <w:spacing w:line="240" w:lineRule="auto"/>
    </w:pPr>
    <w:rPr>
      <w:sz w:val="18"/>
      <w:szCs w:val="18"/>
    </w:rPr>
  </w:style>
  <w:style w:type="paragraph" w:styleId="16">
    <w:name w:val="footer"/>
    <w:basedOn w:val="1"/>
    <w:link w:val="68"/>
    <w:qFormat/>
    <w:uiPriority w:val="99"/>
    <w:pPr>
      <w:tabs>
        <w:tab w:val="center" w:pos="4153"/>
        <w:tab w:val="right" w:pos="8306"/>
      </w:tabs>
      <w:jc w:val="left"/>
    </w:pPr>
    <w:rPr>
      <w:kern w:val="0"/>
      <w:sz w:val="18"/>
      <w:szCs w:val="18"/>
    </w:rPr>
  </w:style>
  <w:style w:type="paragraph" w:styleId="17">
    <w:name w:val="header"/>
    <w:basedOn w:val="1"/>
    <w:qFormat/>
    <w:uiPriority w:val="0"/>
    <w:pPr>
      <w:pBdr>
        <w:bottom w:val="single" w:color="auto" w:sz="6" w:space="1"/>
      </w:pBdr>
      <w:tabs>
        <w:tab w:val="center" w:pos="4153"/>
        <w:tab w:val="right" w:pos="8306"/>
      </w:tabs>
      <w:jc w:val="center"/>
    </w:pPr>
    <w:rPr>
      <w:kern w:val="0"/>
      <w:sz w:val="18"/>
      <w:szCs w:val="18"/>
    </w:rPr>
  </w:style>
  <w:style w:type="paragraph" w:styleId="18">
    <w:name w:val="List"/>
    <w:basedOn w:val="1"/>
    <w:qFormat/>
    <w:uiPriority w:val="0"/>
    <w:pPr>
      <w:spacing w:line="360" w:lineRule="exact"/>
      <w:jc w:val="center"/>
    </w:pPr>
    <w:rPr>
      <w:rFonts w:ascii="仿宋_GB2312" w:eastAsia="仿宋_GB2312"/>
      <w:sz w:val="28"/>
      <w:szCs w:val="20"/>
    </w:rPr>
  </w:style>
  <w:style w:type="paragraph" w:styleId="19">
    <w:name w:val="Normal (Web)"/>
    <w:basedOn w:val="1"/>
    <w:qFormat/>
    <w:uiPriority w:val="99"/>
    <w:pPr>
      <w:spacing w:before="100" w:beforeAutospacing="1" w:after="100" w:afterAutospacing="1"/>
      <w:jc w:val="left"/>
    </w:pPr>
    <w:rPr>
      <w:kern w:val="0"/>
      <w:sz w:val="24"/>
    </w:rPr>
  </w:style>
  <w:style w:type="paragraph" w:styleId="20">
    <w:name w:val="annotation subject"/>
    <w:basedOn w:val="10"/>
    <w:next w:val="10"/>
    <w:link w:val="59"/>
    <w:qFormat/>
    <w:uiPriority w:val="0"/>
    <w:rPr>
      <w:b/>
      <w:bCs/>
    </w:rPr>
  </w:style>
  <w:style w:type="paragraph" w:styleId="21">
    <w:name w:val="Body Text First Indent"/>
    <w:basedOn w:val="12"/>
    <w:qFormat/>
    <w:uiPriority w:val="0"/>
    <w:pPr>
      <w:ind w:firstLine="100" w:firstLineChars="100"/>
    </w:pPr>
  </w:style>
  <w:style w:type="table" w:styleId="23">
    <w:name w:val="Table Grid"/>
    <w:basedOn w:val="2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5">
    <w:name w:val="Strong"/>
    <w:qFormat/>
    <w:uiPriority w:val="0"/>
    <w:rPr>
      <w:b/>
      <w:bCs/>
    </w:rPr>
  </w:style>
  <w:style w:type="character" w:styleId="26">
    <w:name w:val="page number"/>
    <w:qFormat/>
    <w:uiPriority w:val="0"/>
    <w:rPr>
      <w:rFonts w:ascii="宋体" w:hAnsi="宋体" w:cs="宋体"/>
    </w:rPr>
  </w:style>
  <w:style w:type="character" w:styleId="27">
    <w:name w:val="FollowedHyperlink"/>
    <w:basedOn w:val="24"/>
    <w:qFormat/>
    <w:uiPriority w:val="0"/>
    <w:rPr>
      <w:color w:val="0063C8"/>
      <w:u w:val="none"/>
    </w:rPr>
  </w:style>
  <w:style w:type="character" w:styleId="28">
    <w:name w:val="Emphasis"/>
    <w:basedOn w:val="24"/>
    <w:qFormat/>
    <w:uiPriority w:val="0"/>
  </w:style>
  <w:style w:type="character" w:styleId="29">
    <w:name w:val="HTML Definition"/>
    <w:basedOn w:val="24"/>
    <w:qFormat/>
    <w:uiPriority w:val="0"/>
  </w:style>
  <w:style w:type="character" w:styleId="30">
    <w:name w:val="HTML Acronym"/>
    <w:basedOn w:val="24"/>
    <w:qFormat/>
    <w:uiPriority w:val="0"/>
  </w:style>
  <w:style w:type="character" w:styleId="31">
    <w:name w:val="HTML Variable"/>
    <w:basedOn w:val="24"/>
    <w:qFormat/>
    <w:uiPriority w:val="0"/>
  </w:style>
  <w:style w:type="character" w:styleId="32">
    <w:name w:val="Hyperlink"/>
    <w:basedOn w:val="24"/>
    <w:qFormat/>
    <w:uiPriority w:val="0"/>
    <w:rPr>
      <w:color w:val="0000FF"/>
      <w:u w:val="single"/>
    </w:rPr>
  </w:style>
  <w:style w:type="character" w:styleId="33">
    <w:name w:val="HTML Code"/>
    <w:basedOn w:val="24"/>
    <w:qFormat/>
    <w:uiPriority w:val="0"/>
    <w:rPr>
      <w:rFonts w:ascii="Courier New" w:hAnsi="Courier New"/>
      <w:sz w:val="20"/>
    </w:rPr>
  </w:style>
  <w:style w:type="character" w:styleId="34">
    <w:name w:val="annotation reference"/>
    <w:basedOn w:val="24"/>
    <w:qFormat/>
    <w:uiPriority w:val="0"/>
    <w:rPr>
      <w:sz w:val="21"/>
      <w:szCs w:val="21"/>
    </w:rPr>
  </w:style>
  <w:style w:type="character" w:styleId="35">
    <w:name w:val="HTML Cite"/>
    <w:basedOn w:val="24"/>
    <w:qFormat/>
    <w:uiPriority w:val="0"/>
  </w:style>
  <w:style w:type="paragraph" w:customStyle="1" w:styleId="3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7">
    <w:name w:val="表格"/>
    <w:basedOn w:val="1"/>
    <w:qFormat/>
    <w:uiPriority w:val="0"/>
    <w:pPr>
      <w:spacing w:line="360" w:lineRule="exact"/>
      <w:jc w:val="center"/>
    </w:pPr>
    <w:rPr>
      <w:rFonts w:ascii="宋体" w:hAnsi="宋体" w:cs="宋体"/>
      <w:kern w:val="0"/>
    </w:rPr>
  </w:style>
  <w:style w:type="paragraph" w:customStyle="1" w:styleId="38">
    <w:name w:val="标准"/>
    <w:basedOn w:val="1"/>
    <w:qFormat/>
    <w:uiPriority w:val="0"/>
    <w:pPr>
      <w:spacing w:line="312" w:lineRule="atLeast"/>
      <w:jc w:val="center"/>
      <w:textAlignment w:val="baseline"/>
    </w:pPr>
    <w:rPr>
      <w:kern w:val="0"/>
    </w:rPr>
  </w:style>
  <w:style w:type="paragraph" w:customStyle="1" w:styleId="39">
    <w:name w:val="正文 + 仿宋_GB2312"/>
    <w:basedOn w:val="1"/>
    <w:qFormat/>
    <w:uiPriority w:val="99"/>
    <w:pPr>
      <w:adjustRightInd/>
      <w:snapToGrid/>
      <w:spacing w:line="240" w:lineRule="auto"/>
      <w:ind w:firstLine="480" w:firstLineChars="200"/>
    </w:pPr>
    <w:rPr>
      <w:rFonts w:ascii="仿宋_GB2312" w:hAnsi="Calibri" w:eastAsia="仿宋_GB2312"/>
      <w:sz w:val="24"/>
      <w:szCs w:val="22"/>
    </w:rPr>
  </w:style>
  <w:style w:type="paragraph" w:styleId="40">
    <w:name w:val="List Paragraph"/>
    <w:basedOn w:val="1"/>
    <w:qFormat/>
    <w:uiPriority w:val="1"/>
    <w:pPr>
      <w:spacing w:before="135"/>
      <w:ind w:left="820" w:hanging="600"/>
    </w:pPr>
    <w:rPr>
      <w:rFonts w:ascii="宋体" w:hAnsi="宋体" w:cs="宋体"/>
    </w:rPr>
  </w:style>
  <w:style w:type="paragraph" w:customStyle="1" w:styleId="41">
    <w:name w:val="Table Paragraph"/>
    <w:basedOn w:val="1"/>
    <w:unhideWhenUsed/>
    <w:qFormat/>
    <w:uiPriority w:val="1"/>
    <w:rPr>
      <w:sz w:val="24"/>
    </w:rPr>
  </w:style>
  <w:style w:type="paragraph" w:customStyle="1" w:styleId="42">
    <w:name w:val="p0"/>
    <w:basedOn w:val="1"/>
    <w:qFormat/>
    <w:uiPriority w:val="0"/>
    <w:pPr>
      <w:widowControl/>
      <w:ind w:firstLine="420"/>
    </w:pPr>
    <w:rPr>
      <w:kern w:val="0"/>
    </w:rPr>
  </w:style>
  <w:style w:type="paragraph" w:customStyle="1" w:styleId="43">
    <w:name w:val="+标题4"/>
    <w:basedOn w:val="8"/>
    <w:qFormat/>
    <w:uiPriority w:val="0"/>
    <w:pPr>
      <w:tabs>
        <w:tab w:val="left" w:pos="0"/>
      </w:tabs>
      <w:adjustRightInd/>
      <w:snapToGrid/>
      <w:spacing w:before="0"/>
      <w:jc w:val="left"/>
    </w:pPr>
    <w:rPr>
      <w:rFonts w:ascii="Times New Roman" w:hAnsi="Times New Roman" w:cs="Times New Roman"/>
      <w:b w:val="0"/>
      <w:kern w:val="0"/>
    </w:rPr>
  </w:style>
  <w:style w:type="paragraph" w:customStyle="1" w:styleId="44">
    <w:name w:val="表格中文字"/>
    <w:basedOn w:val="1"/>
    <w:qFormat/>
    <w:uiPriority w:val="0"/>
    <w:pPr>
      <w:jc w:val="center"/>
    </w:pPr>
    <w:rPr>
      <w:kern w:val="18"/>
    </w:rPr>
  </w:style>
  <w:style w:type="paragraph" w:customStyle="1" w:styleId="45">
    <w:name w:val="样式 样式 样式 样式 样式 样式 正文 + 首行缩进:  2.25 字符 + 首行缩进:  2.25 字符 + 首行缩进:  ...1"/>
    <w:basedOn w:val="1"/>
    <w:qFormat/>
    <w:uiPriority w:val="0"/>
    <w:pPr>
      <w:adjustRightInd/>
      <w:snapToGrid/>
      <w:ind w:firstLine="200" w:firstLineChars="200"/>
    </w:pPr>
    <w:rPr>
      <w:rFonts w:eastAsia="幼圆" w:cs="宋体"/>
      <w:spacing w:val="4"/>
      <w:sz w:val="24"/>
      <w:szCs w:val="20"/>
    </w:rPr>
  </w:style>
  <w:style w:type="paragraph" w:customStyle="1" w:styleId="46">
    <w:name w:val="正文11"/>
    <w:basedOn w:val="47"/>
    <w:qFormat/>
    <w:uiPriority w:val="0"/>
    <w:pPr>
      <w:adjustRightInd w:val="0"/>
      <w:snapToGrid w:val="0"/>
      <w:ind w:left="0"/>
    </w:pPr>
    <w:rPr>
      <w:rFonts w:ascii="Times New Roman" w:eastAsia="宋体"/>
      <w:b/>
      <w:bCs w:val="0"/>
      <w:color w:val="000000"/>
      <w:szCs w:val="24"/>
    </w:rPr>
  </w:style>
  <w:style w:type="paragraph" w:customStyle="1" w:styleId="47">
    <w:name w:val="标题3"/>
    <w:next w:val="1"/>
    <w:qFormat/>
    <w:uiPriority w:val="0"/>
    <w:pPr>
      <w:keepNext/>
      <w:keepLines/>
      <w:spacing w:before="80" w:line="360" w:lineRule="auto"/>
      <w:ind w:left="1440"/>
      <w:outlineLvl w:val="2"/>
    </w:pPr>
    <w:rPr>
      <w:rFonts w:ascii="黑体" w:hAnsi="Times New Roman" w:eastAsia="黑体" w:cs="Times New Roman"/>
      <w:bCs/>
      <w:kern w:val="2"/>
      <w:sz w:val="24"/>
      <w:szCs w:val="22"/>
      <w:lang w:val="zh-CN" w:eastAsia="zh-CN" w:bidi="ar-SA"/>
    </w:rPr>
  </w:style>
  <w:style w:type="paragraph" w:customStyle="1" w:styleId="48">
    <w:name w:val="报告书正文"/>
    <w:basedOn w:val="1"/>
    <w:qFormat/>
    <w:uiPriority w:val="0"/>
    <w:pPr>
      <w:spacing w:line="400" w:lineRule="exact"/>
      <w:ind w:firstLine="200" w:firstLineChars="200"/>
    </w:pPr>
  </w:style>
  <w:style w:type="paragraph" w:customStyle="1" w:styleId="49">
    <w:name w:val="报告表正文"/>
    <w:basedOn w:val="1"/>
    <w:qFormat/>
    <w:uiPriority w:val="99"/>
    <w:pPr>
      <w:adjustRightInd/>
      <w:snapToGrid/>
      <w:ind w:firstLine="200" w:firstLineChars="200"/>
    </w:pPr>
    <w:rPr>
      <w:sz w:val="24"/>
      <w:szCs w:val="20"/>
      <w:lang w:val="zh-CN"/>
    </w:rPr>
  </w:style>
  <w:style w:type="paragraph" w:customStyle="1" w:styleId="50">
    <w:name w:val="表格文字"/>
    <w:basedOn w:val="1"/>
    <w:qFormat/>
    <w:uiPriority w:val="0"/>
    <w:pPr>
      <w:spacing w:line="240" w:lineRule="atLeast"/>
      <w:jc w:val="center"/>
    </w:pPr>
    <w:rPr>
      <w:kern w:val="0"/>
      <w:sz w:val="20"/>
    </w:rPr>
  </w:style>
  <w:style w:type="paragraph" w:customStyle="1" w:styleId="51">
    <w:name w:val="正本文字"/>
    <w:basedOn w:val="1"/>
    <w:qFormat/>
    <w:uiPriority w:val="0"/>
    <w:pPr>
      <w:ind w:firstLine="480" w:firstLineChars="200"/>
      <w:jc w:val="left"/>
    </w:pPr>
    <w:rPr>
      <w:rFonts w:cs="宋体"/>
      <w:kern w:val="18"/>
      <w:sz w:val="24"/>
      <w:szCs w:val="20"/>
    </w:rPr>
  </w:style>
  <w:style w:type="paragraph" w:customStyle="1" w:styleId="52">
    <w:name w:val="表格字体"/>
    <w:basedOn w:val="13"/>
    <w:qFormat/>
    <w:uiPriority w:val="0"/>
    <w:pPr>
      <w:adjustRightInd/>
      <w:spacing w:line="240" w:lineRule="auto"/>
      <w:jc w:val="center"/>
      <w:textAlignment w:val="auto"/>
    </w:pPr>
    <w:rPr>
      <w:rFonts w:ascii="Times New Roman" w:hAnsi="Times New Roman"/>
      <w:szCs w:val="20"/>
    </w:rPr>
  </w:style>
  <w:style w:type="paragraph" w:customStyle="1" w:styleId="53">
    <w:name w:val="Char Char"/>
    <w:basedOn w:val="1"/>
    <w:qFormat/>
    <w:uiPriority w:val="0"/>
  </w:style>
  <w:style w:type="paragraph" w:customStyle="1" w:styleId="54">
    <w:name w:val="表头"/>
    <w:basedOn w:val="1"/>
    <w:qFormat/>
    <w:uiPriority w:val="0"/>
    <w:pPr>
      <w:spacing w:before="120" w:after="120" w:line="440" w:lineRule="exact"/>
      <w:jc w:val="center"/>
    </w:pPr>
    <w:rPr>
      <w:rFonts w:ascii="黑体" w:hAnsi="Courier New" w:eastAsia="黑体"/>
      <w:szCs w:val="20"/>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7">
    <w:name w:val="批注框文本 Char"/>
    <w:basedOn w:val="24"/>
    <w:link w:val="15"/>
    <w:qFormat/>
    <w:uiPriority w:val="0"/>
    <w:rPr>
      <w:kern w:val="2"/>
      <w:sz w:val="18"/>
      <w:szCs w:val="18"/>
    </w:rPr>
  </w:style>
  <w:style w:type="character" w:customStyle="1" w:styleId="58">
    <w:name w:val="批注文字 Char"/>
    <w:basedOn w:val="24"/>
    <w:link w:val="10"/>
    <w:qFormat/>
    <w:uiPriority w:val="0"/>
    <w:rPr>
      <w:kern w:val="2"/>
      <w:sz w:val="21"/>
      <w:szCs w:val="21"/>
    </w:rPr>
  </w:style>
  <w:style w:type="character" w:customStyle="1" w:styleId="59">
    <w:name w:val="批注主题 Char"/>
    <w:basedOn w:val="58"/>
    <w:link w:val="20"/>
    <w:qFormat/>
    <w:uiPriority w:val="0"/>
    <w:rPr>
      <w:b/>
      <w:bCs/>
      <w:kern w:val="2"/>
      <w:sz w:val="21"/>
      <w:szCs w:val="21"/>
    </w:rPr>
  </w:style>
  <w:style w:type="character" w:customStyle="1" w:styleId="60">
    <w:name w:val="文档结构图 Char"/>
    <w:basedOn w:val="24"/>
    <w:link w:val="9"/>
    <w:qFormat/>
    <w:uiPriority w:val="0"/>
    <w:rPr>
      <w:rFonts w:ascii="宋体"/>
      <w:kern w:val="2"/>
      <w:sz w:val="18"/>
      <w:szCs w:val="18"/>
    </w:rPr>
  </w:style>
  <w:style w:type="character" w:customStyle="1" w:styleId="61">
    <w:name w:val="正文文本2"/>
    <w:basedOn w:val="62"/>
    <w:qFormat/>
    <w:uiPriority w:val="0"/>
    <w:rPr>
      <w:rFonts w:ascii="MingLiU" w:hAnsi="MingLiU" w:eastAsia="MingLiU" w:cs="MingLiU"/>
      <w:color w:val="000000"/>
      <w:spacing w:val="0"/>
      <w:w w:val="100"/>
      <w:position w:val="0"/>
      <w:sz w:val="19"/>
      <w:szCs w:val="19"/>
      <w:u w:val="none"/>
      <w:lang w:val="zh-TW"/>
    </w:rPr>
  </w:style>
  <w:style w:type="character" w:customStyle="1" w:styleId="62">
    <w:name w:val="Body text_"/>
    <w:basedOn w:val="24"/>
    <w:link w:val="63"/>
    <w:qFormat/>
    <w:uiPriority w:val="0"/>
    <w:rPr>
      <w:rFonts w:ascii="MingLiU" w:hAnsi="MingLiU" w:eastAsia="MingLiU" w:cs="MingLiU"/>
      <w:sz w:val="19"/>
      <w:szCs w:val="19"/>
    </w:rPr>
  </w:style>
  <w:style w:type="paragraph" w:customStyle="1" w:styleId="63">
    <w:name w:val="正文文本5"/>
    <w:basedOn w:val="1"/>
    <w:link w:val="62"/>
    <w:qFormat/>
    <w:uiPriority w:val="0"/>
    <w:pPr>
      <w:shd w:val="clear" w:color="auto" w:fill="FFFFFF"/>
      <w:spacing w:after="960" w:line="0" w:lineRule="atLeast"/>
      <w:jc w:val="center"/>
    </w:pPr>
    <w:rPr>
      <w:rFonts w:ascii="MingLiU" w:hAnsi="MingLiU" w:eastAsia="MingLiU" w:cs="MingLiU"/>
      <w:sz w:val="19"/>
      <w:szCs w:val="19"/>
    </w:rPr>
  </w:style>
  <w:style w:type="paragraph" w:customStyle="1" w:styleId="64">
    <w:name w:val="报告 Char"/>
    <w:basedOn w:val="1"/>
    <w:qFormat/>
    <w:uiPriority w:val="0"/>
    <w:pPr>
      <w:ind w:firstLine="505"/>
      <w:textAlignment w:val="baseline"/>
    </w:pPr>
  </w:style>
  <w:style w:type="paragraph" w:customStyle="1" w:styleId="65">
    <w:name w:val="表格正文"/>
    <w:basedOn w:val="1"/>
    <w:qFormat/>
    <w:uiPriority w:val="0"/>
    <w:pPr>
      <w:spacing w:line="300" w:lineRule="exact"/>
      <w:jc w:val="center"/>
    </w:pPr>
    <w:rPr>
      <w:rFonts w:cs="宋体"/>
      <w:szCs w:val="20"/>
    </w:rPr>
  </w:style>
  <w:style w:type="character" w:customStyle="1" w:styleId="66">
    <w:name w:val="标题 3 Char"/>
    <w:basedOn w:val="24"/>
    <w:link w:val="7"/>
    <w:qFormat/>
    <w:uiPriority w:val="0"/>
    <w:rPr>
      <w:rFonts w:ascii="Times New Roman" w:hAnsi="Times New Roman"/>
      <w:b/>
      <w:bCs/>
      <w:sz w:val="24"/>
      <w:szCs w:val="28"/>
    </w:rPr>
  </w:style>
  <w:style w:type="character" w:customStyle="1" w:styleId="67">
    <w:name w:val="apple-converted-space"/>
    <w:basedOn w:val="24"/>
    <w:qFormat/>
    <w:uiPriority w:val="0"/>
  </w:style>
  <w:style w:type="character" w:customStyle="1" w:styleId="68">
    <w:name w:val="页脚 Char"/>
    <w:basedOn w:val="24"/>
    <w:link w:val="16"/>
    <w:qFormat/>
    <w:uiPriority w:val="99"/>
    <w:rPr>
      <w:rFonts w:ascii="Times New Roman" w:hAnsi="Times New Roman"/>
      <w:sz w:val="18"/>
      <w:szCs w:val="18"/>
    </w:rPr>
  </w:style>
  <w:style w:type="paragraph" w:customStyle="1" w:styleId="69">
    <w:name w:val="正文1"/>
    <w:qFormat/>
    <w:uiPriority w:val="0"/>
    <w:pPr>
      <w:jc w:val="both"/>
    </w:pPr>
    <w:rPr>
      <w:rFonts w:ascii="Calibri" w:hAnsi="Calibri" w:eastAsia="宋体" w:cs="Calibri"/>
      <w:kern w:val="2"/>
      <w:sz w:val="21"/>
      <w:szCs w:val="21"/>
      <w:lang w:val="en-US" w:eastAsia="zh-CN" w:bidi="ar-SA"/>
    </w:rPr>
  </w:style>
  <w:style w:type="paragraph" w:customStyle="1" w:styleId="70">
    <w:name w:val="报告正文"/>
    <w:basedOn w:val="1"/>
    <w:qFormat/>
    <w:uiPriority w:val="0"/>
    <w:pPr>
      <w:spacing w:before="50"/>
      <w:ind w:firstLine="540"/>
    </w:pPr>
  </w:style>
  <w:style w:type="paragraph" w:customStyle="1" w:styleId="71">
    <w:name w:val="表格式"/>
    <w:basedOn w:val="18"/>
    <w:qFormat/>
    <w:uiPriority w:val="0"/>
    <w:pPr>
      <w:spacing w:line="400" w:lineRule="exact"/>
    </w:pPr>
    <w:rPr>
      <w:rFonts w:ascii="宋体"/>
      <w:sz w:val="21"/>
    </w:rPr>
  </w:style>
  <w:style w:type="paragraph" w:customStyle="1" w:styleId="72">
    <w:name w:val="表文"/>
    <w:basedOn w:val="1"/>
    <w:qFormat/>
    <w:uiPriority w:val="0"/>
    <w:pPr>
      <w:tabs>
        <w:tab w:val="left" w:pos="1021"/>
      </w:tabs>
      <w:spacing w:line="300" w:lineRule="auto"/>
      <w:jc w:val="center"/>
    </w:pPr>
    <w:rPr>
      <w:kern w:val="0"/>
      <w:position w:val="-24"/>
    </w:rPr>
  </w:style>
  <w:style w:type="paragraph" w:customStyle="1" w:styleId="73">
    <w:name w:val="1正文段落"/>
    <w:basedOn w:val="1"/>
    <w:qFormat/>
    <w:uiPriority w:val="0"/>
    <w:pPr>
      <w:jc w:val="left"/>
    </w:pPr>
    <w:rPr>
      <w:snapToGrid w:val="0"/>
      <w:kern w:val="0"/>
    </w:rPr>
  </w:style>
  <w:style w:type="paragraph" w:customStyle="1" w:styleId="74">
    <w:name w:val="表格标题"/>
    <w:basedOn w:val="1"/>
    <w:next w:val="1"/>
    <w:qFormat/>
    <w:uiPriority w:val="0"/>
    <w:pPr>
      <w:keepNext/>
      <w:widowControl/>
      <w:overflowPunct w:val="0"/>
      <w:spacing w:before="360" w:after="120" w:line="480" w:lineRule="exact"/>
      <w:jc w:val="center"/>
      <w:textAlignment w:val="baseline"/>
    </w:pPr>
    <w:rPr>
      <w:rFonts w:ascii="Arial" w:hAnsi="Arial" w:eastAsia="黑体"/>
      <w:kern w:val="0"/>
      <w:sz w:val="24"/>
      <w:szCs w:val="20"/>
    </w:rPr>
  </w:style>
  <w:style w:type="paragraph" w:customStyle="1" w:styleId="75">
    <w:name w:val="标题正4"/>
    <w:basedOn w:val="1"/>
    <w:qFormat/>
    <w:uiPriority w:val="0"/>
    <w:pPr>
      <w:spacing w:line="300" w:lineRule="exact"/>
      <w:ind w:firstLine="0" w:firstLineChars="0"/>
      <w:jc w:val="center"/>
    </w:pPr>
    <w:rPr>
      <w:rFonts w:ascii="宋体" w:hAnsi="宋体"/>
      <w:color w:val="000000"/>
      <w:sz w:val="21"/>
    </w:rPr>
  </w:style>
  <w:style w:type="character" w:customStyle="1" w:styleId="76">
    <w:name w:val="hover31"/>
    <w:basedOn w:val="24"/>
    <w:qFormat/>
    <w:uiPriority w:val="0"/>
    <w:rPr>
      <w:color w:val="3EAF0E"/>
    </w:rPr>
  </w:style>
  <w:style w:type="character" w:customStyle="1" w:styleId="77">
    <w:name w:val="s16"/>
    <w:basedOn w:val="24"/>
    <w:qFormat/>
    <w:uiPriority w:val="0"/>
    <w:rPr>
      <w:color w:val="DDDDDD"/>
      <w:sz w:val="18"/>
      <w:szCs w:val="18"/>
    </w:rPr>
  </w:style>
  <w:style w:type="character" w:customStyle="1" w:styleId="78">
    <w:name w:val="mr-prof"/>
    <w:basedOn w:val="24"/>
    <w:qFormat/>
    <w:uiPriority w:val="0"/>
  </w:style>
  <w:style w:type="character" w:customStyle="1" w:styleId="79">
    <w:name w:val="btn-task-gray2"/>
    <w:basedOn w:val="24"/>
    <w:qFormat/>
    <w:uiPriority w:val="0"/>
    <w:rPr>
      <w:color w:val="FFFFFF"/>
      <w:u w:val="none"/>
      <w:shd w:val="clear" w:fill="CCCCCC"/>
    </w:rPr>
  </w:style>
  <w:style w:type="character" w:customStyle="1" w:styleId="80">
    <w:name w:val="btn-task-gray3"/>
    <w:basedOn w:val="24"/>
    <w:qFormat/>
    <w:uiPriority w:val="0"/>
  </w:style>
  <w:style w:type="character" w:customStyle="1" w:styleId="81">
    <w:name w:val="hover37"/>
    <w:basedOn w:val="24"/>
    <w:qFormat/>
    <w:uiPriority w:val="0"/>
    <w:rPr>
      <w:color w:val="3EAF0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6" Type="http://schemas.openxmlformats.org/officeDocument/2006/relationships/glossaryDocument" Target="glossary/document.xml"/><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36.png"/><Relationship Id="rId81" Type="http://schemas.openxmlformats.org/officeDocument/2006/relationships/image" Target="media/image35.jpeg"/><Relationship Id="rId80" Type="http://schemas.openxmlformats.org/officeDocument/2006/relationships/image" Target="http://www.jjj999.com/anquanbiaozhi/images/14002.gif" TargetMode="External"/><Relationship Id="rId8" Type="http://schemas.openxmlformats.org/officeDocument/2006/relationships/header" Target="header3.xml"/><Relationship Id="rId79" Type="http://schemas.openxmlformats.org/officeDocument/2006/relationships/image" Target="media/image34.png"/><Relationship Id="rId78" Type="http://schemas.openxmlformats.org/officeDocument/2006/relationships/image" Target="http://www.jjj999.com/anquanbiaozhi/images/14001.gif" TargetMode="External"/><Relationship Id="rId77" Type="http://schemas.openxmlformats.org/officeDocument/2006/relationships/image" Target="media/image33.png"/><Relationship Id="rId76" Type="http://schemas.openxmlformats.org/officeDocument/2006/relationships/image" Target="http://www.jjj999.com/anquanbiaozhi/images/13002.gif" TargetMode="External"/><Relationship Id="rId75" Type="http://schemas.openxmlformats.org/officeDocument/2006/relationships/image" Target="media/image32.png"/><Relationship Id="rId74" Type="http://schemas.openxmlformats.org/officeDocument/2006/relationships/image" Target="http://www.jjj999.com/anquanbiaozhi/images/13001.gif" TargetMode="External"/><Relationship Id="rId73" Type="http://schemas.openxmlformats.org/officeDocument/2006/relationships/image" Target="media/image31.png"/><Relationship Id="rId72" Type="http://schemas.openxmlformats.org/officeDocument/2006/relationships/oleObject" Target="embeddings/oleObject23.bin"/><Relationship Id="rId71" Type="http://schemas.openxmlformats.org/officeDocument/2006/relationships/image" Target="media/image30.png"/><Relationship Id="rId70" Type="http://schemas.openxmlformats.org/officeDocument/2006/relationships/image" Target="media/image29.emf"/><Relationship Id="rId7" Type="http://schemas.openxmlformats.org/officeDocument/2006/relationships/footer" Target="footer3.xml"/><Relationship Id="rId69" Type="http://schemas.openxmlformats.org/officeDocument/2006/relationships/image" Target="media/image28.emf"/><Relationship Id="rId68" Type="http://schemas.openxmlformats.org/officeDocument/2006/relationships/image" Target="media/image27.wmf"/><Relationship Id="rId67" Type="http://schemas.openxmlformats.org/officeDocument/2006/relationships/oleObject" Target="embeddings/oleObject22.bin"/><Relationship Id="rId66" Type="http://schemas.openxmlformats.org/officeDocument/2006/relationships/image" Target="media/image26.wmf"/><Relationship Id="rId65" Type="http://schemas.openxmlformats.org/officeDocument/2006/relationships/oleObject" Target="embeddings/oleObject21.bin"/><Relationship Id="rId64" Type="http://schemas.openxmlformats.org/officeDocument/2006/relationships/image" Target="media/image25.wmf"/><Relationship Id="rId63" Type="http://schemas.openxmlformats.org/officeDocument/2006/relationships/oleObject" Target="embeddings/oleObject20.bin"/><Relationship Id="rId62" Type="http://schemas.openxmlformats.org/officeDocument/2006/relationships/image" Target="media/image24.wmf"/><Relationship Id="rId61" Type="http://schemas.openxmlformats.org/officeDocument/2006/relationships/oleObject" Target="embeddings/oleObject19.bin"/><Relationship Id="rId60" Type="http://schemas.openxmlformats.org/officeDocument/2006/relationships/image" Target="media/image23.wmf"/><Relationship Id="rId6" Type="http://schemas.openxmlformats.org/officeDocument/2006/relationships/header" Target="header2.xml"/><Relationship Id="rId59" Type="http://schemas.openxmlformats.org/officeDocument/2006/relationships/image" Target="media/image22.wmf"/><Relationship Id="rId58" Type="http://schemas.openxmlformats.org/officeDocument/2006/relationships/oleObject" Target="embeddings/oleObject18.bin"/><Relationship Id="rId57" Type="http://schemas.openxmlformats.org/officeDocument/2006/relationships/image" Target="media/image21.wmf"/><Relationship Id="rId56" Type="http://schemas.openxmlformats.org/officeDocument/2006/relationships/oleObject" Target="embeddings/oleObject17.bin"/><Relationship Id="rId55" Type="http://schemas.openxmlformats.org/officeDocument/2006/relationships/image" Target="media/image20.wmf"/><Relationship Id="rId54" Type="http://schemas.openxmlformats.org/officeDocument/2006/relationships/oleObject" Target="embeddings/oleObject16.bin"/><Relationship Id="rId53" Type="http://schemas.openxmlformats.org/officeDocument/2006/relationships/image" Target="media/image19.wmf"/><Relationship Id="rId52" Type="http://schemas.openxmlformats.org/officeDocument/2006/relationships/oleObject" Target="embeddings/oleObject15.bin"/><Relationship Id="rId51" Type="http://schemas.openxmlformats.org/officeDocument/2006/relationships/image" Target="media/image18.wmf"/><Relationship Id="rId50" Type="http://schemas.openxmlformats.org/officeDocument/2006/relationships/oleObject" Target="embeddings/oleObject14.bin"/><Relationship Id="rId5" Type="http://schemas.openxmlformats.org/officeDocument/2006/relationships/footer" Target="footer2.xml"/><Relationship Id="rId49" Type="http://schemas.openxmlformats.org/officeDocument/2006/relationships/image" Target="media/image17.wmf"/><Relationship Id="rId48" Type="http://schemas.openxmlformats.org/officeDocument/2006/relationships/oleObject" Target="embeddings/oleObject13.bin"/><Relationship Id="rId47" Type="http://schemas.openxmlformats.org/officeDocument/2006/relationships/image" Target="media/image16.wmf"/><Relationship Id="rId46" Type="http://schemas.openxmlformats.org/officeDocument/2006/relationships/oleObject" Target="embeddings/oleObject12.bin"/><Relationship Id="rId45" Type="http://schemas.openxmlformats.org/officeDocument/2006/relationships/image" Target="media/image15.wmf"/><Relationship Id="rId44" Type="http://schemas.openxmlformats.org/officeDocument/2006/relationships/oleObject" Target="embeddings/oleObject11.bin"/><Relationship Id="rId43" Type="http://schemas.openxmlformats.org/officeDocument/2006/relationships/image" Target="media/image14.wmf"/><Relationship Id="rId42" Type="http://schemas.openxmlformats.org/officeDocument/2006/relationships/oleObject" Target="embeddings/oleObject10.bin"/><Relationship Id="rId41" Type="http://schemas.openxmlformats.org/officeDocument/2006/relationships/image" Target="media/image13.wmf"/><Relationship Id="rId40" Type="http://schemas.openxmlformats.org/officeDocument/2006/relationships/oleObject" Target="embeddings/oleObject9.bin"/><Relationship Id="rId4" Type="http://schemas.openxmlformats.org/officeDocument/2006/relationships/footer" Target="footer1.xml"/><Relationship Id="rId39" Type="http://schemas.openxmlformats.org/officeDocument/2006/relationships/image" Target="media/image12.wmf"/><Relationship Id="rId38" Type="http://schemas.openxmlformats.org/officeDocument/2006/relationships/oleObject" Target="embeddings/oleObject8.bin"/><Relationship Id="rId37" Type="http://schemas.openxmlformats.org/officeDocument/2006/relationships/image" Target="media/image11.wmf"/><Relationship Id="rId36" Type="http://schemas.openxmlformats.org/officeDocument/2006/relationships/oleObject" Target="embeddings/oleObject7.bin"/><Relationship Id="rId35" Type="http://schemas.openxmlformats.org/officeDocument/2006/relationships/image" Target="media/image10.wmf"/><Relationship Id="rId34" Type="http://schemas.openxmlformats.org/officeDocument/2006/relationships/oleObject" Target="embeddings/oleObject6.bin"/><Relationship Id="rId33" Type="http://schemas.openxmlformats.org/officeDocument/2006/relationships/image" Target="media/image9.wmf"/><Relationship Id="rId32" Type="http://schemas.openxmlformats.org/officeDocument/2006/relationships/oleObject" Target="embeddings/oleObject5.bin"/><Relationship Id="rId31" Type="http://schemas.openxmlformats.org/officeDocument/2006/relationships/image" Target="media/image8.jpeg"/><Relationship Id="rId30" Type="http://schemas.openxmlformats.org/officeDocument/2006/relationships/image" Target="media/image7.wmf"/><Relationship Id="rId3" Type="http://schemas.openxmlformats.org/officeDocument/2006/relationships/header" Target="header1.xml"/><Relationship Id="rId29" Type="http://schemas.openxmlformats.org/officeDocument/2006/relationships/oleObject" Target="embeddings/oleObject4.bin"/><Relationship Id="rId28" Type="http://schemas.openxmlformats.org/officeDocument/2006/relationships/image" Target="media/image6.wmf"/><Relationship Id="rId27" Type="http://schemas.openxmlformats.org/officeDocument/2006/relationships/oleObject" Target="embeddings/oleObject3.bin"/><Relationship Id="rId26" Type="http://schemas.openxmlformats.org/officeDocument/2006/relationships/image" Target="media/image5.wmf"/><Relationship Id="rId25" Type="http://schemas.openxmlformats.org/officeDocument/2006/relationships/oleObject" Target="embeddings/oleObject2.bin"/><Relationship Id="rId24" Type="http://schemas.openxmlformats.org/officeDocument/2006/relationships/image" Target="media/image4.wmf"/><Relationship Id="rId23" Type="http://schemas.openxmlformats.org/officeDocument/2006/relationships/oleObject" Target="embeddings/oleObject1.bin"/><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header" Target="header12.xml"/><Relationship Id="rId17" Type="http://schemas.openxmlformats.org/officeDocument/2006/relationships/header" Target="header11.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7e22645-dc14-4ce1-a8fc-5cd019cefd83}"/>
        <w:style w:val=""/>
        <w:category>
          <w:name w:val="常规"/>
          <w:gallery w:val="placeholder"/>
        </w:category>
        <w:types>
          <w:type w:val="bbPlcHdr"/>
        </w:types>
        <w:behaviors>
          <w:behavior w:val="content"/>
        </w:behaviors>
        <w:description w:val=""/>
        <w:guid w:val="{97e22645-dc14-4ce1-a8fc-5cd019cefd83}"/>
      </w:docPartPr>
      <w:docPartBody>
        <w:p>
          <w:r>
            <w:rPr>
              <w:color w:val="808080"/>
            </w:rPr>
            <w:t>单击此处输入文字。</w:t>
          </w:r>
        </w:p>
      </w:docPartBody>
    </w:docPart>
    <w:docPart>
      <w:docPartPr>
        <w:name w:val="{debf4766-8379-4eb9-a8f5-3a9eefdd5a48}"/>
        <w:style w:val=""/>
        <w:category>
          <w:name w:val="常规"/>
          <w:gallery w:val="placeholder"/>
        </w:category>
        <w:types>
          <w:type w:val="bbPlcHdr"/>
        </w:types>
        <w:behaviors>
          <w:behavior w:val="content"/>
        </w:behaviors>
        <w:description w:val=""/>
        <w:guid w:val="{debf4766-8379-4eb9-a8f5-3a9eefdd5a48}"/>
      </w:docPartPr>
      <w:docPartBody>
        <w:p>
          <w:r>
            <w:rPr>
              <w:color w:val="808080"/>
            </w:rPr>
            <w:t>单击此处输入文字。</w:t>
          </w:r>
        </w:p>
      </w:docPartBody>
    </w:docPart>
    <w:docPart>
      <w:docPartPr>
        <w:name w:val="{a32e1314-24c4-49c8-bc2e-5e8fe654012f}"/>
        <w:style w:val=""/>
        <w:category>
          <w:name w:val="常规"/>
          <w:gallery w:val="placeholder"/>
        </w:category>
        <w:types>
          <w:type w:val="bbPlcHdr"/>
        </w:types>
        <w:behaviors>
          <w:behavior w:val="content"/>
        </w:behaviors>
        <w:description w:val=""/>
        <w:guid w:val="{a32e1314-24c4-49c8-bc2e-5e8fe654012f}"/>
      </w:docPartPr>
      <w:docPartBody>
        <w:p>
          <w:r>
            <w:rPr>
              <w:color w:val="808080"/>
            </w:rPr>
            <w:t>单击此处输入文字。</w:t>
          </w:r>
        </w:p>
      </w:docPartBody>
    </w:docPart>
    <w:docPart>
      <w:docPartPr>
        <w:name w:val="{6b752c26-ab19-4725-9a6e-30107aadb2ad}"/>
        <w:style w:val=""/>
        <w:category>
          <w:name w:val="常规"/>
          <w:gallery w:val="placeholder"/>
        </w:category>
        <w:types>
          <w:type w:val="bbPlcHdr"/>
        </w:types>
        <w:behaviors>
          <w:behavior w:val="content"/>
        </w:behaviors>
        <w:description w:val=""/>
        <w:guid w:val="{6b752c26-ab19-4725-9a6e-30107aadb2ad}"/>
      </w:docPartPr>
      <w:docPartBody>
        <w:p>
          <w:r>
            <w:rPr>
              <w:color w:val="808080"/>
            </w:rPr>
            <w:t>单击此处输入文字。</w:t>
          </w:r>
        </w:p>
      </w:docPartBody>
    </w:docPart>
    <w:docPart>
      <w:docPartPr>
        <w:name w:val="{ed687b97-3b88-48a7-9c3b-3379df542b99}"/>
        <w:style w:val=""/>
        <w:category>
          <w:name w:val="常规"/>
          <w:gallery w:val="placeholder"/>
        </w:category>
        <w:types>
          <w:type w:val="bbPlcHdr"/>
        </w:types>
        <w:behaviors>
          <w:behavior w:val="content"/>
        </w:behaviors>
        <w:description w:val=""/>
        <w:guid w:val="{ed687b97-3b88-48a7-9c3b-3379df542b99}"/>
      </w:docPartPr>
      <w:docPartBody>
        <w:p>
          <w:r>
            <w:rPr>
              <w:color w:val="808080"/>
            </w:rPr>
            <w:t>单击此处输入文字。</w:t>
          </w:r>
        </w:p>
      </w:docPartBody>
    </w:docPart>
    <w:docPart>
      <w:docPartPr>
        <w:name w:val="{33bbba1f-23dd-4b7c-877b-5b53eb5fb9c2}"/>
        <w:style w:val=""/>
        <w:category>
          <w:name w:val="常规"/>
          <w:gallery w:val="placeholder"/>
        </w:category>
        <w:types>
          <w:type w:val="bbPlcHdr"/>
        </w:types>
        <w:behaviors>
          <w:behavior w:val="content"/>
        </w:behaviors>
        <w:description w:val=""/>
        <w:guid w:val="{33bbba1f-23dd-4b7c-877b-5b53eb5fb9c2}"/>
      </w:docPartPr>
      <w:docPartBody>
        <w:p>
          <w:r>
            <w:rPr>
              <w:color w:val="808080"/>
            </w:rPr>
            <w:t>单击此处输入文字。</w:t>
          </w:r>
        </w:p>
      </w:docPartBody>
    </w:docPart>
    <w:docPart>
      <w:docPartPr>
        <w:name w:val="{faeaabb7-a5c6-458d-a52d-431f24413e9c}"/>
        <w:style w:val=""/>
        <w:category>
          <w:name w:val="常规"/>
          <w:gallery w:val="placeholder"/>
        </w:category>
        <w:types>
          <w:type w:val="bbPlcHdr"/>
        </w:types>
        <w:behaviors>
          <w:behavior w:val="content"/>
        </w:behaviors>
        <w:description w:val=""/>
        <w:guid w:val="{faeaabb7-a5c6-458d-a52d-431f24413e9c}"/>
      </w:docPartPr>
      <w:docPartBody>
        <w:p>
          <w:r>
            <w:rPr>
              <w:color w:val="808080"/>
            </w:rPr>
            <w:t>单击此处输入文字。</w:t>
          </w:r>
        </w:p>
      </w:docPartBody>
    </w:docPart>
    <w:docPart>
      <w:docPartPr>
        <w:name w:val="{b55b3644-98c3-4170-984b-0ec36ae4009c}"/>
        <w:style w:val=""/>
        <w:category>
          <w:name w:val="常规"/>
          <w:gallery w:val="placeholder"/>
        </w:category>
        <w:types>
          <w:type w:val="bbPlcHdr"/>
        </w:types>
        <w:behaviors>
          <w:behavior w:val="content"/>
        </w:behaviors>
        <w:description w:val=""/>
        <w:guid w:val="{b55b3644-98c3-4170-984b-0ec36ae4009c}"/>
      </w:docPartPr>
      <w:docPartBody>
        <w:p>
          <w:r>
            <w:rPr>
              <w:color w:val="808080"/>
            </w:rPr>
            <w:t>单击此处输入文字。</w:t>
          </w:r>
        </w:p>
      </w:docPartBody>
    </w:docPart>
    <w:docPart>
      <w:docPartPr>
        <w:name w:val="{1e54d3cd-d169-4007-80ea-13da33c586c2}"/>
        <w:style w:val=""/>
        <w:category>
          <w:name w:val="常规"/>
          <w:gallery w:val="placeholder"/>
        </w:category>
        <w:types>
          <w:type w:val="bbPlcHdr"/>
        </w:types>
        <w:behaviors>
          <w:behavior w:val="content"/>
        </w:behaviors>
        <w:description w:val=""/>
        <w:guid w:val="{1e54d3cd-d169-4007-80ea-13da33c586c2}"/>
      </w:docPartPr>
      <w:docPartBody>
        <w:p>
          <w:r>
            <w:rPr>
              <w:color w:val="808080"/>
            </w:rPr>
            <w:t>单击此处输入文字。</w:t>
          </w:r>
        </w:p>
      </w:docPartBody>
    </w:docPart>
    <w:docPart>
      <w:docPartPr>
        <w:name w:val="{4e1b66dd-afc5-4bdb-b273-07e6bb372b7c}"/>
        <w:style w:val=""/>
        <w:category>
          <w:name w:val="常规"/>
          <w:gallery w:val="placeholder"/>
        </w:category>
        <w:types>
          <w:type w:val="bbPlcHdr"/>
        </w:types>
        <w:behaviors>
          <w:behavior w:val="content"/>
        </w:behaviors>
        <w:description w:val=""/>
        <w:guid w:val="{4e1b66dd-afc5-4bdb-b273-07e6bb372b7c}"/>
      </w:docPartPr>
      <w:docPartBody>
        <w:p>
          <w:r>
            <w:rPr>
              <w:color w:val="808080"/>
            </w:rPr>
            <w:t>单击此处输入文字。</w:t>
          </w:r>
        </w:p>
      </w:docPartBody>
    </w:docPart>
    <w:docPart>
      <w:docPartPr>
        <w:name w:val="{096ab3aa-d47d-4070-b7a1-49c8d3841882}"/>
        <w:style w:val=""/>
        <w:category>
          <w:name w:val="常规"/>
          <w:gallery w:val="placeholder"/>
        </w:category>
        <w:types>
          <w:type w:val="bbPlcHdr"/>
        </w:types>
        <w:behaviors>
          <w:behavior w:val="content"/>
        </w:behaviors>
        <w:description w:val=""/>
        <w:guid w:val="{096ab3aa-d47d-4070-b7a1-49c8d3841882}"/>
      </w:docPartPr>
      <w:docPartBody>
        <w:p>
          <w:r>
            <w:rPr>
              <w:color w:val="808080"/>
            </w:rPr>
            <w:t>单击此处输入文字。</w:t>
          </w:r>
        </w:p>
      </w:docPartBody>
    </w:docPart>
    <w:docPart>
      <w:docPartPr>
        <w:name w:val="{4d7c6a76-faf2-44d2-b9f5-7d59bba24f86}"/>
        <w:style w:val=""/>
        <w:category>
          <w:name w:val="常规"/>
          <w:gallery w:val="placeholder"/>
        </w:category>
        <w:types>
          <w:type w:val="bbPlcHdr"/>
        </w:types>
        <w:behaviors>
          <w:behavior w:val="content"/>
        </w:behaviors>
        <w:description w:val=""/>
        <w:guid w:val="{4d7c6a76-faf2-44d2-b9f5-7d59bba24f86}"/>
      </w:docPartPr>
      <w:docPartBody>
        <w:p>
          <w:r>
            <w:rPr>
              <w:color w:val="808080"/>
            </w:rPr>
            <w:t>单击此处输入文字。</w:t>
          </w:r>
        </w:p>
      </w:docPartBody>
    </w:docPart>
    <w:docPart>
      <w:docPartPr>
        <w:name w:val="{140e27f1-e63e-45f3-b599-e5984da0d470}"/>
        <w:style w:val=""/>
        <w:category>
          <w:name w:val="常规"/>
          <w:gallery w:val="placeholder"/>
        </w:category>
        <w:types>
          <w:type w:val="bbPlcHdr"/>
        </w:types>
        <w:behaviors>
          <w:behavior w:val="content"/>
        </w:behaviors>
        <w:description w:val=""/>
        <w:guid w:val="{140e27f1-e63e-45f3-b599-e5984da0d470}"/>
      </w:docPartPr>
      <w:docPartBody>
        <w:p>
          <w:r>
            <w:rPr>
              <w:color w:val="808080"/>
            </w:rPr>
            <w:t>单击此处输入文字。</w:t>
          </w:r>
        </w:p>
      </w:docPartBody>
    </w:docPart>
    <w:docPart>
      <w:docPartPr>
        <w:name w:val="{0c21185e-ce95-4697-8dea-c7d6e2260469}"/>
        <w:style w:val=""/>
        <w:category>
          <w:name w:val="常规"/>
          <w:gallery w:val="placeholder"/>
        </w:category>
        <w:types>
          <w:type w:val="bbPlcHdr"/>
        </w:types>
        <w:behaviors>
          <w:behavior w:val="content"/>
        </w:behaviors>
        <w:description w:val=""/>
        <w:guid w:val="{0c21185e-ce95-4697-8dea-c7d6e2260469}"/>
      </w:docPartPr>
      <w:docPartBody>
        <w:p>
          <w:r>
            <w:rPr>
              <w:color w:val="808080"/>
            </w:rPr>
            <w:t>单击此处输入文字。</w:t>
          </w:r>
        </w:p>
      </w:docPartBody>
    </w:docPart>
    <w:docPart>
      <w:docPartPr>
        <w:name w:val="{f4bbc57c-75e4-46f4-b960-95e500b585b1}"/>
        <w:style w:val=""/>
        <w:category>
          <w:name w:val="常规"/>
          <w:gallery w:val="placeholder"/>
        </w:category>
        <w:types>
          <w:type w:val="bbPlcHdr"/>
        </w:types>
        <w:behaviors>
          <w:behavior w:val="content"/>
        </w:behaviors>
        <w:description w:val=""/>
        <w:guid w:val="{f4bbc57c-75e4-46f4-b960-95e500b585b1}"/>
      </w:docPartPr>
      <w:docPartBody>
        <w:p>
          <w:r>
            <w:rPr>
              <w:color w:val="808080"/>
            </w:rPr>
            <w:t>单击此处输入文字。</w:t>
          </w:r>
        </w:p>
      </w:docPartBody>
    </w:docPart>
    <w:docPart>
      <w:docPartPr>
        <w:name w:val="{c1a08cc0-c35e-4faf-8c0e-5dd6ebcd0d0a}"/>
        <w:style w:val=""/>
        <w:category>
          <w:name w:val="常规"/>
          <w:gallery w:val="placeholder"/>
        </w:category>
        <w:types>
          <w:type w:val="bbPlcHdr"/>
        </w:types>
        <w:behaviors>
          <w:behavior w:val="content"/>
        </w:behaviors>
        <w:description w:val=""/>
        <w:guid w:val="{c1a08cc0-c35e-4faf-8c0e-5dd6ebcd0d0a}"/>
      </w:docPartPr>
      <w:docPartBody>
        <w:p>
          <w:r>
            <w:rPr>
              <w:color w:val="808080"/>
            </w:rPr>
            <w:t>单击此处输入文字。</w:t>
          </w:r>
        </w:p>
      </w:docPartBody>
    </w:docPart>
    <w:docPart>
      <w:docPartPr>
        <w:name w:val="{c3f1ea13-5490-405b-b738-0b0a85e66947}"/>
        <w:style w:val=""/>
        <w:category>
          <w:name w:val="常规"/>
          <w:gallery w:val="placeholder"/>
        </w:category>
        <w:types>
          <w:type w:val="bbPlcHdr"/>
        </w:types>
        <w:behaviors>
          <w:behavior w:val="content"/>
        </w:behaviors>
        <w:description w:val=""/>
        <w:guid w:val="{c3f1ea13-5490-405b-b738-0b0a85e66947}"/>
      </w:docPartPr>
      <w:docPartBody>
        <w:p>
          <w:r>
            <w:rPr>
              <w:color w:val="808080"/>
            </w:rPr>
            <w:t>单击此处输入文字。</w:t>
          </w:r>
        </w:p>
      </w:docPartBody>
    </w:docPart>
    <w:docPart>
      <w:docPartPr>
        <w:name w:val="{48d9e362-1331-4545-b082-79b5780e9dc5}"/>
        <w:style w:val=""/>
        <w:category>
          <w:name w:val="常规"/>
          <w:gallery w:val="placeholder"/>
        </w:category>
        <w:types>
          <w:type w:val="bbPlcHdr"/>
        </w:types>
        <w:behaviors>
          <w:behavior w:val="content"/>
        </w:behaviors>
        <w:description w:val=""/>
        <w:guid w:val="{48d9e362-1331-4545-b082-79b5780e9dc5}"/>
      </w:docPartPr>
      <w:docPartBody>
        <w:p>
          <w:r>
            <w:rPr>
              <w:color w:val="808080"/>
            </w:rPr>
            <w:t>单击此处输入文字。</w:t>
          </w:r>
        </w:p>
      </w:docPartBody>
    </w:docPart>
    <w:docPart>
      <w:docPartPr>
        <w:name w:val="{349526be-e889-4240-b156-8ffa062206b9}"/>
        <w:style w:val=""/>
        <w:category>
          <w:name w:val="常规"/>
          <w:gallery w:val="placeholder"/>
        </w:category>
        <w:types>
          <w:type w:val="bbPlcHdr"/>
        </w:types>
        <w:behaviors>
          <w:behavior w:val="content"/>
        </w:behaviors>
        <w:description w:val=""/>
        <w:guid w:val="{349526be-e889-4240-b156-8ffa062206b9}"/>
      </w:docPartPr>
      <w:docPartBody>
        <w:p>
          <w:r>
            <w:rPr>
              <w:color w:val="808080"/>
            </w:rPr>
            <w:t>单击此处输入文字。</w:t>
          </w:r>
        </w:p>
      </w:docPartBody>
    </w:docPart>
    <w:docPart>
      <w:docPartPr>
        <w:name w:val="{7e36795a-a25f-4cf8-9fb1-21d12d77a186}"/>
        <w:style w:val=""/>
        <w:category>
          <w:name w:val="常规"/>
          <w:gallery w:val="placeholder"/>
        </w:category>
        <w:types>
          <w:type w:val="bbPlcHdr"/>
        </w:types>
        <w:behaviors>
          <w:behavior w:val="content"/>
        </w:behaviors>
        <w:description w:val=""/>
        <w:guid w:val="{7e36795a-a25f-4cf8-9fb1-21d12d77a186}"/>
      </w:docPartPr>
      <w:docPartBody>
        <w:p>
          <w:r>
            <w:rPr>
              <w:color w:val="808080"/>
            </w:rPr>
            <w:t>单击此处输入文字。</w:t>
          </w:r>
        </w:p>
      </w:docPartBody>
    </w:docPart>
    <w:docPart>
      <w:docPartPr>
        <w:name w:val="{7a4096f9-2c1c-4413-9d34-4c6d69c915f6}"/>
        <w:style w:val=""/>
        <w:category>
          <w:name w:val="常规"/>
          <w:gallery w:val="placeholder"/>
        </w:category>
        <w:types>
          <w:type w:val="bbPlcHdr"/>
        </w:types>
        <w:behaviors>
          <w:behavior w:val="content"/>
        </w:behaviors>
        <w:description w:val=""/>
        <w:guid w:val="{7a4096f9-2c1c-4413-9d34-4c6d69c915f6}"/>
      </w:docPartPr>
      <w:docPartBody>
        <w:p>
          <w:r>
            <w:rPr>
              <w:color w:val="808080"/>
            </w:rPr>
            <w:t>单击此处输入文字。</w:t>
          </w:r>
        </w:p>
      </w:docPartBody>
    </w:docPart>
    <w:docPart>
      <w:docPartPr>
        <w:name w:val="{c1d4acd6-188e-4cdf-b83d-0b10624023a9}"/>
        <w:style w:val=""/>
        <w:category>
          <w:name w:val="常规"/>
          <w:gallery w:val="placeholder"/>
        </w:category>
        <w:types>
          <w:type w:val="bbPlcHdr"/>
        </w:types>
        <w:behaviors>
          <w:behavior w:val="content"/>
        </w:behaviors>
        <w:description w:val=""/>
        <w:guid w:val="{c1d4acd6-188e-4cdf-b83d-0b10624023a9}"/>
      </w:docPartPr>
      <w:docPartBody>
        <w:p>
          <w:r>
            <w:rPr>
              <w:color w:val="808080"/>
            </w:rPr>
            <w:t>单击此处输入文字。</w:t>
          </w:r>
        </w:p>
      </w:docPartBody>
    </w:docPart>
    <w:docPart>
      <w:docPartPr>
        <w:name w:val="{53292d55-8b17-41c7-8ae8-e725f733649c}"/>
        <w:style w:val=""/>
        <w:category>
          <w:name w:val="常规"/>
          <w:gallery w:val="placeholder"/>
        </w:category>
        <w:types>
          <w:type w:val="bbPlcHdr"/>
        </w:types>
        <w:behaviors>
          <w:behavior w:val="content"/>
        </w:behaviors>
        <w:description w:val=""/>
        <w:guid w:val="{53292d55-8b17-41c7-8ae8-e725f733649c}"/>
      </w:docPartPr>
      <w:docPartBody>
        <w:p>
          <w:r>
            <w:rPr>
              <w:color w:val="808080"/>
            </w:rPr>
            <w:t>单击此处输入文字。</w:t>
          </w:r>
        </w:p>
      </w:docPartBody>
    </w:docPart>
    <w:docPart>
      <w:docPartPr>
        <w:name w:val="{48f5bd5c-cf05-4d73-9003-68ce6a5fc0b5}"/>
        <w:style w:val=""/>
        <w:category>
          <w:name w:val="常规"/>
          <w:gallery w:val="placeholder"/>
        </w:category>
        <w:types>
          <w:type w:val="bbPlcHdr"/>
        </w:types>
        <w:behaviors>
          <w:behavior w:val="content"/>
        </w:behaviors>
        <w:description w:val=""/>
        <w:guid w:val="{48f5bd5c-cf05-4d73-9003-68ce6a5fc0b5}"/>
      </w:docPartPr>
      <w:docPartBody>
        <w:p>
          <w:r>
            <w:rPr>
              <w:color w:val="808080"/>
            </w:rPr>
            <w:t>单击此处输入文字。</w:t>
          </w:r>
        </w:p>
      </w:docPartBody>
    </w:docPart>
    <w:docPart>
      <w:docPartPr>
        <w:name w:val="{177a20c2-a6e5-45ab-9802-1c9ee4e865ac}"/>
        <w:style w:val=""/>
        <w:category>
          <w:name w:val="常规"/>
          <w:gallery w:val="placeholder"/>
        </w:category>
        <w:types>
          <w:type w:val="bbPlcHdr"/>
        </w:types>
        <w:behaviors>
          <w:behavior w:val="content"/>
        </w:behaviors>
        <w:description w:val=""/>
        <w:guid w:val="{177a20c2-a6e5-45ab-9802-1c9ee4e865ac}"/>
      </w:docPartPr>
      <w:docPartBody>
        <w:p>
          <w:r>
            <w:rPr>
              <w:color w:val="808080"/>
            </w:rPr>
            <w:t>单击此处输入文字。</w:t>
          </w:r>
        </w:p>
      </w:docPartBody>
    </w:docPart>
    <w:docPart>
      <w:docPartPr>
        <w:name w:val="{e890ca52-2c5c-463e-83c0-c3d988ad25a9}"/>
        <w:style w:val=""/>
        <w:category>
          <w:name w:val="常规"/>
          <w:gallery w:val="placeholder"/>
        </w:category>
        <w:types>
          <w:type w:val="bbPlcHdr"/>
        </w:types>
        <w:behaviors>
          <w:behavior w:val="content"/>
        </w:behaviors>
        <w:description w:val=""/>
        <w:guid w:val="{e890ca52-2c5c-463e-83c0-c3d988ad25a9}"/>
      </w:docPartPr>
      <w:docPartBody>
        <w:p>
          <w:r>
            <w:rPr>
              <w:color w:val="808080"/>
            </w:rPr>
            <w:t>单击此处输入文字。</w:t>
          </w:r>
        </w:p>
      </w:docPartBody>
    </w:docPart>
    <w:docPart>
      <w:docPartPr>
        <w:name w:val="{8a033c2d-3cf9-4e9c-bfce-ddaf0c01ee3f}"/>
        <w:style w:val=""/>
        <w:category>
          <w:name w:val="常规"/>
          <w:gallery w:val="placeholder"/>
        </w:category>
        <w:types>
          <w:type w:val="bbPlcHdr"/>
        </w:types>
        <w:behaviors>
          <w:behavior w:val="content"/>
        </w:behaviors>
        <w:description w:val=""/>
        <w:guid w:val="{8a033c2d-3cf9-4e9c-bfce-ddaf0c01ee3f}"/>
      </w:docPartPr>
      <w:docPartBody>
        <w:p>
          <w:r>
            <w:rPr>
              <w:color w:val="808080"/>
            </w:rPr>
            <w:t>单击此处输入文字。</w:t>
          </w:r>
        </w:p>
      </w:docPartBody>
    </w:docPart>
    <w:docPart>
      <w:docPartPr>
        <w:name w:val="{772ddfb0-b480-43d4-bda3-fe45d1e2afb3}"/>
        <w:style w:val=""/>
        <w:category>
          <w:name w:val="常规"/>
          <w:gallery w:val="placeholder"/>
        </w:category>
        <w:types>
          <w:type w:val="bbPlcHdr"/>
        </w:types>
        <w:behaviors>
          <w:behavior w:val="content"/>
        </w:behaviors>
        <w:description w:val=""/>
        <w:guid w:val="{772ddfb0-b480-43d4-bda3-fe45d1e2afb3}"/>
      </w:docPartPr>
      <w:docPartBody>
        <w:p>
          <w:r>
            <w:rPr>
              <w:color w:val="808080"/>
            </w:rPr>
            <w:t>单击此处输入文字。</w:t>
          </w:r>
        </w:p>
      </w:docPartBody>
    </w:docPart>
    <w:docPart>
      <w:docPartPr>
        <w:name w:val="{ce618fe6-a75d-4cfb-9bed-9b4ae03998b3}"/>
        <w:style w:val=""/>
        <w:category>
          <w:name w:val="常规"/>
          <w:gallery w:val="placeholder"/>
        </w:category>
        <w:types>
          <w:type w:val="bbPlcHdr"/>
        </w:types>
        <w:behaviors>
          <w:behavior w:val="content"/>
        </w:behaviors>
        <w:description w:val=""/>
        <w:guid w:val="{ce618fe6-a75d-4cfb-9bed-9b4ae03998b3}"/>
      </w:docPartPr>
      <w:docPartBody>
        <w:p>
          <w:r>
            <w:rPr>
              <w:color w:val="808080"/>
            </w:rPr>
            <w:t>单击此处输入文字。</w:t>
          </w:r>
        </w:p>
      </w:docPartBody>
    </w:docPart>
    <w:docPart>
      <w:docPartPr>
        <w:name w:val="{2041405e-4271-4799-a8e8-836bfc4f4d1f}"/>
        <w:style w:val=""/>
        <w:category>
          <w:name w:val="常规"/>
          <w:gallery w:val="placeholder"/>
        </w:category>
        <w:types>
          <w:type w:val="bbPlcHdr"/>
        </w:types>
        <w:behaviors>
          <w:behavior w:val="content"/>
        </w:behaviors>
        <w:description w:val=""/>
        <w:guid w:val="{2041405e-4271-4799-a8e8-836bfc4f4d1f}"/>
      </w:docPartPr>
      <w:docPartBody>
        <w:p>
          <w:r>
            <w:rPr>
              <w:color w:val="808080"/>
            </w:rPr>
            <w:t>单击此处输入文字。</w:t>
          </w:r>
        </w:p>
      </w:docPartBody>
    </w:docPart>
    <w:docPart>
      <w:docPartPr>
        <w:name w:val="{b056ddab-7577-4540-9509-e835385a01e8}"/>
        <w:style w:val=""/>
        <w:category>
          <w:name w:val="常规"/>
          <w:gallery w:val="placeholder"/>
        </w:category>
        <w:types>
          <w:type w:val="bbPlcHdr"/>
        </w:types>
        <w:behaviors>
          <w:behavior w:val="content"/>
        </w:behaviors>
        <w:description w:val=""/>
        <w:guid w:val="{b056ddab-7577-4540-9509-e835385a01e8}"/>
      </w:docPartPr>
      <w:docPartBody>
        <w:p>
          <w:r>
            <w:rPr>
              <w:color w:val="808080"/>
            </w:rPr>
            <w:t>单击此处输入文字。</w:t>
          </w:r>
        </w:p>
      </w:docPartBody>
    </w:docPart>
    <w:docPart>
      <w:docPartPr>
        <w:name w:val="{7226804a-6f2e-4941-a127-e8f847bc4738}"/>
        <w:style w:val=""/>
        <w:category>
          <w:name w:val="常规"/>
          <w:gallery w:val="placeholder"/>
        </w:category>
        <w:types>
          <w:type w:val="bbPlcHdr"/>
        </w:types>
        <w:behaviors>
          <w:behavior w:val="content"/>
        </w:behaviors>
        <w:description w:val=""/>
        <w:guid w:val="{7226804a-6f2e-4941-a127-e8f847bc4738}"/>
      </w:docPartPr>
      <w:docPartBody>
        <w:p>
          <w:r>
            <w:rPr>
              <w:color w:val="808080"/>
            </w:rPr>
            <w:t>单击此处输入文字。</w:t>
          </w:r>
        </w:p>
      </w:docPartBody>
    </w:docPart>
    <w:docPart>
      <w:docPartPr>
        <w:name w:val="{21ad8771-8386-4d1b-9028-c41def99c7b0}"/>
        <w:style w:val=""/>
        <w:category>
          <w:name w:val="常规"/>
          <w:gallery w:val="placeholder"/>
        </w:category>
        <w:types>
          <w:type w:val="bbPlcHdr"/>
        </w:types>
        <w:behaviors>
          <w:behavior w:val="content"/>
        </w:behaviors>
        <w:description w:val=""/>
        <w:guid w:val="{21ad8771-8386-4d1b-9028-c41def99c7b0}"/>
      </w:docPartPr>
      <w:docPartBody>
        <w:p>
          <w:r>
            <w:rPr>
              <w:color w:val="808080"/>
            </w:rPr>
            <w:t>单击此处输入文字。</w:t>
          </w:r>
        </w:p>
      </w:docPartBody>
    </w:docPart>
    <w:docPart>
      <w:docPartPr>
        <w:name w:val="{f92bff4e-b28c-42cd-a8c3-1f4c4550d0c5}"/>
        <w:style w:val=""/>
        <w:category>
          <w:name w:val="常规"/>
          <w:gallery w:val="placeholder"/>
        </w:category>
        <w:types>
          <w:type w:val="bbPlcHdr"/>
        </w:types>
        <w:behaviors>
          <w:behavior w:val="content"/>
        </w:behaviors>
        <w:description w:val=""/>
        <w:guid w:val="{f92bff4e-b28c-42cd-a8c3-1f4c4550d0c5}"/>
      </w:docPartPr>
      <w:docPartBody>
        <w:p>
          <w:r>
            <w:rPr>
              <w:color w:val="808080"/>
            </w:rPr>
            <w:t>单击此处输入文字。</w:t>
          </w:r>
        </w:p>
      </w:docPartBody>
    </w:docPart>
    <w:docPart>
      <w:docPartPr>
        <w:name w:val="{9fdf766d-6b80-4b0c-8233-1752b22c8da1}"/>
        <w:style w:val=""/>
        <w:category>
          <w:name w:val="常规"/>
          <w:gallery w:val="placeholder"/>
        </w:category>
        <w:types>
          <w:type w:val="bbPlcHdr"/>
        </w:types>
        <w:behaviors>
          <w:behavior w:val="content"/>
        </w:behaviors>
        <w:description w:val=""/>
        <w:guid w:val="{9fdf766d-6b80-4b0c-8233-1752b22c8da1}"/>
      </w:docPartPr>
      <w:docPartBody>
        <w:p>
          <w:r>
            <w:rPr>
              <w:color w:val="808080"/>
            </w:rPr>
            <w:t>单击此处输入文字。</w:t>
          </w:r>
        </w:p>
      </w:docPartBody>
    </w:docPart>
    <w:docPart>
      <w:docPartPr>
        <w:name w:val="{0f1b9282-3ddc-481d-8bc6-2d07717af328}"/>
        <w:style w:val=""/>
        <w:category>
          <w:name w:val="常规"/>
          <w:gallery w:val="placeholder"/>
        </w:category>
        <w:types>
          <w:type w:val="bbPlcHdr"/>
        </w:types>
        <w:behaviors>
          <w:behavior w:val="content"/>
        </w:behaviors>
        <w:description w:val=""/>
        <w:guid w:val="{0f1b9282-3ddc-481d-8bc6-2d07717af328}"/>
      </w:docPartPr>
      <w:docPartBody>
        <w:p>
          <w:r>
            <w:rPr>
              <w:color w:val="808080"/>
            </w:rPr>
            <w:t>单击此处输入文字。</w:t>
          </w:r>
        </w:p>
      </w:docPartBody>
    </w:docPart>
    <w:docPart>
      <w:docPartPr>
        <w:name w:val="{46078279-08a7-4f9e-86e8-9a709eb1edf1}"/>
        <w:style w:val=""/>
        <w:category>
          <w:name w:val="常规"/>
          <w:gallery w:val="placeholder"/>
        </w:category>
        <w:types>
          <w:type w:val="bbPlcHdr"/>
        </w:types>
        <w:behaviors>
          <w:behavior w:val="content"/>
        </w:behaviors>
        <w:description w:val=""/>
        <w:guid w:val="{46078279-08a7-4f9e-86e8-9a709eb1edf1}"/>
      </w:docPartPr>
      <w:docPartBody>
        <w:p>
          <w:r>
            <w:rPr>
              <w:color w:val="808080"/>
            </w:rPr>
            <w:t>单击此处输入文字。</w:t>
          </w:r>
        </w:p>
      </w:docPartBody>
    </w:docPart>
    <w:docPart>
      <w:docPartPr>
        <w:name w:val="{6203b531-41fd-405b-9c4c-5ec1ee63fe42}"/>
        <w:style w:val=""/>
        <w:category>
          <w:name w:val="常规"/>
          <w:gallery w:val="placeholder"/>
        </w:category>
        <w:types>
          <w:type w:val="bbPlcHdr"/>
        </w:types>
        <w:behaviors>
          <w:behavior w:val="content"/>
        </w:behaviors>
        <w:description w:val=""/>
        <w:guid w:val="{6203b531-41fd-405b-9c4c-5ec1ee63fe42}"/>
      </w:docPartPr>
      <w:docPartBody>
        <w:p>
          <w:r>
            <w:rPr>
              <w:color w:val="808080"/>
            </w:rPr>
            <w:t>单击此处输入文字。</w:t>
          </w:r>
        </w:p>
      </w:docPartBody>
    </w:docPart>
    <w:docPart>
      <w:docPartPr>
        <w:name w:val="{4080e6a9-18da-49da-8eb9-a35d4686d315}"/>
        <w:style w:val=""/>
        <w:category>
          <w:name w:val="常规"/>
          <w:gallery w:val="placeholder"/>
        </w:category>
        <w:types>
          <w:type w:val="bbPlcHdr"/>
        </w:types>
        <w:behaviors>
          <w:behavior w:val="content"/>
        </w:behaviors>
        <w:description w:val=""/>
        <w:guid w:val="{4080e6a9-18da-49da-8eb9-a35d4686d315}"/>
      </w:docPartPr>
      <w:docPartBody>
        <w:p>
          <w:r>
            <w:rPr>
              <w:color w:val="808080"/>
            </w:rPr>
            <w:t>单击此处输入文字。</w:t>
          </w:r>
        </w:p>
      </w:docPartBody>
    </w:docPart>
    <w:docPart>
      <w:docPartPr>
        <w:name w:val="{466b3c8a-a720-465e-b9a2-281d6a3c71e3}"/>
        <w:style w:val=""/>
        <w:category>
          <w:name w:val="常规"/>
          <w:gallery w:val="placeholder"/>
        </w:category>
        <w:types>
          <w:type w:val="bbPlcHdr"/>
        </w:types>
        <w:behaviors>
          <w:behavior w:val="content"/>
        </w:behaviors>
        <w:description w:val=""/>
        <w:guid w:val="{466b3c8a-a720-465e-b9a2-281d6a3c71e3}"/>
      </w:docPartPr>
      <w:docPartBody>
        <w:p>
          <w:r>
            <w:rPr>
              <w:color w:val="808080"/>
            </w:rPr>
            <w:t>单击此处输入文字。</w:t>
          </w:r>
        </w:p>
      </w:docPartBody>
    </w:docPart>
    <w:docPart>
      <w:docPartPr>
        <w:name w:val="{c3af1b89-44a4-41bc-8e79-3151eb058a14}"/>
        <w:style w:val=""/>
        <w:category>
          <w:name w:val="常规"/>
          <w:gallery w:val="placeholder"/>
        </w:category>
        <w:types>
          <w:type w:val="bbPlcHdr"/>
        </w:types>
        <w:behaviors>
          <w:behavior w:val="content"/>
        </w:behaviors>
        <w:description w:val=""/>
        <w:guid w:val="{c3af1b89-44a4-41bc-8e79-3151eb058a14}"/>
      </w:docPartPr>
      <w:docPartBody>
        <w:p>
          <w:r>
            <w:rPr>
              <w:color w:val="808080"/>
            </w:rPr>
            <w:t>单击此处输入文字。</w:t>
          </w:r>
        </w:p>
      </w:docPartBody>
    </w:docPart>
    <w:docPart>
      <w:docPartPr>
        <w:name w:val="{58383997-f90d-4b24-a48f-1c075a30c5b9}"/>
        <w:style w:val=""/>
        <w:category>
          <w:name w:val="常规"/>
          <w:gallery w:val="placeholder"/>
        </w:category>
        <w:types>
          <w:type w:val="bbPlcHdr"/>
        </w:types>
        <w:behaviors>
          <w:behavior w:val="content"/>
        </w:behaviors>
        <w:description w:val=""/>
        <w:guid w:val="{58383997-f90d-4b24-a48f-1c075a30c5b9}"/>
      </w:docPartPr>
      <w:docPartBody>
        <w:p>
          <w:r>
            <w:rPr>
              <w:color w:val="808080"/>
            </w:rPr>
            <w:t>单击此处输入文字。</w:t>
          </w:r>
        </w:p>
      </w:docPartBody>
    </w:docPart>
    <w:docPart>
      <w:docPartPr>
        <w:name w:val="{8ce99a61-ac12-4ea9-968e-200c0cc7792d}"/>
        <w:style w:val=""/>
        <w:category>
          <w:name w:val="常规"/>
          <w:gallery w:val="placeholder"/>
        </w:category>
        <w:types>
          <w:type w:val="bbPlcHdr"/>
        </w:types>
        <w:behaviors>
          <w:behavior w:val="content"/>
        </w:behaviors>
        <w:description w:val=""/>
        <w:guid w:val="{8ce99a61-ac12-4ea9-968e-200c0cc7792d}"/>
      </w:docPartPr>
      <w:docPartBody>
        <w:p>
          <w:r>
            <w:rPr>
              <w:color w:val="808080"/>
            </w:rPr>
            <w:t>单击此处输入文字。</w:t>
          </w:r>
        </w:p>
      </w:docPartBody>
    </w:docPart>
    <w:docPart>
      <w:docPartPr>
        <w:name w:val="{7735317d-159d-48d8-988e-9c5fb5846f0c}"/>
        <w:style w:val=""/>
        <w:category>
          <w:name w:val="常规"/>
          <w:gallery w:val="placeholder"/>
        </w:category>
        <w:types>
          <w:type w:val="bbPlcHdr"/>
        </w:types>
        <w:behaviors>
          <w:behavior w:val="content"/>
        </w:behaviors>
        <w:description w:val=""/>
        <w:guid w:val="{7735317d-159d-48d8-988e-9c5fb5846f0c}"/>
      </w:docPartPr>
      <w:docPartBody>
        <w:p>
          <w:r>
            <w:rPr>
              <w:color w:val="808080"/>
            </w:rPr>
            <w:t>单击此处输入文字。</w:t>
          </w:r>
        </w:p>
      </w:docPartBody>
    </w:docPart>
    <w:docPart>
      <w:docPartPr>
        <w:name w:val="{14bb80ee-98a4-4c9e-b7f2-99b4c205fd3b}"/>
        <w:style w:val=""/>
        <w:category>
          <w:name w:val="常规"/>
          <w:gallery w:val="placeholder"/>
        </w:category>
        <w:types>
          <w:type w:val="bbPlcHdr"/>
        </w:types>
        <w:behaviors>
          <w:behavior w:val="content"/>
        </w:behaviors>
        <w:description w:val=""/>
        <w:guid w:val="{14bb80ee-98a4-4c9e-b7f2-99b4c205fd3b}"/>
      </w:docPartPr>
      <w:docPartBody>
        <w:p>
          <w:r>
            <w:rPr>
              <w:color w:val="808080"/>
            </w:rPr>
            <w:t>单击此处输入文字。</w:t>
          </w:r>
        </w:p>
      </w:docPartBody>
    </w:docPart>
    <w:docPart>
      <w:docPartPr>
        <w:name w:val="{5d012072-4339-46a6-99ac-fbac2d2e5acf}"/>
        <w:style w:val=""/>
        <w:category>
          <w:name w:val="常规"/>
          <w:gallery w:val="placeholder"/>
        </w:category>
        <w:types>
          <w:type w:val="bbPlcHdr"/>
        </w:types>
        <w:behaviors>
          <w:behavior w:val="content"/>
        </w:behaviors>
        <w:description w:val=""/>
        <w:guid w:val="{5d012072-4339-46a6-99ac-fbac2d2e5acf}"/>
      </w:docPartPr>
      <w:docPartBody>
        <w:p>
          <w:r>
            <w:rPr>
              <w:color w:val="808080"/>
            </w:rPr>
            <w:t>单击此处输入文字。</w:t>
          </w:r>
        </w:p>
      </w:docPartBody>
    </w:docPart>
    <w:docPart>
      <w:docPartPr>
        <w:name w:val="{bc22b02d-9ea1-405a-bbdb-8c523d9d7bca}"/>
        <w:style w:val=""/>
        <w:category>
          <w:name w:val="常规"/>
          <w:gallery w:val="placeholder"/>
        </w:category>
        <w:types>
          <w:type w:val="bbPlcHdr"/>
        </w:types>
        <w:behaviors>
          <w:behavior w:val="content"/>
        </w:behaviors>
        <w:description w:val=""/>
        <w:guid w:val="{bc22b02d-9ea1-405a-bbdb-8c523d9d7bca}"/>
      </w:docPartPr>
      <w:docPartBody>
        <w:p>
          <w:r>
            <w:rPr>
              <w:color w:val="808080"/>
            </w:rPr>
            <w:t>单击此处输入文字。</w:t>
          </w:r>
        </w:p>
      </w:docPartBody>
    </w:docPart>
    <w:docPart>
      <w:docPartPr>
        <w:name w:val="{34a35afb-a237-4a52-8a23-436a3bc79777}"/>
        <w:style w:val=""/>
        <w:category>
          <w:name w:val="常规"/>
          <w:gallery w:val="placeholder"/>
        </w:category>
        <w:types>
          <w:type w:val="bbPlcHdr"/>
        </w:types>
        <w:behaviors>
          <w:behavior w:val="content"/>
        </w:behaviors>
        <w:description w:val=""/>
        <w:guid w:val="{34a35afb-a237-4a52-8a23-436a3bc79777}"/>
      </w:docPartPr>
      <w:docPartBody>
        <w:p>
          <w:r>
            <w:rPr>
              <w:color w:val="808080"/>
            </w:rPr>
            <w:t>单击此处输入文字。</w:t>
          </w:r>
        </w:p>
      </w:docPartBody>
    </w:docPart>
    <w:docPart>
      <w:docPartPr>
        <w:name w:val="{a649d507-7f84-45ba-9937-e22c3a31927e}"/>
        <w:style w:val=""/>
        <w:category>
          <w:name w:val="常规"/>
          <w:gallery w:val="placeholder"/>
        </w:category>
        <w:types>
          <w:type w:val="bbPlcHdr"/>
        </w:types>
        <w:behaviors>
          <w:behavior w:val="content"/>
        </w:behaviors>
        <w:description w:val=""/>
        <w:guid w:val="{a649d507-7f84-45ba-9937-e22c3a31927e}"/>
      </w:docPartPr>
      <w:docPartBody>
        <w:p>
          <w:r>
            <w:rPr>
              <w:color w:val="808080"/>
            </w:rPr>
            <w:t>单击此处输入文字。</w:t>
          </w:r>
        </w:p>
      </w:docPartBody>
    </w:docPart>
    <w:docPart>
      <w:docPartPr>
        <w:name w:val="{33760368-c057-434f-abd5-11ea7df91d4b}"/>
        <w:style w:val=""/>
        <w:category>
          <w:name w:val="常规"/>
          <w:gallery w:val="placeholder"/>
        </w:category>
        <w:types>
          <w:type w:val="bbPlcHdr"/>
        </w:types>
        <w:behaviors>
          <w:behavior w:val="content"/>
        </w:behaviors>
        <w:description w:val=""/>
        <w:guid w:val="{33760368-c057-434f-abd5-11ea7df91d4b}"/>
      </w:docPartPr>
      <w:docPartBody>
        <w:p>
          <w:r>
            <w:rPr>
              <w:color w:val="808080"/>
            </w:rPr>
            <w:t>单击此处输入文字。</w:t>
          </w:r>
        </w:p>
      </w:docPartBody>
    </w:docPart>
    <w:docPart>
      <w:docPartPr>
        <w:name w:val="{0b43f4d7-9653-4b83-834a-2b3de3528687}"/>
        <w:style w:val=""/>
        <w:category>
          <w:name w:val="常规"/>
          <w:gallery w:val="placeholder"/>
        </w:category>
        <w:types>
          <w:type w:val="bbPlcHdr"/>
        </w:types>
        <w:behaviors>
          <w:behavior w:val="content"/>
        </w:behaviors>
        <w:description w:val=""/>
        <w:guid w:val="{0b43f4d7-9653-4b83-834a-2b3de3528687}"/>
      </w:docPartPr>
      <w:docPartBody>
        <w:p>
          <w:r>
            <w:rPr>
              <w:color w:val="808080"/>
            </w:rPr>
            <w:t>单击此处输入文字。</w:t>
          </w:r>
        </w:p>
      </w:docPartBody>
    </w:docPart>
    <w:docPart>
      <w:docPartPr>
        <w:name w:val="{25a49e5d-e267-4917-8658-3f00ce8a609d}"/>
        <w:style w:val=""/>
        <w:category>
          <w:name w:val="常规"/>
          <w:gallery w:val="placeholder"/>
        </w:category>
        <w:types>
          <w:type w:val="bbPlcHdr"/>
        </w:types>
        <w:behaviors>
          <w:behavior w:val="content"/>
        </w:behaviors>
        <w:description w:val=""/>
        <w:guid w:val="{25a49e5d-e267-4917-8658-3f00ce8a609d}"/>
      </w:docPartPr>
      <w:docPartBody>
        <w:p>
          <w:r>
            <w:rPr>
              <w:color w:val="808080"/>
            </w:rPr>
            <w:t>单击此处输入文字。</w:t>
          </w:r>
        </w:p>
      </w:docPartBody>
    </w:docPart>
    <w:docPart>
      <w:docPartPr>
        <w:name w:val="{2f3b1edd-df90-4d03-ad35-4aeb136f261b}"/>
        <w:style w:val=""/>
        <w:category>
          <w:name w:val="常规"/>
          <w:gallery w:val="placeholder"/>
        </w:category>
        <w:types>
          <w:type w:val="bbPlcHdr"/>
        </w:types>
        <w:behaviors>
          <w:behavior w:val="content"/>
        </w:behaviors>
        <w:description w:val=""/>
        <w:guid w:val="{2f3b1edd-df90-4d03-ad35-4aeb136f261b}"/>
      </w:docPartPr>
      <w:docPartBody>
        <w:p>
          <w:r>
            <w:rPr>
              <w:color w:val="808080"/>
            </w:rPr>
            <w:t>单击此处输入文字。</w:t>
          </w:r>
        </w:p>
      </w:docPartBody>
    </w:docPart>
    <w:docPart>
      <w:docPartPr>
        <w:name w:val="{00e23151-8fd3-4051-90b7-ea8ac7e69f08}"/>
        <w:style w:val=""/>
        <w:category>
          <w:name w:val="常规"/>
          <w:gallery w:val="placeholder"/>
        </w:category>
        <w:types>
          <w:type w:val="bbPlcHdr"/>
        </w:types>
        <w:behaviors>
          <w:behavior w:val="content"/>
        </w:behaviors>
        <w:description w:val=""/>
        <w:guid w:val="{00e23151-8fd3-4051-90b7-ea8ac7e69f08}"/>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010B77"/>
    <w:rsid w:val="00010B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xt256.com</Company>
  <Pages>131</Pages>
  <Words>14700</Words>
  <Characters>83794</Characters>
  <Lines>698</Lines>
  <Paragraphs>196</Paragraphs>
  <TotalTime>2</TotalTime>
  <ScaleCrop>false</ScaleCrop>
  <LinksUpToDate>false</LinksUpToDate>
  <CharactersWithSpaces>98298</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2018-12-25T02:07:00Z</dcterms:created>
  <dc:creator>BAOBINGF。</dc:creator>
  <cp:lastModifiedBy>Z y</cp:lastModifiedBy>
  <cp:lastPrinted>2019-09-28T06:00:00Z</cp:lastPrinted>
  <dcterms:modified xsi:type="dcterms:W3CDTF">2019-10-17T08:45:42Z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