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附件2：</w:t>
      </w:r>
    </w:p>
    <w:p>
      <w:pPr>
        <w:adjustRightInd w:val="0"/>
        <w:snapToGrid w:val="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安徽省消防安全重点单位申报表</w:t>
      </w:r>
    </w:p>
    <w:tbl>
      <w:tblPr>
        <w:tblStyle w:val="3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04"/>
        <w:gridCol w:w="1629"/>
        <w:gridCol w:w="1182"/>
        <w:gridCol w:w="850"/>
        <w:gridCol w:w="1276"/>
        <w:gridCol w:w="1783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消防安全责任人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   址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消防安全管理人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27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是否原消防重点单位</w:t>
            </w:r>
          </w:p>
        </w:tc>
        <w:tc>
          <w:tcPr>
            <w:tcW w:w="617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□否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□区、县级消防重点单位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□地市级消防重点单位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421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</w:t>
            </w:r>
          </w:p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</w:t>
            </w:r>
          </w:p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属</w:t>
            </w:r>
          </w:p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pStyle w:val="2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□建筑面积≥</w:t>
            </w:r>
            <w:r>
              <w:rPr>
                <w:rFonts w:ascii="仿宋_GB2312" w:eastAsia="仿宋_GB2312"/>
              </w:rPr>
              <w:t>1000M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hint="eastAsia" w:ascii="仿宋_GB2312" w:eastAsia="仿宋_GB2312"/>
              </w:rPr>
              <w:t>经营可燃商品的商店、市场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□客房</w:t>
            </w:r>
            <w:r>
              <w:rPr>
                <w:rFonts w:ascii="仿宋_GB2312" w:eastAsia="仿宋_GB2312"/>
              </w:rPr>
              <w:t>50</w:t>
            </w:r>
            <w:r>
              <w:rPr>
                <w:rFonts w:hint="eastAsia" w:ascii="仿宋_GB2312" w:eastAsia="仿宋_GB2312"/>
              </w:rPr>
              <w:t>间以上的旅馆、饭店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□公共的体育（场）馆、会堂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□场所建筑面积≥</w:t>
            </w:r>
            <w:r>
              <w:rPr>
                <w:rFonts w:ascii="仿宋_GB2312" w:eastAsia="仿宋_GB2312"/>
              </w:rPr>
              <w:t>200 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hint="eastAsia" w:ascii="仿宋_GB2312" w:eastAsia="仿宋_GB2312"/>
              </w:rPr>
              <w:t>的公共娱乐场所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□住院床位</w:t>
            </w:r>
            <w:r>
              <w:rPr>
                <w:rFonts w:ascii="仿宋_GB2312" w:eastAsia="仿宋_GB2312"/>
              </w:rPr>
              <w:t>50</w:t>
            </w:r>
            <w:r>
              <w:rPr>
                <w:rFonts w:hint="eastAsia" w:ascii="仿宋_GB2312" w:eastAsia="仿宋_GB2312"/>
              </w:rPr>
              <w:t>张以上医院     □老人住宿床位</w:t>
            </w:r>
            <w:r>
              <w:rPr>
                <w:rFonts w:ascii="仿宋_GB2312" w:eastAsia="仿宋_GB2312"/>
              </w:rPr>
              <w:t>50</w:t>
            </w:r>
            <w:r>
              <w:rPr>
                <w:rFonts w:hint="eastAsia" w:ascii="仿宋_GB2312" w:eastAsia="仿宋_GB2312"/>
              </w:rPr>
              <w:t>张以上养老院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□学生住宿床位数</w:t>
            </w:r>
            <w:r>
              <w:rPr>
                <w:rFonts w:ascii="仿宋_GB2312" w:eastAsia="仿宋_GB2312"/>
              </w:rPr>
              <w:t>100</w:t>
            </w:r>
            <w:r>
              <w:rPr>
                <w:rFonts w:hint="eastAsia" w:ascii="仿宋_GB2312" w:eastAsia="仿宋_GB2312"/>
              </w:rPr>
              <w:t>张以上的学校    □幼儿住宿床位</w:t>
            </w:r>
            <w:r>
              <w:rPr>
                <w:rFonts w:ascii="仿宋_GB2312" w:eastAsia="仿宋_GB2312"/>
              </w:rPr>
              <w:t>50</w:t>
            </w:r>
            <w:r>
              <w:rPr>
                <w:rFonts w:hint="eastAsia" w:ascii="仿宋_GB2312" w:eastAsia="仿宋_GB2312"/>
              </w:rPr>
              <w:t>张以上托儿所、幼儿园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□县级以上的党委、人大、政府、政协      □检察院、法院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□广播电台、电视台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□城镇的邮政和通信枢纽单位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□候车厅、候船厅的建筑面积≥</w:t>
            </w:r>
            <w:r>
              <w:rPr>
                <w:rFonts w:ascii="仿宋_GB2312" w:eastAsia="仿宋_GB2312"/>
              </w:rPr>
              <w:t>500 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hint="eastAsia" w:ascii="仿宋_GB2312" w:eastAsia="仿宋_GB2312"/>
              </w:rPr>
              <w:t>的客运车站、码头     □民用机场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□建筑面积≥</w:t>
            </w:r>
            <w:r>
              <w:rPr>
                <w:rFonts w:ascii="仿宋_GB2312" w:eastAsia="仿宋_GB2312"/>
              </w:rPr>
              <w:t>200</w:t>
            </w:r>
            <w:r>
              <w:rPr>
                <w:rFonts w:hint="eastAsia" w:ascii="仿宋_GB2312" w:eastAsia="仿宋_GB2312"/>
              </w:rPr>
              <w:t>0</w:t>
            </w:r>
            <w:r>
              <w:rPr>
                <w:rFonts w:ascii="仿宋_GB2312" w:eastAsia="仿宋_GB2312"/>
              </w:rPr>
              <w:t xml:space="preserve"> 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hint="eastAsia" w:ascii="仿宋_GB2312" w:eastAsia="仿宋_GB2312"/>
              </w:rPr>
              <w:t>的公共图书馆、展览馆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□公共博物馆、档案馆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□具有火灾危险性的县级以上文物保护单位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□发电厂（站）和电网经营企业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□生产易燃易爆化学物品的工厂    □易燃易爆气体和液体的灌装站、调压站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□储存易燃易爆化学物品的专用仓库（堆场、储罐场所）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□营业性汽车加油站、加气站、液化石油气供应站（换瓶站）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□易燃易爆化学物品的专业运输单位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□经营易燃易爆化学物品（甲、乙类）且店内常储存量达500公斤以上的商店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□生产车间员工</w:t>
            </w:r>
            <w:r>
              <w:rPr>
                <w:rFonts w:ascii="仿宋_GB2312" w:eastAsia="仿宋_GB2312"/>
              </w:rPr>
              <w:t>100</w:t>
            </w:r>
            <w:r>
              <w:rPr>
                <w:rFonts w:hint="eastAsia" w:ascii="仿宋_GB2312" w:eastAsia="仿宋_GB2312"/>
              </w:rPr>
              <w:t>人以上的服装、鞋帽、玩具、木竹制品、家具、塑料、食品加工和纺织、印染、印刷、打火机等劳动密集型企业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□国家和省级科研单位    □负责国家重点科研项目的科研单位、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□设备价值超过</w:t>
            </w:r>
            <w:r>
              <w:rPr>
                <w:rFonts w:ascii="仿宋_GB2312" w:eastAsia="仿宋_GB2312"/>
              </w:rPr>
              <w:t>1000</w:t>
            </w:r>
            <w:r>
              <w:rPr>
                <w:rFonts w:hint="eastAsia" w:ascii="仿宋_GB2312" w:eastAsia="仿宋_GB2312"/>
              </w:rPr>
              <w:t>万元以上科研单位、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□储存易燃易爆化学物品（甲、乙类）达500公斤以上的科研单位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□高层公共建筑办公楼（写字楼）、公寓楼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□城市地下铁道、地下观光隧道等地下公共建筑和城市重要的交通隧道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□国家储备粮库、总储量在</w:t>
            </w:r>
            <w:r>
              <w:rPr>
                <w:rFonts w:ascii="仿宋_GB2312" w:eastAsia="仿宋_GB2312"/>
              </w:rPr>
              <w:t>10000</w:t>
            </w:r>
            <w:r>
              <w:rPr>
                <w:rFonts w:hint="eastAsia" w:ascii="仿宋_GB2312" w:eastAsia="仿宋_GB2312"/>
              </w:rPr>
              <w:t>吨以上的其他粮库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□总储量在</w:t>
            </w:r>
            <w:r>
              <w:rPr>
                <w:rFonts w:ascii="仿宋_GB2312" w:eastAsia="仿宋_GB2312"/>
              </w:rPr>
              <w:t>500</w:t>
            </w:r>
            <w:r>
              <w:rPr>
                <w:rFonts w:hint="eastAsia" w:ascii="仿宋_GB2312" w:eastAsia="仿宋_GB2312"/>
              </w:rPr>
              <w:t>吨以上的棉库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□总储量在</w:t>
            </w:r>
            <w:r>
              <w:rPr>
                <w:rFonts w:ascii="仿宋_GB2312" w:eastAsia="仿宋_GB2312"/>
              </w:rPr>
              <w:t>10000M</w:t>
            </w:r>
            <w:r>
              <w:rPr>
                <w:rFonts w:ascii="仿宋_GB2312" w:eastAsia="仿宋_GB2312"/>
                <w:vertAlign w:val="superscript"/>
              </w:rPr>
              <w:t>3</w:t>
            </w:r>
            <w:r>
              <w:rPr>
                <w:rFonts w:hint="eastAsia" w:ascii="仿宋_GB2312" w:eastAsia="仿宋_GB2312"/>
              </w:rPr>
              <w:t>的以上的木材堆场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□总储量在</w:t>
            </w:r>
            <w:r>
              <w:rPr>
                <w:rFonts w:ascii="仿宋_GB2312" w:eastAsia="仿宋_GB2312"/>
              </w:rPr>
              <w:t>1000</w:t>
            </w:r>
            <w:r>
              <w:rPr>
                <w:rFonts w:hint="eastAsia" w:ascii="仿宋_GB2312" w:eastAsia="仿宋_GB2312"/>
              </w:rPr>
              <w:t>万元以上的可燃物品仓库、堆场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□国家和省级等重点工程的施工现场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□固定资产价值在</w:t>
            </w: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 xml:space="preserve">亿元以上的电子、铁路、汽车、钢铁、造船、烟草、航天、铁路、纺织、造纸等企业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□营业厅建筑面积在</w:t>
            </w:r>
            <w:r>
              <w:rPr>
                <w:rFonts w:ascii="仿宋_GB2312" w:eastAsia="仿宋_GB2312"/>
              </w:rPr>
              <w:t>500 M</w:t>
            </w:r>
            <w:r>
              <w:rPr>
                <w:rFonts w:ascii="仿宋_GB2312" w:eastAsia="仿宋_GB2312"/>
                <w:vertAlign w:val="superscript"/>
              </w:rPr>
              <w:t>2</w:t>
            </w:r>
            <w:r>
              <w:rPr>
                <w:rFonts w:hint="eastAsia" w:ascii="仿宋_GB2312" w:eastAsia="仿宋_GB2312"/>
              </w:rPr>
              <w:t xml:space="preserve">以上的证券交易所      □支行级以上的银行  </w:t>
            </w:r>
          </w:p>
        </w:tc>
      </w:tr>
    </w:tbl>
    <w:p>
      <w:pPr>
        <w:pStyle w:val="2"/>
        <w:adjustRightInd w:val="0"/>
        <w:snapToGrid w:val="0"/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注：1、各单位自行对照，并在申报单位属性栏内选择一项打“√”。</w:t>
      </w:r>
    </w:p>
    <w:p>
      <w:pPr>
        <w:pStyle w:val="2"/>
        <w:adjustRightInd w:val="0"/>
        <w:snapToGrid w:val="0"/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、公共娱乐场所是指向公众开放的下列室内场所：（1）影剧院、录像厅、礼堂等演出、放映场所；（2）舞厅、卡拉OK等歌舞娱乐场所；（3）具有娱乐功能的夜总会、音乐茶座和餐饮场所；（4）游艺、游乐场所；（5）保龄球馆、旱冰场、桑那浴室等营业性健身、休闲场所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  <w:jc w:val="center"/>
        </w:trPr>
        <w:tc>
          <w:tcPr>
            <w:tcW w:w="8616" w:type="dxa"/>
            <w:noWrap w:val="0"/>
            <w:vAlign w:val="top"/>
          </w:tcPr>
          <w:p>
            <w:pPr>
              <w:pStyle w:val="2"/>
              <w:spacing w:line="480" w:lineRule="auto"/>
              <w:rPr>
                <w:rFonts w:hint="eastAsia" w:hAnsi="宋体"/>
              </w:rPr>
            </w:pP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 xml:space="preserve">根据《机关、团体、企业、事业单位消防安全管理规定》（公安部第61号令）和《安徽省消防安全重点单位界定标准》，我单位属消防安全重点单位，特此申报。   </w:t>
            </w:r>
          </w:p>
          <w:p>
            <w:pPr>
              <w:pStyle w:val="2"/>
              <w:spacing w:line="480" w:lineRule="auto"/>
              <w:ind w:firstLine="420"/>
              <w:rPr>
                <w:rFonts w:hint="eastAsia" w:hAnsi="宋体"/>
              </w:rPr>
            </w:pPr>
          </w:p>
          <w:p>
            <w:pPr>
              <w:pStyle w:val="2"/>
              <w:spacing w:line="480" w:lineRule="auto"/>
              <w:ind w:firstLine="420"/>
              <w:rPr>
                <w:rFonts w:hint="eastAsia" w:hAnsi="宋体"/>
              </w:rPr>
            </w:pPr>
            <w:r>
              <w:rPr>
                <w:rFonts w:hAnsi="宋体"/>
              </w:rPr>
              <w:t xml:space="preserve">                                        </w:t>
            </w: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单位（盖章）</w:t>
            </w: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法定代表人（签名）：</w:t>
            </w:r>
          </w:p>
          <w:p>
            <w:pPr>
              <w:pStyle w:val="2"/>
              <w:spacing w:line="480" w:lineRule="auto"/>
              <w:ind w:firstLine="420"/>
              <w:rPr>
                <w:rFonts w:hint="eastAsia" w:hAnsi="宋体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8616" w:type="dxa"/>
            <w:noWrap w:val="0"/>
            <w:vAlign w:val="top"/>
          </w:tcPr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>经消防救援机构派员核实，该单位           （属于或不属于）消防安全重点单位。</w:t>
            </w: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</w:t>
            </w: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核实人（签名）：</w:t>
            </w: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616" w:type="dxa"/>
            <w:noWrap w:val="0"/>
            <w:vAlign w:val="top"/>
          </w:tcPr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 xml:space="preserve">      </w:t>
            </w: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>经审核，         （同意或不同意）该单位为消防安全重点单位。</w:t>
            </w: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消防救援机构负责人（签名）：</w:t>
            </w:r>
          </w:p>
          <w:p>
            <w:pPr>
              <w:pStyle w:val="2"/>
              <w:spacing w:line="480" w:lineRule="auto"/>
              <w:ind w:firstLine="420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年      月   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33209"/>
    <w:rsid w:val="3741367F"/>
    <w:rsid w:val="471B208B"/>
    <w:rsid w:val="6A7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2021-01-06T08:17:00Z</dcterms:created>
  <dc:creator>gyb1</dc:creator>
  <cp:lastModifiedBy>、W'</cp:lastModifiedBy>
  <dcterms:modified xsi:type="dcterms:W3CDTF">2022-01-11T03:24:08Z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48436078554B4043B266DC0B3D576DFF</vt:lpwstr>
  </property>
</Properties>
</file>